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C16A3">
      <w:pPr>
        <w:rPr>
          <w:rFonts w:hint="eastAsia" w:eastAsia="仿宋"/>
          <w:sz w:val="36"/>
          <w:szCs w:val="36"/>
          <w:lang w:eastAsia="zh-CN"/>
        </w:rPr>
      </w:pPr>
    </w:p>
    <w:p w14:paraId="06211327">
      <w:pPr>
        <w:rPr>
          <w:sz w:val="36"/>
          <w:szCs w:val="36"/>
        </w:rPr>
      </w:pPr>
    </w:p>
    <w:p w14:paraId="44F74F04">
      <w:pPr>
        <w:adjustRightInd w:val="0"/>
        <w:snapToGrid w:val="0"/>
        <w:jc w:val="center"/>
        <w:outlineLvl w:val="0"/>
        <w:rPr>
          <w:bCs/>
          <w:sz w:val="72"/>
          <w:szCs w:val="72"/>
        </w:rPr>
      </w:pPr>
      <w:r>
        <w:rPr>
          <w:bCs/>
          <w:sz w:val="72"/>
          <w:szCs w:val="72"/>
        </w:rPr>
        <w:t>建设项目环境影响报告表</w:t>
      </w:r>
    </w:p>
    <w:p w14:paraId="28DDD952">
      <w:pPr>
        <w:adjustRightInd w:val="0"/>
        <w:snapToGrid w:val="0"/>
        <w:spacing w:before="192" w:beforeLines="80"/>
        <w:jc w:val="center"/>
        <w:rPr>
          <w:bCs/>
          <w:sz w:val="48"/>
          <w:szCs w:val="48"/>
        </w:rPr>
      </w:pPr>
      <w:r>
        <w:rPr>
          <w:bCs/>
          <w:sz w:val="48"/>
          <w:szCs w:val="48"/>
        </w:rPr>
        <w:t>（污染影响类）</w:t>
      </w:r>
    </w:p>
    <w:p w14:paraId="7C62488B">
      <w:pPr>
        <w:jc w:val="center"/>
        <w:rPr>
          <w:sz w:val="52"/>
          <w:szCs w:val="52"/>
        </w:rPr>
      </w:pPr>
    </w:p>
    <w:p w14:paraId="7445AE18">
      <w:pPr>
        <w:ind w:firstLine="1040"/>
        <w:rPr>
          <w:sz w:val="44"/>
          <w:szCs w:val="44"/>
        </w:rPr>
      </w:pPr>
    </w:p>
    <w:p w14:paraId="40277C96">
      <w:pPr>
        <w:ind w:firstLine="1040"/>
        <w:rPr>
          <w:sz w:val="44"/>
          <w:szCs w:val="44"/>
        </w:rPr>
      </w:pPr>
    </w:p>
    <w:p w14:paraId="27CCA774">
      <w:pPr>
        <w:ind w:firstLine="1040"/>
        <w:rPr>
          <w:sz w:val="44"/>
          <w:szCs w:val="44"/>
        </w:rPr>
      </w:pPr>
    </w:p>
    <w:p w14:paraId="7AAC6D8E">
      <w:pPr>
        <w:adjustRightInd w:val="0"/>
        <w:snapToGrid w:val="0"/>
        <w:spacing w:line="288" w:lineRule="auto"/>
        <w:ind w:firstLine="640" w:firstLineChars="200"/>
        <w:rPr>
          <w:sz w:val="32"/>
          <w:szCs w:val="32"/>
        </w:rPr>
      </w:pPr>
    </w:p>
    <w:p w14:paraId="7A7A30F5">
      <w:pPr>
        <w:adjustRightInd w:val="0"/>
        <w:snapToGrid w:val="0"/>
        <w:spacing w:line="288" w:lineRule="auto"/>
        <w:ind w:firstLine="640" w:firstLineChars="200"/>
        <w:rPr>
          <w:sz w:val="32"/>
          <w:szCs w:val="32"/>
        </w:rPr>
      </w:pPr>
    </w:p>
    <w:p w14:paraId="463251C1">
      <w:pPr>
        <w:pStyle w:val="2"/>
      </w:pPr>
    </w:p>
    <w:p w14:paraId="3CF90EC4">
      <w:pPr>
        <w:pStyle w:val="2"/>
      </w:pPr>
    </w:p>
    <w:p w14:paraId="6A2FC2C0">
      <w:pPr>
        <w:adjustRightInd w:val="0"/>
        <w:snapToGrid w:val="0"/>
        <w:spacing w:line="288" w:lineRule="auto"/>
        <w:ind w:left="1600" w:hanging="1600" w:hangingChars="500"/>
        <w:jc w:val="both"/>
        <w:rPr>
          <w:rFonts w:hint="default"/>
          <w:sz w:val="32"/>
          <w:szCs w:val="32"/>
          <w:u w:val="single"/>
          <w:lang w:val="en-US" w:eastAsia="zh-CN"/>
        </w:rPr>
      </w:pPr>
      <w:r>
        <w:rPr>
          <w:sz w:val="32"/>
          <w:szCs w:val="32"/>
        </w:rPr>
        <w:t>项目名称：</w:t>
      </w:r>
      <w:r>
        <w:rPr>
          <w:rFonts w:hint="eastAsia"/>
          <w:sz w:val="32"/>
          <w:szCs w:val="32"/>
          <w:u w:val="single"/>
          <w:lang w:val="en-US" w:eastAsia="zh-CN"/>
        </w:rPr>
        <w:t xml:space="preserve">          </w:t>
      </w:r>
      <w:r>
        <w:rPr>
          <w:rFonts w:hint="eastAsia"/>
          <w:sz w:val="32"/>
          <w:szCs w:val="32"/>
          <w:u w:val="single"/>
          <w:lang w:eastAsia="zh-CN"/>
        </w:rPr>
        <w:t>常州润峰电机配件有限公司</w:t>
      </w:r>
      <w:r>
        <w:rPr>
          <w:rFonts w:hint="eastAsia"/>
          <w:sz w:val="32"/>
          <w:szCs w:val="32"/>
          <w:u w:val="single"/>
          <w:lang w:val="en-US" w:eastAsia="zh-CN"/>
        </w:rPr>
        <w:t xml:space="preserve">           </w:t>
      </w:r>
    </w:p>
    <w:p w14:paraId="0B798AEB">
      <w:pPr>
        <w:adjustRightInd w:val="0"/>
        <w:snapToGrid w:val="0"/>
        <w:spacing w:line="288" w:lineRule="auto"/>
        <w:ind w:firstLine="1600" w:firstLineChars="500"/>
        <w:jc w:val="both"/>
        <w:rPr>
          <w:rFonts w:hint="default" w:eastAsia="仿宋"/>
          <w:sz w:val="32"/>
          <w:szCs w:val="32"/>
          <w:u w:val="single"/>
          <w:lang w:val="en-US" w:eastAsia="zh-CN"/>
        </w:rPr>
      </w:pPr>
      <w:r>
        <w:rPr>
          <w:rFonts w:hint="eastAsia"/>
          <w:sz w:val="32"/>
          <w:szCs w:val="32"/>
          <w:u w:val="single"/>
          <w:lang w:val="en-US" w:eastAsia="zh-CN"/>
        </w:rPr>
        <w:t xml:space="preserve">      </w:t>
      </w:r>
      <w:r>
        <w:rPr>
          <w:rFonts w:hint="eastAsia"/>
          <w:sz w:val="32"/>
          <w:szCs w:val="32"/>
          <w:u w:val="single"/>
          <w:lang w:eastAsia="zh-CN"/>
        </w:rPr>
        <w:t>年产1500万件铝制零部件新建项目</w:t>
      </w:r>
      <w:r>
        <w:rPr>
          <w:rFonts w:hint="eastAsia"/>
          <w:sz w:val="32"/>
          <w:szCs w:val="32"/>
          <w:u w:val="single"/>
          <w:lang w:val="en-US" w:eastAsia="zh-CN"/>
        </w:rPr>
        <w:t xml:space="preserve">        </w:t>
      </w:r>
    </w:p>
    <w:p w14:paraId="6149C65B">
      <w:pPr>
        <w:adjustRightInd w:val="0"/>
        <w:snapToGrid w:val="0"/>
        <w:spacing w:line="288" w:lineRule="auto"/>
        <w:jc w:val="both"/>
        <w:rPr>
          <w:rFonts w:hint="default" w:eastAsia="仿宋"/>
          <w:sz w:val="32"/>
          <w:szCs w:val="32"/>
          <w:u w:val="single"/>
          <w:lang w:val="en-US" w:eastAsia="zh-CN"/>
        </w:rPr>
      </w:pPr>
      <w:r>
        <w:rPr>
          <w:sz w:val="32"/>
          <w:szCs w:val="32"/>
        </w:rPr>
        <w:t>建设单位（盖章）：</w:t>
      </w:r>
      <w:r>
        <w:rPr>
          <w:rFonts w:hint="eastAsia"/>
          <w:sz w:val="32"/>
          <w:szCs w:val="32"/>
          <w:u w:val="single"/>
          <w:lang w:eastAsia="zh-CN"/>
        </w:rPr>
        <w:t>常州润峰电机配件有限公司</w:t>
      </w:r>
      <w:r>
        <w:rPr>
          <w:rFonts w:hint="eastAsia"/>
          <w:sz w:val="32"/>
          <w:szCs w:val="32"/>
          <w:u w:val="single"/>
          <w:lang w:val="en-US" w:eastAsia="zh-CN"/>
        </w:rPr>
        <w:t xml:space="preserve">             </w:t>
      </w:r>
    </w:p>
    <w:p w14:paraId="24E676A6">
      <w:pPr>
        <w:adjustRightInd w:val="0"/>
        <w:snapToGrid w:val="0"/>
        <w:spacing w:line="288" w:lineRule="auto"/>
        <w:jc w:val="both"/>
        <w:rPr>
          <w:rFonts w:hint="default" w:eastAsia="仿宋"/>
          <w:sz w:val="32"/>
          <w:szCs w:val="32"/>
          <w:u w:val="single"/>
          <w:lang w:val="en-US" w:eastAsia="zh-CN"/>
        </w:rPr>
      </w:pPr>
      <w:r>
        <w:rPr>
          <w:sz w:val="32"/>
          <w:szCs w:val="32"/>
        </w:rPr>
        <w:t>编制日期：</w:t>
      </w:r>
      <w:r>
        <w:rPr>
          <w:rFonts w:hint="eastAsia"/>
          <w:sz w:val="32"/>
          <w:szCs w:val="32"/>
          <w:u w:val="single"/>
          <w:lang w:val="en-US" w:eastAsia="zh-CN"/>
        </w:rPr>
        <w:t xml:space="preserve">                 </w:t>
      </w:r>
      <w:r>
        <w:rPr>
          <w:sz w:val="32"/>
          <w:szCs w:val="32"/>
          <w:u w:val="single"/>
        </w:rPr>
        <w:t>202</w:t>
      </w:r>
      <w:r>
        <w:rPr>
          <w:rFonts w:hint="default"/>
          <w:sz w:val="32"/>
          <w:szCs w:val="32"/>
          <w:u w:val="single"/>
          <w:lang w:val="en-US"/>
        </w:rPr>
        <w:t>5</w:t>
      </w:r>
      <w:r>
        <w:rPr>
          <w:sz w:val="32"/>
          <w:szCs w:val="32"/>
          <w:u w:val="single"/>
        </w:rPr>
        <w:t>年</w:t>
      </w:r>
      <w:r>
        <w:rPr>
          <w:rFonts w:hint="eastAsia"/>
          <w:sz w:val="32"/>
          <w:szCs w:val="32"/>
          <w:u w:val="single"/>
          <w:lang w:val="en-US" w:eastAsia="zh-CN"/>
        </w:rPr>
        <w:t>7</w:t>
      </w:r>
      <w:r>
        <w:rPr>
          <w:sz w:val="32"/>
          <w:szCs w:val="32"/>
          <w:u w:val="single"/>
        </w:rPr>
        <w:t>月</w:t>
      </w:r>
      <w:r>
        <w:rPr>
          <w:rFonts w:hint="eastAsia"/>
          <w:sz w:val="32"/>
          <w:szCs w:val="32"/>
          <w:u w:val="single"/>
          <w:lang w:val="en-US" w:eastAsia="zh-CN"/>
        </w:rPr>
        <w:t xml:space="preserve">                  </w:t>
      </w:r>
    </w:p>
    <w:p w14:paraId="09F21F7C">
      <w:pPr>
        <w:adjustRightInd w:val="0"/>
        <w:snapToGrid w:val="0"/>
        <w:spacing w:line="288" w:lineRule="auto"/>
        <w:ind w:firstLine="1040"/>
        <w:rPr>
          <w:sz w:val="36"/>
          <w:szCs w:val="36"/>
          <w:u w:val="single"/>
        </w:rPr>
      </w:pPr>
      <w:bookmarkStart w:id="0" w:name="_Hlk57884087"/>
    </w:p>
    <w:p w14:paraId="0560097F">
      <w:pPr>
        <w:adjustRightInd w:val="0"/>
        <w:snapToGrid w:val="0"/>
        <w:spacing w:line="288" w:lineRule="auto"/>
        <w:ind w:firstLine="1040"/>
        <w:rPr>
          <w:sz w:val="36"/>
          <w:szCs w:val="36"/>
        </w:rPr>
      </w:pPr>
    </w:p>
    <w:p w14:paraId="1DE3387D">
      <w:pPr>
        <w:adjustRightInd w:val="0"/>
        <w:snapToGrid w:val="0"/>
        <w:spacing w:line="288" w:lineRule="auto"/>
        <w:ind w:firstLine="1040"/>
        <w:rPr>
          <w:sz w:val="36"/>
          <w:szCs w:val="36"/>
        </w:rPr>
      </w:pPr>
    </w:p>
    <w:p w14:paraId="4C861375">
      <w:pPr>
        <w:adjustRightInd w:val="0"/>
        <w:snapToGrid w:val="0"/>
        <w:spacing w:line="288" w:lineRule="auto"/>
        <w:ind w:firstLine="1040"/>
        <w:rPr>
          <w:sz w:val="36"/>
          <w:szCs w:val="36"/>
        </w:rPr>
      </w:pPr>
    </w:p>
    <w:bookmarkEnd w:id="0"/>
    <w:p w14:paraId="6BE765C9">
      <w:pPr>
        <w:adjustRightInd w:val="0"/>
        <w:snapToGrid w:val="0"/>
        <w:spacing w:line="288" w:lineRule="auto"/>
        <w:jc w:val="center"/>
        <w:rPr>
          <w:sz w:val="36"/>
          <w:szCs w:val="36"/>
        </w:rPr>
      </w:pPr>
      <w:r>
        <w:rPr>
          <w:sz w:val="36"/>
          <w:szCs w:val="36"/>
        </w:rPr>
        <w:t>中华人民共和国生态环境部制</w:t>
      </w:r>
    </w:p>
    <w:p w14:paraId="51FD9CCB">
      <w:pPr>
        <w:adjustRightInd w:val="0"/>
        <w:snapToGrid w:val="0"/>
        <w:spacing w:line="288" w:lineRule="auto"/>
        <w:ind w:firstLine="1040"/>
        <w:rPr>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7E03EADE">
      <w:pPr>
        <w:pStyle w:val="3"/>
        <w:sectPr>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78B8D542">
      <w:pPr>
        <w:pStyle w:val="16"/>
        <w:spacing w:before="0" w:beforeAutospacing="0" w:after="0" w:afterAutospacing="0" w:line="240" w:lineRule="auto"/>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3"/>
        <w:gridCol w:w="2623"/>
        <w:gridCol w:w="1712"/>
        <w:gridCol w:w="3002"/>
      </w:tblGrid>
      <w:tr w14:paraId="1EDF9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3" w:type="dxa"/>
            <w:tcMar>
              <w:top w:w="16" w:type="dxa"/>
              <w:left w:w="16" w:type="dxa"/>
              <w:right w:w="16" w:type="dxa"/>
            </w:tcMar>
            <w:vAlign w:val="center"/>
          </w:tcPr>
          <w:p w14:paraId="7DE56DC4">
            <w:pPr>
              <w:adjustRightInd w:val="0"/>
              <w:snapToGrid w:val="0"/>
              <w:spacing w:line="240" w:lineRule="auto"/>
              <w:jc w:val="center"/>
            </w:pPr>
            <w:r>
              <w:t>建设项目名称</w:t>
            </w:r>
          </w:p>
        </w:tc>
        <w:tc>
          <w:tcPr>
            <w:tcW w:w="7337" w:type="dxa"/>
            <w:gridSpan w:val="3"/>
            <w:vAlign w:val="center"/>
          </w:tcPr>
          <w:p w14:paraId="165141BC">
            <w:pPr>
              <w:adjustRightInd w:val="0"/>
              <w:snapToGrid w:val="0"/>
              <w:spacing w:line="240" w:lineRule="auto"/>
              <w:jc w:val="center"/>
              <w:rPr>
                <w:rFonts w:hint="eastAsia" w:eastAsia="仿宋"/>
                <w:lang w:eastAsia="zh-CN"/>
              </w:rPr>
            </w:pPr>
            <w:r>
              <w:rPr>
                <w:rFonts w:hint="eastAsia"/>
                <w:lang w:eastAsia="zh-CN"/>
              </w:rPr>
              <w:t>常州润峰电机配件有限公司年产1500万件铝制零部件新建项目</w:t>
            </w:r>
          </w:p>
        </w:tc>
      </w:tr>
      <w:tr w14:paraId="42F7F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3" w:type="dxa"/>
            <w:tcMar>
              <w:top w:w="16" w:type="dxa"/>
              <w:left w:w="16" w:type="dxa"/>
              <w:right w:w="16" w:type="dxa"/>
            </w:tcMar>
            <w:vAlign w:val="center"/>
          </w:tcPr>
          <w:p w14:paraId="16B354EB">
            <w:pPr>
              <w:adjustRightInd w:val="0"/>
              <w:snapToGrid w:val="0"/>
              <w:spacing w:line="240" w:lineRule="auto"/>
              <w:jc w:val="center"/>
            </w:pPr>
            <w:r>
              <w:t>项目代码</w:t>
            </w:r>
          </w:p>
        </w:tc>
        <w:tc>
          <w:tcPr>
            <w:tcW w:w="7337" w:type="dxa"/>
            <w:gridSpan w:val="3"/>
            <w:vAlign w:val="center"/>
          </w:tcPr>
          <w:p w14:paraId="30E87CBF">
            <w:pPr>
              <w:adjustRightInd w:val="0"/>
              <w:snapToGrid w:val="0"/>
              <w:spacing w:line="240" w:lineRule="auto"/>
              <w:jc w:val="center"/>
              <w:rPr>
                <w:rFonts w:hint="eastAsia" w:eastAsia="仿宋"/>
                <w:lang w:eastAsia="zh-CN"/>
              </w:rPr>
            </w:pPr>
            <w:r>
              <w:rPr>
                <w:rFonts w:hint="eastAsia"/>
                <w:highlight w:val="none"/>
                <w:lang w:eastAsia="zh-CN"/>
              </w:rPr>
              <w:t>2506-320491-89-01-635979</w:t>
            </w:r>
          </w:p>
        </w:tc>
      </w:tr>
      <w:tr w14:paraId="792CB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1533" w:type="dxa"/>
            <w:tcMar>
              <w:top w:w="16" w:type="dxa"/>
              <w:left w:w="16" w:type="dxa"/>
              <w:right w:w="16" w:type="dxa"/>
            </w:tcMar>
            <w:vAlign w:val="center"/>
          </w:tcPr>
          <w:p w14:paraId="46CA8FB7">
            <w:pPr>
              <w:adjustRightInd w:val="0"/>
              <w:snapToGrid w:val="0"/>
              <w:spacing w:line="240" w:lineRule="auto"/>
              <w:jc w:val="center"/>
            </w:pPr>
            <w:r>
              <w:t>建设单位联系人</w:t>
            </w:r>
          </w:p>
        </w:tc>
        <w:tc>
          <w:tcPr>
            <w:tcW w:w="2623" w:type="dxa"/>
            <w:vAlign w:val="center"/>
          </w:tcPr>
          <w:p w14:paraId="10CDA56F">
            <w:pPr>
              <w:adjustRightInd w:val="0"/>
              <w:snapToGrid w:val="0"/>
              <w:spacing w:line="240" w:lineRule="auto"/>
              <w:jc w:val="center"/>
              <w:rPr>
                <w:rFonts w:hint="default" w:eastAsia="仿宋"/>
                <w:lang w:val="en-US" w:eastAsia="zh-CN"/>
              </w:rPr>
            </w:pPr>
            <w:r>
              <w:rPr>
                <w:rFonts w:hint="eastAsia" w:eastAsia="仿宋" w:cs="Times New Roman"/>
                <w:color w:val="auto"/>
                <w:sz w:val="24"/>
                <w:lang w:val="en-US" w:eastAsia="zh-CN"/>
              </w:rPr>
              <w:t>刘仁新</w:t>
            </w:r>
          </w:p>
        </w:tc>
        <w:tc>
          <w:tcPr>
            <w:tcW w:w="1712" w:type="dxa"/>
            <w:vAlign w:val="center"/>
          </w:tcPr>
          <w:p w14:paraId="14C5AAF5">
            <w:pPr>
              <w:adjustRightInd w:val="0"/>
              <w:snapToGrid w:val="0"/>
              <w:spacing w:line="240" w:lineRule="auto"/>
              <w:jc w:val="center"/>
            </w:pPr>
            <w:r>
              <w:t>联系方式</w:t>
            </w:r>
          </w:p>
        </w:tc>
        <w:tc>
          <w:tcPr>
            <w:tcW w:w="3002" w:type="dxa"/>
            <w:vAlign w:val="center"/>
          </w:tcPr>
          <w:p w14:paraId="346591EF">
            <w:pPr>
              <w:adjustRightInd w:val="0"/>
              <w:snapToGrid w:val="0"/>
              <w:spacing w:line="240" w:lineRule="auto"/>
              <w:jc w:val="center"/>
              <w:rPr>
                <w:rFonts w:hint="default" w:eastAsia="仿宋"/>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13306123906</w:t>
            </w:r>
          </w:p>
        </w:tc>
      </w:tr>
      <w:tr w14:paraId="3B8BF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533" w:type="dxa"/>
            <w:tcMar>
              <w:top w:w="16" w:type="dxa"/>
              <w:left w:w="16" w:type="dxa"/>
              <w:right w:w="16" w:type="dxa"/>
            </w:tcMar>
            <w:vAlign w:val="center"/>
          </w:tcPr>
          <w:p w14:paraId="05096760">
            <w:pPr>
              <w:adjustRightInd w:val="0"/>
              <w:snapToGrid w:val="0"/>
              <w:spacing w:line="240" w:lineRule="auto"/>
              <w:jc w:val="center"/>
            </w:pPr>
            <w:r>
              <w:t>建设地点</w:t>
            </w:r>
          </w:p>
        </w:tc>
        <w:tc>
          <w:tcPr>
            <w:tcW w:w="7337" w:type="dxa"/>
            <w:gridSpan w:val="3"/>
            <w:vAlign w:val="center"/>
          </w:tcPr>
          <w:p w14:paraId="4B82BE13">
            <w:pPr>
              <w:adjustRightInd w:val="0"/>
              <w:snapToGrid w:val="0"/>
              <w:spacing w:line="240" w:lineRule="auto"/>
              <w:jc w:val="center"/>
            </w:pPr>
            <w:r>
              <w:rPr>
                <w:u w:val="single"/>
              </w:rPr>
              <w:t>江苏</w:t>
            </w:r>
            <w:r>
              <w:t>省</w:t>
            </w:r>
            <w:r>
              <w:rPr>
                <w:rFonts w:hint="eastAsia"/>
              </w:rPr>
              <w:t>（自治区）</w:t>
            </w:r>
            <w:r>
              <w:rPr>
                <w:u w:val="single"/>
              </w:rPr>
              <w:t>常州</w:t>
            </w:r>
            <w:r>
              <w:t>市</w:t>
            </w:r>
            <w:r>
              <w:rPr>
                <w:u w:val="single"/>
              </w:rPr>
              <w:t>经济开发</w:t>
            </w:r>
            <w:r>
              <w:rPr>
                <w:rFonts w:hint="eastAsia"/>
              </w:rPr>
              <w:t>县（</w:t>
            </w:r>
            <w:r>
              <w:t>区</w:t>
            </w:r>
            <w:r>
              <w:rPr>
                <w:rFonts w:hint="eastAsia"/>
              </w:rPr>
              <w:t>）</w:t>
            </w:r>
            <w:r>
              <w:rPr>
                <w:rFonts w:hint="eastAsia"/>
                <w:u w:val="single"/>
              </w:rPr>
              <w:t>横山桥</w:t>
            </w:r>
            <w:r>
              <w:rPr>
                <w:rFonts w:hint="eastAsia"/>
              </w:rPr>
              <w:t>乡（街道）</w:t>
            </w:r>
          </w:p>
          <w:p w14:paraId="315AA8D5">
            <w:pPr>
              <w:adjustRightInd w:val="0"/>
              <w:snapToGrid w:val="0"/>
              <w:spacing w:line="240" w:lineRule="auto"/>
              <w:jc w:val="center"/>
            </w:pPr>
            <w:r>
              <w:rPr>
                <w:rFonts w:hint="eastAsia" w:ascii="Times New Roman" w:hAnsi="Times New Roman" w:eastAsia="仿宋" w:cs="Times New Roman"/>
                <w:color w:val="auto"/>
                <w:sz w:val="24"/>
                <w:u w:val="single"/>
                <w:lang w:eastAsia="zh-CN"/>
              </w:rPr>
              <w:t>新安村委新芙路78</w:t>
            </w:r>
            <w:r>
              <w:rPr>
                <w:rFonts w:hint="eastAsia"/>
                <w:u w:val="single"/>
              </w:rPr>
              <w:t>号</w:t>
            </w:r>
          </w:p>
        </w:tc>
      </w:tr>
      <w:tr w14:paraId="0872C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466CE5EB">
            <w:pPr>
              <w:adjustRightInd w:val="0"/>
              <w:snapToGrid w:val="0"/>
              <w:spacing w:line="240" w:lineRule="auto"/>
              <w:jc w:val="center"/>
            </w:pPr>
            <w:r>
              <w:t>地理坐标</w:t>
            </w:r>
          </w:p>
        </w:tc>
        <w:tc>
          <w:tcPr>
            <w:tcW w:w="7337" w:type="dxa"/>
            <w:gridSpan w:val="3"/>
            <w:vAlign w:val="center"/>
          </w:tcPr>
          <w:p w14:paraId="2E31ED9C">
            <w:pPr>
              <w:spacing w:line="240" w:lineRule="auto"/>
              <w:jc w:val="center"/>
            </w:pPr>
            <w:r>
              <w:t>（</w:t>
            </w:r>
            <w:r>
              <w:rPr>
                <w:u w:val="single"/>
              </w:rPr>
              <w:t>120</w:t>
            </w:r>
            <w:r>
              <w:t>度</w:t>
            </w:r>
            <w:r>
              <w:rPr>
                <w:rFonts w:hint="eastAsia"/>
                <w:u w:val="single"/>
                <w:lang w:val="en-US" w:eastAsia="zh-CN"/>
              </w:rPr>
              <w:t>9</w:t>
            </w:r>
            <w:r>
              <w:t>分</w:t>
            </w:r>
            <w:r>
              <w:rPr>
                <w:rFonts w:hint="eastAsia"/>
                <w:u w:val="single"/>
              </w:rPr>
              <w:t>31.665</w:t>
            </w:r>
            <w:r>
              <w:t>秒，</w:t>
            </w:r>
            <w:r>
              <w:rPr>
                <w:u w:val="single"/>
              </w:rPr>
              <w:t>31</w:t>
            </w:r>
            <w:r>
              <w:t>度</w:t>
            </w:r>
            <w:r>
              <w:rPr>
                <w:u w:val="single"/>
              </w:rPr>
              <w:t>4</w:t>
            </w:r>
            <w:r>
              <w:rPr>
                <w:rFonts w:hint="eastAsia"/>
                <w:u w:val="single"/>
                <w:lang w:val="en-US" w:eastAsia="zh-CN"/>
              </w:rPr>
              <w:t>7</w:t>
            </w:r>
            <w:r>
              <w:t>分</w:t>
            </w:r>
            <w:r>
              <w:rPr>
                <w:rFonts w:hint="eastAsia"/>
                <w:u w:val="single"/>
              </w:rPr>
              <w:t>18.495</w:t>
            </w:r>
            <w:r>
              <w:t>秒）</w:t>
            </w:r>
          </w:p>
          <w:p w14:paraId="2AD306EA">
            <w:pPr>
              <w:spacing w:line="240" w:lineRule="auto"/>
              <w:jc w:val="center"/>
              <w:rPr>
                <w:rFonts w:hint="default" w:eastAsia="仿宋"/>
                <w:lang w:val="en-US" w:eastAsia="zh-CN"/>
              </w:rPr>
            </w:pPr>
            <w:r>
              <w:rPr>
                <w:rFonts w:hint="eastAsia"/>
                <w:lang w:val="en-US" w:eastAsia="zh-CN"/>
              </w:rPr>
              <w:t>不在常州市大气监测国控、声控站点3km范围内</w:t>
            </w:r>
          </w:p>
        </w:tc>
      </w:tr>
      <w:tr w14:paraId="111EE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06B431F4">
            <w:pPr>
              <w:adjustRightInd w:val="0"/>
              <w:snapToGrid w:val="0"/>
              <w:spacing w:line="240" w:lineRule="auto"/>
              <w:jc w:val="center"/>
            </w:pPr>
            <w:r>
              <w:t>国民经济</w:t>
            </w:r>
          </w:p>
          <w:p w14:paraId="05E068BD">
            <w:pPr>
              <w:adjustRightInd w:val="0"/>
              <w:snapToGrid w:val="0"/>
              <w:spacing w:line="240" w:lineRule="auto"/>
              <w:jc w:val="center"/>
            </w:pPr>
            <w:r>
              <w:t>行业类别</w:t>
            </w:r>
          </w:p>
        </w:tc>
        <w:tc>
          <w:tcPr>
            <w:tcW w:w="2623" w:type="dxa"/>
            <w:vAlign w:val="center"/>
          </w:tcPr>
          <w:p w14:paraId="33D77A6D">
            <w:pPr>
              <w:adjustRightInd w:val="0"/>
              <w:snapToGrid w:val="0"/>
              <w:spacing w:line="240" w:lineRule="auto"/>
              <w:jc w:val="center"/>
              <w:rPr>
                <w:rFonts w:hint="default"/>
                <w:lang w:val="en-US" w:eastAsia="zh-CN"/>
              </w:rPr>
            </w:pPr>
            <w:r>
              <w:rPr>
                <w:rFonts w:hint="eastAsia"/>
                <w:sz w:val="24"/>
                <w:lang w:eastAsia="zh-CN"/>
              </w:rPr>
              <w:t>C3812电动机制造、C3670汽车零部件及配件制造、C3392有色金属铸造</w:t>
            </w:r>
          </w:p>
        </w:tc>
        <w:tc>
          <w:tcPr>
            <w:tcW w:w="1712" w:type="dxa"/>
            <w:vAlign w:val="center"/>
          </w:tcPr>
          <w:p w14:paraId="195CDD69">
            <w:pPr>
              <w:adjustRightInd w:val="0"/>
              <w:snapToGrid w:val="0"/>
              <w:spacing w:line="240" w:lineRule="auto"/>
              <w:jc w:val="center"/>
            </w:pPr>
            <w:r>
              <w:t>建设项目</w:t>
            </w:r>
          </w:p>
          <w:p w14:paraId="5C24D29F">
            <w:pPr>
              <w:adjustRightInd w:val="0"/>
              <w:snapToGrid w:val="0"/>
              <w:spacing w:line="240" w:lineRule="auto"/>
              <w:jc w:val="center"/>
            </w:pPr>
            <w:r>
              <w:t>行业类别</w:t>
            </w:r>
          </w:p>
        </w:tc>
        <w:tc>
          <w:tcPr>
            <w:tcW w:w="3002" w:type="dxa"/>
            <w:vAlign w:val="center"/>
          </w:tcPr>
          <w:p w14:paraId="30FE8C25">
            <w:pPr>
              <w:adjustRightInd w:val="0"/>
              <w:snapToGrid w:val="0"/>
              <w:spacing w:line="240" w:lineRule="auto"/>
              <w:jc w:val="center"/>
              <w:rPr>
                <w:rFonts w:hint="default" w:eastAsia="仿宋"/>
                <w:lang w:val="en-US" w:eastAsia="zh-CN"/>
              </w:rPr>
            </w:pPr>
            <w:r>
              <w:rPr>
                <w:rFonts w:hint="eastAsia"/>
                <w:lang w:val="en-US" w:eastAsia="zh-CN"/>
              </w:rPr>
              <w:t>77</w:t>
            </w:r>
            <w:r>
              <w:rPr>
                <w:rFonts w:hint="eastAsia"/>
              </w:rPr>
              <w:t>.</w:t>
            </w:r>
            <w:r>
              <w:rPr>
                <w:rFonts w:hint="eastAsia"/>
                <w:lang w:val="en-US" w:eastAsia="zh-CN"/>
              </w:rPr>
              <w:t>电机制造381</w:t>
            </w:r>
            <w:r>
              <w:rPr>
                <w:rFonts w:hint="eastAsia"/>
              </w:rPr>
              <w:t>-其他（</w:t>
            </w:r>
            <w:r>
              <w:rPr>
                <w:rFonts w:hint="eastAsia"/>
                <w:lang w:val="en-US" w:eastAsia="zh-CN"/>
              </w:rPr>
              <w:t>仅分割、焊接、组装的除外；</w:t>
            </w:r>
            <w:r>
              <w:rPr>
                <w:rFonts w:hint="eastAsia"/>
              </w:rPr>
              <w:t>年用非溶剂型低VOCs含量涂料10吨以下的除外）</w:t>
            </w:r>
            <w:r>
              <w:rPr>
                <w:rFonts w:hint="eastAsia"/>
                <w:lang w:eastAsia="zh-CN"/>
              </w:rPr>
              <w:t>；</w:t>
            </w:r>
            <w:r>
              <w:rPr>
                <w:rFonts w:hint="eastAsia"/>
                <w:lang w:val="en-US" w:eastAsia="zh-CN"/>
              </w:rPr>
              <w:t>71.汽车零部件及配件制造367</w:t>
            </w:r>
            <w:r>
              <w:rPr>
                <w:rFonts w:hint="eastAsia"/>
              </w:rPr>
              <w:t>-其他（年用非溶剂型低VOCs含量涂料10吨以下的除外）</w:t>
            </w:r>
            <w:r>
              <w:rPr>
                <w:rFonts w:hint="eastAsia"/>
                <w:lang w:eastAsia="zh-CN"/>
              </w:rPr>
              <w:t>；</w:t>
            </w:r>
            <w:r>
              <w:rPr>
                <w:rFonts w:hint="eastAsia"/>
                <w:lang w:val="en-US" w:eastAsia="zh-CN"/>
              </w:rPr>
              <w:t>68.铸造及其他金属制品制造339-其他（仅分割、焊接、组装的除外）</w:t>
            </w:r>
          </w:p>
        </w:tc>
      </w:tr>
      <w:tr w14:paraId="08B1D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79F9BC30">
            <w:pPr>
              <w:adjustRightInd w:val="0"/>
              <w:snapToGrid w:val="0"/>
              <w:spacing w:line="240" w:lineRule="auto"/>
              <w:jc w:val="center"/>
            </w:pPr>
            <w:r>
              <w:t>建设性质</w:t>
            </w:r>
          </w:p>
        </w:tc>
        <w:tc>
          <w:tcPr>
            <w:tcW w:w="2623" w:type="dxa"/>
            <w:vAlign w:val="center"/>
          </w:tcPr>
          <w:p w14:paraId="75909EEB">
            <w:pPr>
              <w:adjustRightInd w:val="0"/>
              <w:snapToGrid w:val="0"/>
              <w:spacing w:line="240" w:lineRule="auto"/>
              <w:jc w:val="left"/>
            </w:pPr>
            <w:r>
              <w:rPr>
                <w:rFonts w:hint="eastAsia"/>
                <w:lang w:eastAsia="zh-CN"/>
              </w:rPr>
              <w:sym w:font="Wingdings 2" w:char="0052"/>
            </w:r>
            <w:r>
              <w:t>新建（迁建）</w:t>
            </w:r>
          </w:p>
          <w:p w14:paraId="20FE3E2C">
            <w:pPr>
              <w:adjustRightInd w:val="0"/>
              <w:snapToGrid w:val="0"/>
              <w:spacing w:line="240" w:lineRule="auto"/>
              <w:jc w:val="left"/>
            </w:pPr>
            <w:r>
              <w:rPr>
                <w:rFonts w:hint="eastAsia"/>
                <w:lang w:eastAsia="zh-CN"/>
              </w:rPr>
              <w:sym w:font="Wingdings 2" w:char="00A3"/>
            </w:r>
            <w:r>
              <w:t>改建</w:t>
            </w:r>
          </w:p>
          <w:p w14:paraId="7CDEBE31">
            <w:pPr>
              <w:adjustRightInd w:val="0"/>
              <w:snapToGrid w:val="0"/>
              <w:spacing w:line="240" w:lineRule="auto"/>
              <w:jc w:val="left"/>
            </w:pPr>
            <w:r>
              <w:rPr>
                <w:rFonts w:hint="eastAsia"/>
                <w:lang w:eastAsia="zh-CN"/>
              </w:rPr>
              <w:sym w:font="Wingdings 2" w:char="00A3"/>
            </w:r>
            <w:r>
              <w:t>扩建</w:t>
            </w:r>
          </w:p>
          <w:p w14:paraId="01CAF2D6">
            <w:pPr>
              <w:adjustRightInd w:val="0"/>
              <w:snapToGrid w:val="0"/>
              <w:spacing w:line="240" w:lineRule="auto"/>
              <w:jc w:val="left"/>
            </w:pPr>
            <w:r>
              <w:rPr>
                <w:rFonts w:hint="eastAsia"/>
                <w:lang w:eastAsia="zh-CN"/>
              </w:rPr>
              <w:sym w:font="Wingdings 2" w:char="00A3"/>
            </w:r>
            <w:r>
              <w:t>技术改造</w:t>
            </w:r>
          </w:p>
        </w:tc>
        <w:tc>
          <w:tcPr>
            <w:tcW w:w="1712" w:type="dxa"/>
            <w:vAlign w:val="center"/>
          </w:tcPr>
          <w:p w14:paraId="5243F055">
            <w:pPr>
              <w:adjustRightInd w:val="0"/>
              <w:snapToGrid w:val="0"/>
              <w:spacing w:line="240" w:lineRule="auto"/>
              <w:jc w:val="center"/>
            </w:pPr>
            <w:r>
              <w:t>建设项目</w:t>
            </w:r>
          </w:p>
          <w:p w14:paraId="14AC8135">
            <w:pPr>
              <w:adjustRightInd w:val="0"/>
              <w:snapToGrid w:val="0"/>
              <w:spacing w:line="240" w:lineRule="auto"/>
              <w:jc w:val="center"/>
            </w:pPr>
            <w:r>
              <w:t>申报情形</w:t>
            </w:r>
          </w:p>
        </w:tc>
        <w:tc>
          <w:tcPr>
            <w:tcW w:w="3002" w:type="dxa"/>
            <w:vAlign w:val="center"/>
          </w:tcPr>
          <w:p w14:paraId="7716EAF1">
            <w:pPr>
              <w:spacing w:line="240" w:lineRule="auto"/>
              <w:jc w:val="left"/>
            </w:pPr>
            <w:r>
              <w:rPr>
                <w:rFonts w:hint="eastAsia"/>
                <w:lang w:eastAsia="zh-CN"/>
              </w:rPr>
              <w:sym w:font="Wingdings 2" w:char="0052"/>
            </w:r>
            <w:r>
              <w:t>首次申报项目</w:t>
            </w:r>
          </w:p>
          <w:p w14:paraId="15A4F93B">
            <w:pPr>
              <w:spacing w:line="240" w:lineRule="auto"/>
              <w:jc w:val="left"/>
            </w:pPr>
            <w:r>
              <w:rPr>
                <w:rFonts w:hint="eastAsia"/>
                <w:lang w:eastAsia="zh-CN"/>
              </w:rPr>
              <w:sym w:font="Wingdings 2" w:char="00A3"/>
            </w:r>
            <w:r>
              <w:t>不予批准后再次申报项目</w:t>
            </w:r>
          </w:p>
          <w:p w14:paraId="40EB9EF8">
            <w:pPr>
              <w:spacing w:line="240" w:lineRule="auto"/>
              <w:jc w:val="left"/>
            </w:pPr>
            <w:r>
              <w:rPr>
                <w:rFonts w:hint="eastAsia"/>
                <w:lang w:eastAsia="zh-CN"/>
              </w:rPr>
              <w:sym w:font="Wingdings 2" w:char="00A3"/>
            </w:r>
            <w:r>
              <w:t>超五年重新审核项目</w:t>
            </w:r>
          </w:p>
          <w:p w14:paraId="01BCA4A9">
            <w:pPr>
              <w:spacing w:line="240" w:lineRule="auto"/>
              <w:jc w:val="left"/>
            </w:pPr>
            <w:r>
              <w:rPr>
                <w:rFonts w:hint="eastAsia"/>
                <w:lang w:eastAsia="zh-CN"/>
              </w:rPr>
              <w:sym w:font="Wingdings 2" w:char="00A3"/>
            </w:r>
            <w:r>
              <w:t>重大变动重新报批项目</w:t>
            </w:r>
          </w:p>
        </w:tc>
      </w:tr>
      <w:tr w14:paraId="4BE80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57D507B9">
            <w:pPr>
              <w:adjustRightInd w:val="0"/>
              <w:snapToGrid w:val="0"/>
              <w:spacing w:line="240" w:lineRule="auto"/>
              <w:jc w:val="center"/>
            </w:pPr>
            <w:r>
              <w:t>项目审批（核准/备案）部门（选填）</w:t>
            </w:r>
          </w:p>
        </w:tc>
        <w:tc>
          <w:tcPr>
            <w:tcW w:w="2623" w:type="dxa"/>
            <w:vAlign w:val="center"/>
          </w:tcPr>
          <w:p w14:paraId="64790347">
            <w:pPr>
              <w:adjustRightInd w:val="0"/>
              <w:snapToGrid w:val="0"/>
              <w:spacing w:line="240" w:lineRule="auto"/>
              <w:jc w:val="center"/>
            </w:pPr>
            <w:r>
              <w:t>江苏常州经济开发区管理委员会</w:t>
            </w:r>
          </w:p>
        </w:tc>
        <w:tc>
          <w:tcPr>
            <w:tcW w:w="1712" w:type="dxa"/>
            <w:vAlign w:val="center"/>
          </w:tcPr>
          <w:p w14:paraId="221FB06E">
            <w:pPr>
              <w:adjustRightInd w:val="0"/>
              <w:snapToGrid w:val="0"/>
              <w:spacing w:line="240" w:lineRule="auto"/>
              <w:jc w:val="center"/>
            </w:pPr>
            <w:r>
              <w:t>项目审批（核准/</w:t>
            </w:r>
          </w:p>
          <w:p w14:paraId="409C668E">
            <w:pPr>
              <w:adjustRightInd w:val="0"/>
              <w:snapToGrid w:val="0"/>
              <w:spacing w:line="240" w:lineRule="auto"/>
              <w:jc w:val="center"/>
            </w:pPr>
            <w:r>
              <w:t>备案）文号（选填）</w:t>
            </w:r>
          </w:p>
        </w:tc>
        <w:tc>
          <w:tcPr>
            <w:tcW w:w="3002" w:type="dxa"/>
            <w:vAlign w:val="center"/>
          </w:tcPr>
          <w:p w14:paraId="124D8649">
            <w:pPr>
              <w:adjustRightInd w:val="0"/>
              <w:snapToGrid w:val="0"/>
              <w:spacing w:line="240" w:lineRule="auto"/>
              <w:jc w:val="center"/>
              <w:rPr>
                <w:rFonts w:hint="eastAsia" w:eastAsia="仿宋"/>
                <w:lang w:eastAsia="zh-CN"/>
              </w:rPr>
            </w:pPr>
            <w:r>
              <w:rPr>
                <w:rFonts w:hint="eastAsia"/>
                <w:highlight w:val="none"/>
                <w:lang w:eastAsia="zh-CN"/>
              </w:rPr>
              <w:t>常经数备〔2025〕338号</w:t>
            </w:r>
          </w:p>
        </w:tc>
      </w:tr>
      <w:tr w14:paraId="50BAA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51DFEA3B">
            <w:pPr>
              <w:adjustRightInd w:val="0"/>
              <w:snapToGrid w:val="0"/>
              <w:spacing w:line="240" w:lineRule="auto"/>
              <w:jc w:val="center"/>
            </w:pPr>
            <w:r>
              <w:t>总投资</w:t>
            </w:r>
          </w:p>
          <w:p w14:paraId="6AACC105">
            <w:pPr>
              <w:adjustRightInd w:val="0"/>
              <w:snapToGrid w:val="0"/>
              <w:spacing w:line="240" w:lineRule="auto"/>
              <w:jc w:val="center"/>
            </w:pPr>
            <w:r>
              <w:t>（万元）</w:t>
            </w:r>
          </w:p>
        </w:tc>
        <w:tc>
          <w:tcPr>
            <w:tcW w:w="2623" w:type="dxa"/>
            <w:vAlign w:val="center"/>
          </w:tcPr>
          <w:p w14:paraId="0BB4EF89">
            <w:pPr>
              <w:adjustRightInd w:val="0"/>
              <w:snapToGrid w:val="0"/>
              <w:spacing w:line="240" w:lineRule="auto"/>
              <w:jc w:val="center"/>
            </w:pPr>
            <w:r>
              <w:rPr>
                <w:rFonts w:hint="eastAsia"/>
                <w:lang w:val="en-US" w:eastAsia="zh-CN"/>
              </w:rPr>
              <w:t>50</w:t>
            </w:r>
            <w:r>
              <w:t>00</w:t>
            </w:r>
          </w:p>
        </w:tc>
        <w:tc>
          <w:tcPr>
            <w:tcW w:w="1712" w:type="dxa"/>
            <w:tcMar>
              <w:top w:w="16" w:type="dxa"/>
              <w:left w:w="16" w:type="dxa"/>
              <w:right w:w="16" w:type="dxa"/>
            </w:tcMar>
            <w:vAlign w:val="center"/>
          </w:tcPr>
          <w:p w14:paraId="6A9FF37C">
            <w:pPr>
              <w:adjustRightInd w:val="0"/>
              <w:snapToGrid w:val="0"/>
              <w:spacing w:line="240" w:lineRule="auto"/>
              <w:jc w:val="center"/>
            </w:pPr>
            <w:r>
              <w:t>环保投资（万元）</w:t>
            </w:r>
          </w:p>
        </w:tc>
        <w:tc>
          <w:tcPr>
            <w:tcW w:w="3002" w:type="dxa"/>
            <w:vAlign w:val="center"/>
          </w:tcPr>
          <w:p w14:paraId="53A10212">
            <w:pPr>
              <w:adjustRightInd w:val="0"/>
              <w:snapToGrid w:val="0"/>
              <w:spacing w:line="240" w:lineRule="auto"/>
              <w:jc w:val="center"/>
              <w:rPr>
                <w:rFonts w:hint="default"/>
                <w:lang w:val="en-US"/>
              </w:rPr>
            </w:pPr>
            <w:r>
              <w:rPr>
                <w:rFonts w:hint="eastAsia"/>
                <w:lang w:val="en-US" w:eastAsia="zh-CN"/>
              </w:rPr>
              <w:t>50</w:t>
            </w:r>
          </w:p>
        </w:tc>
      </w:tr>
      <w:tr w14:paraId="59074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59B1A454">
            <w:pPr>
              <w:adjustRightInd w:val="0"/>
              <w:snapToGrid w:val="0"/>
              <w:spacing w:line="240" w:lineRule="auto"/>
              <w:jc w:val="center"/>
            </w:pPr>
            <w:r>
              <w:t>环保投资占比（%）</w:t>
            </w:r>
          </w:p>
        </w:tc>
        <w:tc>
          <w:tcPr>
            <w:tcW w:w="2623" w:type="dxa"/>
            <w:vAlign w:val="center"/>
          </w:tcPr>
          <w:p w14:paraId="4E82417D">
            <w:pPr>
              <w:adjustRightInd w:val="0"/>
              <w:snapToGrid w:val="0"/>
              <w:spacing w:line="240" w:lineRule="auto"/>
              <w:jc w:val="center"/>
            </w:pPr>
            <w:r>
              <w:rPr>
                <w:rFonts w:hint="eastAsia"/>
                <w:lang w:val="en-US" w:eastAsia="zh-CN"/>
              </w:rPr>
              <w:t>1</w:t>
            </w:r>
            <w:r>
              <w:t>%</w:t>
            </w:r>
          </w:p>
        </w:tc>
        <w:tc>
          <w:tcPr>
            <w:tcW w:w="1712" w:type="dxa"/>
            <w:tcMar>
              <w:top w:w="16" w:type="dxa"/>
              <w:left w:w="16" w:type="dxa"/>
              <w:right w:w="16" w:type="dxa"/>
            </w:tcMar>
            <w:vAlign w:val="center"/>
          </w:tcPr>
          <w:p w14:paraId="0C2F522F">
            <w:pPr>
              <w:adjustRightInd w:val="0"/>
              <w:snapToGrid w:val="0"/>
              <w:spacing w:line="240" w:lineRule="auto"/>
              <w:jc w:val="center"/>
            </w:pPr>
            <w:r>
              <w:t>施工工期</w:t>
            </w:r>
          </w:p>
        </w:tc>
        <w:tc>
          <w:tcPr>
            <w:tcW w:w="3002" w:type="dxa"/>
            <w:vAlign w:val="center"/>
          </w:tcPr>
          <w:p w14:paraId="38B8E73E">
            <w:pPr>
              <w:adjustRightInd w:val="0"/>
              <w:snapToGrid w:val="0"/>
              <w:spacing w:line="240" w:lineRule="auto"/>
              <w:jc w:val="center"/>
            </w:pPr>
            <w:r>
              <w:rPr>
                <w:rFonts w:hint="eastAsia"/>
              </w:rPr>
              <w:t>2</w:t>
            </w:r>
            <w:r>
              <w:t>个月</w:t>
            </w:r>
          </w:p>
        </w:tc>
      </w:tr>
      <w:tr w14:paraId="1CF6D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33" w:type="dxa"/>
            <w:tcMar>
              <w:top w:w="16" w:type="dxa"/>
              <w:left w:w="16" w:type="dxa"/>
              <w:right w:w="16" w:type="dxa"/>
            </w:tcMar>
            <w:vAlign w:val="center"/>
          </w:tcPr>
          <w:p w14:paraId="7AB10B46">
            <w:pPr>
              <w:adjustRightInd w:val="0"/>
              <w:snapToGrid w:val="0"/>
              <w:spacing w:line="240" w:lineRule="auto"/>
              <w:jc w:val="center"/>
            </w:pPr>
            <w:r>
              <w:t>是否开工建设</w:t>
            </w:r>
          </w:p>
        </w:tc>
        <w:tc>
          <w:tcPr>
            <w:tcW w:w="2623" w:type="dxa"/>
            <w:vAlign w:val="center"/>
          </w:tcPr>
          <w:p w14:paraId="381F07AE">
            <w:pPr>
              <w:adjustRightInd w:val="0"/>
              <w:snapToGrid w:val="0"/>
              <w:spacing w:line="240" w:lineRule="auto"/>
              <w:jc w:val="left"/>
            </w:pPr>
            <w:r>
              <w:rPr>
                <w:rFonts w:hint="eastAsia"/>
                <w:lang w:eastAsia="zh-CN"/>
              </w:rPr>
              <w:sym w:font="Wingdings 2" w:char="0052"/>
            </w:r>
            <w:r>
              <w:t>否</w:t>
            </w:r>
          </w:p>
          <w:p w14:paraId="57B977E8">
            <w:pPr>
              <w:adjustRightInd w:val="0"/>
              <w:snapToGrid w:val="0"/>
              <w:spacing w:line="240" w:lineRule="auto"/>
              <w:jc w:val="left"/>
            </w:pPr>
            <w:r>
              <w:rPr>
                <w:rFonts w:hint="eastAsia"/>
                <w:lang w:eastAsia="zh-CN"/>
              </w:rPr>
              <w:sym w:font="Wingdings 2" w:char="00A3"/>
            </w:r>
            <w:r>
              <w:t>是</w:t>
            </w:r>
          </w:p>
        </w:tc>
        <w:tc>
          <w:tcPr>
            <w:tcW w:w="1712" w:type="dxa"/>
            <w:tcMar>
              <w:top w:w="16" w:type="dxa"/>
              <w:left w:w="16" w:type="dxa"/>
              <w:right w:w="16" w:type="dxa"/>
            </w:tcMar>
            <w:vAlign w:val="center"/>
          </w:tcPr>
          <w:p w14:paraId="67CB89E5">
            <w:pPr>
              <w:adjustRightInd w:val="0"/>
              <w:snapToGrid w:val="0"/>
              <w:spacing w:line="240" w:lineRule="auto"/>
              <w:jc w:val="center"/>
              <w:rPr>
                <w:spacing w:val="-6"/>
              </w:rPr>
            </w:pPr>
            <w:r>
              <w:rPr>
                <w:spacing w:val="-6"/>
              </w:rPr>
              <w:t>用地（用海）</w:t>
            </w:r>
          </w:p>
          <w:p w14:paraId="2B90BEA1">
            <w:pPr>
              <w:adjustRightInd w:val="0"/>
              <w:snapToGrid w:val="0"/>
              <w:spacing w:line="240" w:lineRule="auto"/>
              <w:jc w:val="center"/>
            </w:pPr>
            <w:r>
              <w:rPr>
                <w:spacing w:val="-6"/>
              </w:rPr>
              <w:t>面积（m</w:t>
            </w:r>
            <w:r>
              <w:rPr>
                <w:spacing w:val="-6"/>
                <w:vertAlign w:val="superscript"/>
              </w:rPr>
              <w:t>2</w:t>
            </w:r>
            <w:r>
              <w:rPr>
                <w:spacing w:val="-6"/>
              </w:rPr>
              <w:t>）</w:t>
            </w:r>
          </w:p>
        </w:tc>
        <w:tc>
          <w:tcPr>
            <w:tcW w:w="3002" w:type="dxa"/>
            <w:vAlign w:val="center"/>
          </w:tcPr>
          <w:p w14:paraId="536C00C8">
            <w:pPr>
              <w:adjustRightInd w:val="0"/>
              <w:snapToGrid w:val="0"/>
              <w:spacing w:line="240" w:lineRule="auto"/>
              <w:jc w:val="center"/>
            </w:pPr>
            <w:r>
              <w:rPr>
                <w:rFonts w:hint="eastAsia"/>
                <w:lang w:val="en-US" w:eastAsia="zh-CN"/>
              </w:rPr>
              <w:t>2000</w:t>
            </w:r>
            <w:r>
              <w:rPr>
                <w:rFonts w:hint="eastAsia"/>
              </w:rPr>
              <w:t>（建筑面积）</w:t>
            </w:r>
          </w:p>
        </w:tc>
      </w:tr>
      <w:tr w14:paraId="2630C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533" w:type="dxa"/>
            <w:vAlign w:val="center"/>
          </w:tcPr>
          <w:p w14:paraId="58A04C89">
            <w:pPr>
              <w:autoSpaceDE w:val="0"/>
              <w:autoSpaceDN w:val="0"/>
              <w:adjustRightInd w:val="0"/>
              <w:snapToGrid w:val="0"/>
              <w:spacing w:line="240" w:lineRule="auto"/>
              <w:jc w:val="center"/>
              <w:rPr>
                <w:kern w:val="0"/>
              </w:rPr>
            </w:pPr>
            <w:r>
              <w:rPr>
                <w:kern w:val="0"/>
              </w:rPr>
              <w:t>专项评价设置情况</w:t>
            </w:r>
          </w:p>
        </w:tc>
        <w:tc>
          <w:tcPr>
            <w:tcW w:w="7337" w:type="dxa"/>
            <w:gridSpan w:val="3"/>
            <w:vAlign w:val="center"/>
          </w:tcPr>
          <w:p w14:paraId="47822E44">
            <w:pPr>
              <w:autoSpaceDE w:val="0"/>
              <w:autoSpaceDN w:val="0"/>
              <w:adjustRightInd w:val="0"/>
              <w:snapToGrid w:val="0"/>
              <w:spacing w:line="240" w:lineRule="auto"/>
              <w:jc w:val="center"/>
              <w:rPr>
                <w:b/>
                <w:bCs/>
                <w:kern w:val="0"/>
                <w:sz w:val="21"/>
                <w:szCs w:val="21"/>
              </w:rPr>
            </w:pPr>
            <w:r>
              <w:rPr>
                <w:b/>
                <w:bCs/>
                <w:kern w:val="0"/>
                <w:sz w:val="21"/>
                <w:szCs w:val="21"/>
              </w:rPr>
              <w:t>表1-1  专项评价设置对照表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3164"/>
              <w:gridCol w:w="2569"/>
              <w:gridCol w:w="729"/>
            </w:tblGrid>
            <w:tr w14:paraId="2D17F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0" w:type="pct"/>
                  <w:tcBorders>
                    <w:tl2br w:val="nil"/>
                    <w:tr2bl w:val="nil"/>
                  </w:tcBorders>
                  <w:vAlign w:val="center"/>
                </w:tcPr>
                <w:p w14:paraId="4151CA9A">
                  <w:pPr>
                    <w:autoSpaceDE w:val="0"/>
                    <w:autoSpaceDN w:val="0"/>
                    <w:adjustRightInd w:val="0"/>
                    <w:snapToGrid w:val="0"/>
                    <w:spacing w:line="240" w:lineRule="auto"/>
                    <w:jc w:val="center"/>
                    <w:rPr>
                      <w:b/>
                      <w:bCs/>
                      <w:kern w:val="0"/>
                      <w:sz w:val="21"/>
                      <w:szCs w:val="21"/>
                    </w:rPr>
                  </w:pPr>
                  <w:r>
                    <w:rPr>
                      <w:b/>
                      <w:bCs/>
                      <w:kern w:val="0"/>
                      <w:sz w:val="21"/>
                      <w:szCs w:val="21"/>
                    </w:rPr>
                    <w:t>类别</w:t>
                  </w:r>
                </w:p>
              </w:tc>
              <w:tc>
                <w:tcPr>
                  <w:tcW w:w="2222" w:type="pct"/>
                  <w:tcBorders>
                    <w:tl2br w:val="nil"/>
                    <w:tr2bl w:val="nil"/>
                  </w:tcBorders>
                  <w:vAlign w:val="center"/>
                </w:tcPr>
                <w:p w14:paraId="7976C93F">
                  <w:pPr>
                    <w:autoSpaceDE w:val="0"/>
                    <w:autoSpaceDN w:val="0"/>
                    <w:adjustRightInd w:val="0"/>
                    <w:snapToGrid w:val="0"/>
                    <w:spacing w:line="240" w:lineRule="auto"/>
                    <w:jc w:val="center"/>
                    <w:rPr>
                      <w:b/>
                      <w:bCs/>
                      <w:kern w:val="0"/>
                      <w:sz w:val="21"/>
                      <w:szCs w:val="21"/>
                    </w:rPr>
                  </w:pPr>
                  <w:r>
                    <w:rPr>
                      <w:b/>
                      <w:bCs/>
                      <w:kern w:val="0"/>
                      <w:sz w:val="21"/>
                      <w:szCs w:val="21"/>
                    </w:rPr>
                    <w:t>设置原则</w:t>
                  </w:r>
                </w:p>
              </w:tc>
              <w:tc>
                <w:tcPr>
                  <w:tcW w:w="1804" w:type="pct"/>
                  <w:tcBorders>
                    <w:tl2br w:val="nil"/>
                    <w:tr2bl w:val="nil"/>
                  </w:tcBorders>
                  <w:vAlign w:val="center"/>
                </w:tcPr>
                <w:p w14:paraId="2DC2DFF9">
                  <w:pPr>
                    <w:autoSpaceDE w:val="0"/>
                    <w:autoSpaceDN w:val="0"/>
                    <w:adjustRightInd w:val="0"/>
                    <w:snapToGrid w:val="0"/>
                    <w:spacing w:line="240" w:lineRule="auto"/>
                    <w:jc w:val="center"/>
                    <w:rPr>
                      <w:b/>
                      <w:bCs/>
                      <w:kern w:val="0"/>
                      <w:sz w:val="21"/>
                      <w:szCs w:val="21"/>
                    </w:rPr>
                  </w:pPr>
                  <w:r>
                    <w:rPr>
                      <w:b/>
                      <w:bCs/>
                      <w:kern w:val="0"/>
                      <w:sz w:val="21"/>
                      <w:szCs w:val="21"/>
                    </w:rPr>
                    <w:t>对照情况</w:t>
                  </w:r>
                </w:p>
              </w:tc>
              <w:tc>
                <w:tcPr>
                  <w:tcW w:w="512" w:type="pct"/>
                  <w:tcBorders>
                    <w:tl2br w:val="nil"/>
                    <w:tr2bl w:val="nil"/>
                  </w:tcBorders>
                  <w:vAlign w:val="center"/>
                </w:tcPr>
                <w:p w14:paraId="18D1F16B">
                  <w:pPr>
                    <w:autoSpaceDE w:val="0"/>
                    <w:autoSpaceDN w:val="0"/>
                    <w:adjustRightInd w:val="0"/>
                    <w:snapToGrid w:val="0"/>
                    <w:spacing w:line="240" w:lineRule="auto"/>
                    <w:jc w:val="center"/>
                    <w:rPr>
                      <w:b/>
                      <w:bCs/>
                      <w:kern w:val="0"/>
                      <w:sz w:val="21"/>
                      <w:szCs w:val="21"/>
                    </w:rPr>
                  </w:pPr>
                  <w:r>
                    <w:rPr>
                      <w:b/>
                      <w:bCs/>
                      <w:kern w:val="0"/>
                      <w:sz w:val="21"/>
                      <w:szCs w:val="21"/>
                    </w:rPr>
                    <w:t>是否设置</w:t>
                  </w:r>
                </w:p>
              </w:tc>
            </w:tr>
            <w:tr w14:paraId="5CE56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tcBorders>
                    <w:tl2br w:val="nil"/>
                    <w:tr2bl w:val="nil"/>
                  </w:tcBorders>
                  <w:vAlign w:val="center"/>
                </w:tcPr>
                <w:p w14:paraId="4EE198EE">
                  <w:pPr>
                    <w:autoSpaceDE w:val="0"/>
                    <w:autoSpaceDN w:val="0"/>
                    <w:adjustRightInd w:val="0"/>
                    <w:snapToGrid w:val="0"/>
                    <w:spacing w:line="240" w:lineRule="auto"/>
                    <w:jc w:val="center"/>
                    <w:rPr>
                      <w:kern w:val="0"/>
                      <w:sz w:val="21"/>
                      <w:szCs w:val="21"/>
                    </w:rPr>
                  </w:pPr>
                  <w:r>
                    <w:rPr>
                      <w:kern w:val="0"/>
                      <w:sz w:val="21"/>
                      <w:szCs w:val="21"/>
                    </w:rPr>
                    <w:t>大气</w:t>
                  </w:r>
                </w:p>
              </w:tc>
              <w:tc>
                <w:tcPr>
                  <w:tcW w:w="2222" w:type="pct"/>
                  <w:tcBorders>
                    <w:tl2br w:val="nil"/>
                    <w:tr2bl w:val="nil"/>
                  </w:tcBorders>
                  <w:vAlign w:val="center"/>
                </w:tcPr>
                <w:p w14:paraId="4305D596">
                  <w:pPr>
                    <w:widowControl/>
                    <w:spacing w:line="240" w:lineRule="auto"/>
                    <w:jc w:val="center"/>
                    <w:rPr>
                      <w:kern w:val="0"/>
                      <w:sz w:val="21"/>
                      <w:szCs w:val="21"/>
                    </w:rPr>
                  </w:pPr>
                  <w:r>
                    <w:rPr>
                      <w:kern w:val="0"/>
                      <w:sz w:val="21"/>
                      <w:szCs w:val="21"/>
                      <w:lang w:bidi="ar"/>
                    </w:rPr>
                    <w:t>排放废气含有毒有害污染物</w:t>
                  </w:r>
                  <w:r>
                    <w:rPr>
                      <w:kern w:val="0"/>
                      <w:sz w:val="21"/>
                      <w:szCs w:val="21"/>
                      <w:vertAlign w:val="superscript"/>
                      <w:lang w:bidi="ar"/>
                    </w:rPr>
                    <w:t>1</w:t>
                  </w:r>
                  <w:r>
                    <w:rPr>
                      <w:kern w:val="0"/>
                      <w:sz w:val="21"/>
                      <w:szCs w:val="21"/>
                      <w:lang w:bidi="ar"/>
                    </w:rPr>
                    <w:t>、二噁英、苯并[</w:t>
                  </w:r>
                  <w:r>
                    <w:rPr>
                      <w:i/>
                      <w:iCs/>
                      <w:kern w:val="0"/>
                      <w:sz w:val="21"/>
                      <w:szCs w:val="21"/>
                      <w:lang w:bidi="ar"/>
                    </w:rPr>
                    <w:t>a</w:t>
                  </w:r>
                  <w:r>
                    <w:rPr>
                      <w:kern w:val="0"/>
                      <w:sz w:val="21"/>
                      <w:szCs w:val="21"/>
                      <w:lang w:bidi="ar"/>
                    </w:rPr>
                    <w:t>]芘、氰化物、氯气且厂界外500米范围内有环境空气保护目标</w:t>
                  </w:r>
                  <w:r>
                    <w:rPr>
                      <w:kern w:val="0"/>
                      <w:sz w:val="21"/>
                      <w:szCs w:val="21"/>
                      <w:vertAlign w:val="superscript"/>
                      <w:lang w:bidi="ar"/>
                    </w:rPr>
                    <w:t>2</w:t>
                  </w:r>
                  <w:r>
                    <w:rPr>
                      <w:kern w:val="0"/>
                      <w:sz w:val="21"/>
                      <w:szCs w:val="21"/>
                      <w:lang w:bidi="ar"/>
                    </w:rPr>
                    <w:t>的建设项目</w:t>
                  </w:r>
                </w:p>
              </w:tc>
              <w:tc>
                <w:tcPr>
                  <w:tcW w:w="1804" w:type="pct"/>
                  <w:tcBorders>
                    <w:tl2br w:val="nil"/>
                    <w:tr2bl w:val="nil"/>
                  </w:tcBorders>
                  <w:vAlign w:val="center"/>
                </w:tcPr>
                <w:p w14:paraId="44B211FD">
                  <w:pPr>
                    <w:widowControl/>
                    <w:spacing w:line="240" w:lineRule="auto"/>
                    <w:jc w:val="center"/>
                    <w:rPr>
                      <w:kern w:val="0"/>
                      <w:sz w:val="21"/>
                      <w:szCs w:val="21"/>
                      <w:lang w:bidi="ar"/>
                    </w:rPr>
                  </w:pPr>
                  <w:r>
                    <w:rPr>
                      <w:kern w:val="0"/>
                      <w:sz w:val="21"/>
                      <w:szCs w:val="21"/>
                      <w:lang w:bidi="ar"/>
                    </w:rPr>
                    <w:t>本项目废气排放</w:t>
                  </w:r>
                  <w:r>
                    <w:rPr>
                      <w:rFonts w:hint="eastAsia"/>
                      <w:kern w:val="0"/>
                      <w:sz w:val="21"/>
                      <w:szCs w:val="21"/>
                      <w:lang w:val="en-US" w:eastAsia="zh-CN" w:bidi="ar"/>
                    </w:rPr>
                    <w:t>不实际</w:t>
                  </w:r>
                  <w:r>
                    <w:rPr>
                      <w:kern w:val="0"/>
                      <w:sz w:val="21"/>
                      <w:szCs w:val="21"/>
                      <w:lang w:bidi="ar"/>
                    </w:rPr>
                    <w:t>有毒有害</w:t>
                  </w:r>
                  <w:r>
                    <w:rPr>
                      <w:rFonts w:hint="eastAsia"/>
                      <w:kern w:val="0"/>
                      <w:sz w:val="21"/>
                      <w:szCs w:val="21"/>
                      <w:lang w:val="en-US" w:eastAsia="zh-CN" w:bidi="ar"/>
                    </w:rPr>
                    <w:t>污染物</w:t>
                  </w:r>
                  <w:r>
                    <w:rPr>
                      <w:kern w:val="0"/>
                      <w:sz w:val="21"/>
                      <w:szCs w:val="21"/>
                      <w:lang w:bidi="ar"/>
                    </w:rPr>
                    <w:t>、二噁英、苯并[</w:t>
                  </w:r>
                  <w:r>
                    <w:rPr>
                      <w:i/>
                      <w:iCs/>
                      <w:kern w:val="0"/>
                      <w:sz w:val="21"/>
                      <w:szCs w:val="21"/>
                      <w:lang w:bidi="ar"/>
                    </w:rPr>
                    <w:t>a</w:t>
                  </w:r>
                  <w:r>
                    <w:rPr>
                      <w:kern w:val="0"/>
                      <w:sz w:val="21"/>
                      <w:szCs w:val="21"/>
                      <w:lang w:bidi="ar"/>
                    </w:rPr>
                    <w:t>]芘、氰化物、氯气</w:t>
                  </w:r>
                </w:p>
              </w:tc>
              <w:tc>
                <w:tcPr>
                  <w:tcW w:w="512" w:type="pct"/>
                  <w:tcBorders>
                    <w:tl2br w:val="nil"/>
                    <w:tr2bl w:val="nil"/>
                  </w:tcBorders>
                  <w:vAlign w:val="center"/>
                </w:tcPr>
                <w:p w14:paraId="4E168C8E">
                  <w:pPr>
                    <w:autoSpaceDE w:val="0"/>
                    <w:autoSpaceDN w:val="0"/>
                    <w:adjustRightInd w:val="0"/>
                    <w:snapToGrid w:val="0"/>
                    <w:spacing w:line="240" w:lineRule="auto"/>
                    <w:jc w:val="center"/>
                    <w:rPr>
                      <w:kern w:val="0"/>
                      <w:sz w:val="21"/>
                      <w:szCs w:val="21"/>
                    </w:rPr>
                  </w:pPr>
                  <w:r>
                    <w:rPr>
                      <w:rFonts w:hint="eastAsia"/>
                      <w:kern w:val="0"/>
                      <w:sz w:val="21"/>
                      <w:szCs w:val="21"/>
                    </w:rPr>
                    <w:t>否</w:t>
                  </w:r>
                </w:p>
              </w:tc>
            </w:tr>
            <w:tr w14:paraId="14045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tcBorders>
                    <w:tl2br w:val="nil"/>
                    <w:tr2bl w:val="nil"/>
                  </w:tcBorders>
                  <w:vAlign w:val="center"/>
                </w:tcPr>
                <w:p w14:paraId="07EAD29F">
                  <w:pPr>
                    <w:autoSpaceDE w:val="0"/>
                    <w:autoSpaceDN w:val="0"/>
                    <w:adjustRightInd w:val="0"/>
                    <w:snapToGrid w:val="0"/>
                    <w:spacing w:line="240" w:lineRule="auto"/>
                    <w:jc w:val="center"/>
                    <w:rPr>
                      <w:kern w:val="0"/>
                      <w:sz w:val="21"/>
                      <w:szCs w:val="21"/>
                    </w:rPr>
                  </w:pPr>
                  <w:r>
                    <w:rPr>
                      <w:kern w:val="0"/>
                      <w:sz w:val="21"/>
                      <w:szCs w:val="21"/>
                    </w:rPr>
                    <w:t>地表水</w:t>
                  </w:r>
                </w:p>
              </w:tc>
              <w:tc>
                <w:tcPr>
                  <w:tcW w:w="2222" w:type="pct"/>
                  <w:tcBorders>
                    <w:tl2br w:val="nil"/>
                    <w:tr2bl w:val="nil"/>
                  </w:tcBorders>
                  <w:vAlign w:val="center"/>
                </w:tcPr>
                <w:p w14:paraId="104C4AAD">
                  <w:pPr>
                    <w:widowControl/>
                    <w:spacing w:line="240" w:lineRule="auto"/>
                    <w:jc w:val="center"/>
                    <w:rPr>
                      <w:kern w:val="0"/>
                      <w:sz w:val="21"/>
                      <w:szCs w:val="21"/>
                    </w:rPr>
                  </w:pPr>
                  <w:r>
                    <w:rPr>
                      <w:kern w:val="0"/>
                      <w:sz w:val="21"/>
                      <w:szCs w:val="21"/>
                      <w:lang w:bidi="ar"/>
                    </w:rPr>
                    <w:t>新增工业废水直排建设项目（槽罐车外送污水处理厂的除外）；新增废水直排的污水集中处理厂</w:t>
                  </w:r>
                </w:p>
              </w:tc>
              <w:tc>
                <w:tcPr>
                  <w:tcW w:w="1804" w:type="pct"/>
                  <w:tcBorders>
                    <w:tl2br w:val="nil"/>
                    <w:tr2bl w:val="nil"/>
                  </w:tcBorders>
                  <w:vAlign w:val="center"/>
                </w:tcPr>
                <w:p w14:paraId="1785526D">
                  <w:pPr>
                    <w:widowControl/>
                    <w:spacing w:line="240" w:lineRule="auto"/>
                    <w:jc w:val="center"/>
                    <w:rPr>
                      <w:kern w:val="0"/>
                      <w:sz w:val="21"/>
                      <w:szCs w:val="21"/>
                      <w:lang w:bidi="ar"/>
                    </w:rPr>
                  </w:pPr>
                  <w:r>
                    <w:rPr>
                      <w:kern w:val="0"/>
                      <w:sz w:val="21"/>
                      <w:szCs w:val="21"/>
                      <w:lang w:bidi="ar"/>
                    </w:rPr>
                    <w:t>本项目不涉及工业废水的直排</w:t>
                  </w:r>
                </w:p>
              </w:tc>
              <w:tc>
                <w:tcPr>
                  <w:tcW w:w="512" w:type="pct"/>
                  <w:tcBorders>
                    <w:tl2br w:val="nil"/>
                    <w:tr2bl w:val="nil"/>
                  </w:tcBorders>
                  <w:vAlign w:val="center"/>
                </w:tcPr>
                <w:p w14:paraId="57C669F1">
                  <w:pPr>
                    <w:autoSpaceDE w:val="0"/>
                    <w:autoSpaceDN w:val="0"/>
                    <w:adjustRightInd w:val="0"/>
                    <w:snapToGrid w:val="0"/>
                    <w:spacing w:line="240" w:lineRule="auto"/>
                    <w:jc w:val="center"/>
                    <w:rPr>
                      <w:kern w:val="0"/>
                      <w:sz w:val="21"/>
                      <w:szCs w:val="21"/>
                    </w:rPr>
                  </w:pPr>
                  <w:r>
                    <w:rPr>
                      <w:kern w:val="0"/>
                      <w:sz w:val="21"/>
                      <w:szCs w:val="21"/>
                    </w:rPr>
                    <w:t>否</w:t>
                  </w:r>
                </w:p>
              </w:tc>
            </w:tr>
            <w:tr w14:paraId="13830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tcBorders>
                    <w:tl2br w:val="nil"/>
                    <w:tr2bl w:val="nil"/>
                  </w:tcBorders>
                  <w:vAlign w:val="center"/>
                </w:tcPr>
                <w:p w14:paraId="29064FF0">
                  <w:pPr>
                    <w:autoSpaceDE w:val="0"/>
                    <w:autoSpaceDN w:val="0"/>
                    <w:adjustRightInd w:val="0"/>
                    <w:snapToGrid w:val="0"/>
                    <w:spacing w:line="240" w:lineRule="auto"/>
                    <w:jc w:val="center"/>
                    <w:rPr>
                      <w:kern w:val="0"/>
                      <w:sz w:val="21"/>
                      <w:szCs w:val="21"/>
                    </w:rPr>
                  </w:pPr>
                  <w:r>
                    <w:rPr>
                      <w:kern w:val="0"/>
                      <w:sz w:val="21"/>
                      <w:szCs w:val="21"/>
                    </w:rPr>
                    <w:t>环境</w:t>
                  </w:r>
                </w:p>
                <w:p w14:paraId="75C786D6">
                  <w:pPr>
                    <w:autoSpaceDE w:val="0"/>
                    <w:autoSpaceDN w:val="0"/>
                    <w:adjustRightInd w:val="0"/>
                    <w:snapToGrid w:val="0"/>
                    <w:spacing w:line="240" w:lineRule="auto"/>
                    <w:jc w:val="center"/>
                    <w:rPr>
                      <w:kern w:val="0"/>
                      <w:sz w:val="21"/>
                      <w:szCs w:val="21"/>
                    </w:rPr>
                  </w:pPr>
                  <w:r>
                    <w:rPr>
                      <w:kern w:val="0"/>
                      <w:sz w:val="21"/>
                      <w:szCs w:val="21"/>
                    </w:rPr>
                    <w:t>风险</w:t>
                  </w:r>
                </w:p>
              </w:tc>
              <w:tc>
                <w:tcPr>
                  <w:tcW w:w="2222" w:type="pct"/>
                  <w:tcBorders>
                    <w:tl2br w:val="nil"/>
                    <w:tr2bl w:val="nil"/>
                  </w:tcBorders>
                  <w:vAlign w:val="center"/>
                </w:tcPr>
                <w:p w14:paraId="2E349339">
                  <w:pPr>
                    <w:widowControl/>
                    <w:spacing w:line="240" w:lineRule="auto"/>
                    <w:jc w:val="center"/>
                    <w:rPr>
                      <w:kern w:val="0"/>
                      <w:sz w:val="21"/>
                      <w:szCs w:val="21"/>
                    </w:rPr>
                  </w:pPr>
                  <w:r>
                    <w:rPr>
                      <w:kern w:val="0"/>
                      <w:sz w:val="21"/>
                      <w:szCs w:val="21"/>
                      <w:lang w:bidi="ar"/>
                    </w:rPr>
                    <w:t>有毒有害和易燃易爆危险物质存储量超过临界量</w:t>
                  </w:r>
                  <w:r>
                    <w:rPr>
                      <w:kern w:val="0"/>
                      <w:sz w:val="21"/>
                      <w:szCs w:val="21"/>
                      <w:vertAlign w:val="superscript"/>
                      <w:lang w:bidi="ar"/>
                    </w:rPr>
                    <w:t>3</w:t>
                  </w:r>
                  <w:r>
                    <w:rPr>
                      <w:kern w:val="0"/>
                      <w:sz w:val="21"/>
                      <w:szCs w:val="21"/>
                      <w:lang w:bidi="ar"/>
                    </w:rPr>
                    <w:t>的建设项目</w:t>
                  </w:r>
                </w:p>
              </w:tc>
              <w:tc>
                <w:tcPr>
                  <w:tcW w:w="1804" w:type="pct"/>
                  <w:tcBorders>
                    <w:tl2br w:val="nil"/>
                    <w:tr2bl w:val="nil"/>
                  </w:tcBorders>
                  <w:vAlign w:val="center"/>
                </w:tcPr>
                <w:p w14:paraId="69C0DC47">
                  <w:pPr>
                    <w:widowControl/>
                    <w:spacing w:line="240" w:lineRule="auto"/>
                    <w:jc w:val="center"/>
                    <w:rPr>
                      <w:kern w:val="0"/>
                      <w:sz w:val="21"/>
                      <w:szCs w:val="21"/>
                      <w:lang w:bidi="ar"/>
                    </w:rPr>
                  </w:pPr>
                  <w:r>
                    <w:rPr>
                      <w:kern w:val="0"/>
                      <w:sz w:val="21"/>
                      <w:szCs w:val="21"/>
                      <w:lang w:bidi="ar"/>
                    </w:rPr>
                    <w:t>本项目危险物质存储量不超过临界量</w:t>
                  </w:r>
                </w:p>
              </w:tc>
              <w:tc>
                <w:tcPr>
                  <w:tcW w:w="512" w:type="pct"/>
                  <w:tcBorders>
                    <w:tl2br w:val="nil"/>
                    <w:tr2bl w:val="nil"/>
                  </w:tcBorders>
                  <w:vAlign w:val="center"/>
                </w:tcPr>
                <w:p w14:paraId="60046640">
                  <w:pPr>
                    <w:autoSpaceDE w:val="0"/>
                    <w:autoSpaceDN w:val="0"/>
                    <w:adjustRightInd w:val="0"/>
                    <w:snapToGrid w:val="0"/>
                    <w:spacing w:line="240" w:lineRule="auto"/>
                    <w:jc w:val="center"/>
                    <w:rPr>
                      <w:kern w:val="0"/>
                      <w:sz w:val="21"/>
                      <w:szCs w:val="21"/>
                    </w:rPr>
                  </w:pPr>
                  <w:r>
                    <w:rPr>
                      <w:kern w:val="0"/>
                      <w:sz w:val="21"/>
                      <w:szCs w:val="21"/>
                    </w:rPr>
                    <w:t>否</w:t>
                  </w:r>
                </w:p>
              </w:tc>
            </w:tr>
            <w:tr w14:paraId="4F63C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tcBorders>
                    <w:tl2br w:val="nil"/>
                    <w:tr2bl w:val="nil"/>
                  </w:tcBorders>
                  <w:vAlign w:val="center"/>
                </w:tcPr>
                <w:p w14:paraId="17B932E3">
                  <w:pPr>
                    <w:autoSpaceDE w:val="0"/>
                    <w:autoSpaceDN w:val="0"/>
                    <w:adjustRightInd w:val="0"/>
                    <w:snapToGrid w:val="0"/>
                    <w:spacing w:line="240" w:lineRule="auto"/>
                    <w:jc w:val="center"/>
                    <w:rPr>
                      <w:kern w:val="0"/>
                      <w:sz w:val="21"/>
                      <w:szCs w:val="21"/>
                    </w:rPr>
                  </w:pPr>
                  <w:r>
                    <w:rPr>
                      <w:kern w:val="0"/>
                      <w:sz w:val="21"/>
                      <w:szCs w:val="21"/>
                    </w:rPr>
                    <w:t>生态</w:t>
                  </w:r>
                </w:p>
              </w:tc>
              <w:tc>
                <w:tcPr>
                  <w:tcW w:w="2222" w:type="pct"/>
                  <w:tcBorders>
                    <w:tl2br w:val="nil"/>
                    <w:tr2bl w:val="nil"/>
                  </w:tcBorders>
                  <w:vAlign w:val="center"/>
                </w:tcPr>
                <w:p w14:paraId="309E2959">
                  <w:pPr>
                    <w:widowControl/>
                    <w:spacing w:line="240" w:lineRule="auto"/>
                    <w:jc w:val="center"/>
                    <w:rPr>
                      <w:kern w:val="0"/>
                      <w:sz w:val="21"/>
                      <w:szCs w:val="21"/>
                    </w:rPr>
                  </w:pPr>
                  <w:r>
                    <w:rPr>
                      <w:kern w:val="0"/>
                      <w:sz w:val="21"/>
                      <w:szCs w:val="21"/>
                      <w:lang w:bidi="ar"/>
                    </w:rPr>
                    <w:t>取水口下游500米范围内有重要水生生物的自然产卵场、索饵场、越冬场和洄游通道的新增河道取水的污染类建设项目</w:t>
                  </w:r>
                </w:p>
              </w:tc>
              <w:tc>
                <w:tcPr>
                  <w:tcW w:w="1804" w:type="pct"/>
                  <w:tcBorders>
                    <w:tl2br w:val="nil"/>
                    <w:tr2bl w:val="nil"/>
                  </w:tcBorders>
                  <w:vAlign w:val="center"/>
                </w:tcPr>
                <w:p w14:paraId="4FE27D2C">
                  <w:pPr>
                    <w:widowControl/>
                    <w:spacing w:line="240" w:lineRule="auto"/>
                    <w:jc w:val="center"/>
                    <w:rPr>
                      <w:rFonts w:hint="eastAsia" w:eastAsia="仿宋"/>
                      <w:kern w:val="0"/>
                      <w:sz w:val="21"/>
                      <w:szCs w:val="21"/>
                      <w:lang w:val="en-US" w:eastAsia="zh-CN" w:bidi="ar"/>
                    </w:rPr>
                  </w:pPr>
                  <w:r>
                    <w:rPr>
                      <w:kern w:val="0"/>
                      <w:sz w:val="21"/>
                      <w:szCs w:val="21"/>
                      <w:lang w:bidi="ar"/>
                    </w:rPr>
                    <w:t>本项目不涉及</w:t>
                  </w:r>
                  <w:r>
                    <w:rPr>
                      <w:rFonts w:hint="eastAsia"/>
                      <w:kern w:val="0"/>
                      <w:sz w:val="21"/>
                      <w:szCs w:val="21"/>
                      <w:lang w:val="en-US" w:eastAsia="zh-CN" w:bidi="ar"/>
                    </w:rPr>
                    <w:t>河道取水</w:t>
                  </w:r>
                </w:p>
              </w:tc>
              <w:tc>
                <w:tcPr>
                  <w:tcW w:w="512" w:type="pct"/>
                  <w:tcBorders>
                    <w:tl2br w:val="nil"/>
                    <w:tr2bl w:val="nil"/>
                  </w:tcBorders>
                  <w:vAlign w:val="center"/>
                </w:tcPr>
                <w:p w14:paraId="36DBC4B4">
                  <w:pPr>
                    <w:autoSpaceDE w:val="0"/>
                    <w:autoSpaceDN w:val="0"/>
                    <w:adjustRightInd w:val="0"/>
                    <w:snapToGrid w:val="0"/>
                    <w:spacing w:line="240" w:lineRule="auto"/>
                    <w:jc w:val="center"/>
                    <w:rPr>
                      <w:kern w:val="0"/>
                      <w:sz w:val="21"/>
                      <w:szCs w:val="21"/>
                    </w:rPr>
                  </w:pPr>
                  <w:r>
                    <w:rPr>
                      <w:kern w:val="0"/>
                      <w:sz w:val="21"/>
                      <w:szCs w:val="21"/>
                    </w:rPr>
                    <w:t>否</w:t>
                  </w:r>
                </w:p>
              </w:tc>
            </w:tr>
            <w:tr w14:paraId="32BE8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tcBorders>
                    <w:tl2br w:val="nil"/>
                    <w:tr2bl w:val="nil"/>
                  </w:tcBorders>
                  <w:vAlign w:val="center"/>
                </w:tcPr>
                <w:p w14:paraId="7C845513">
                  <w:pPr>
                    <w:autoSpaceDE w:val="0"/>
                    <w:autoSpaceDN w:val="0"/>
                    <w:adjustRightInd w:val="0"/>
                    <w:snapToGrid w:val="0"/>
                    <w:spacing w:line="240" w:lineRule="auto"/>
                    <w:jc w:val="center"/>
                    <w:rPr>
                      <w:kern w:val="0"/>
                      <w:sz w:val="21"/>
                      <w:szCs w:val="21"/>
                    </w:rPr>
                  </w:pPr>
                  <w:r>
                    <w:rPr>
                      <w:kern w:val="0"/>
                      <w:sz w:val="21"/>
                      <w:szCs w:val="21"/>
                    </w:rPr>
                    <w:t>海洋</w:t>
                  </w:r>
                </w:p>
              </w:tc>
              <w:tc>
                <w:tcPr>
                  <w:tcW w:w="2222" w:type="pct"/>
                  <w:tcBorders>
                    <w:tl2br w:val="nil"/>
                    <w:tr2bl w:val="nil"/>
                  </w:tcBorders>
                  <w:vAlign w:val="center"/>
                </w:tcPr>
                <w:p w14:paraId="4136E639">
                  <w:pPr>
                    <w:widowControl/>
                    <w:spacing w:line="240" w:lineRule="auto"/>
                    <w:jc w:val="center"/>
                    <w:rPr>
                      <w:kern w:val="0"/>
                      <w:sz w:val="21"/>
                      <w:szCs w:val="21"/>
                    </w:rPr>
                  </w:pPr>
                  <w:r>
                    <w:rPr>
                      <w:kern w:val="0"/>
                      <w:sz w:val="21"/>
                      <w:szCs w:val="21"/>
                      <w:lang w:bidi="ar"/>
                    </w:rPr>
                    <w:t>直接向海排放污染物的海洋工程建设项目</w:t>
                  </w:r>
                </w:p>
              </w:tc>
              <w:tc>
                <w:tcPr>
                  <w:tcW w:w="1804" w:type="pct"/>
                  <w:tcBorders>
                    <w:tl2br w:val="nil"/>
                    <w:tr2bl w:val="nil"/>
                  </w:tcBorders>
                  <w:vAlign w:val="center"/>
                </w:tcPr>
                <w:p w14:paraId="6F5E5D14">
                  <w:pPr>
                    <w:widowControl/>
                    <w:spacing w:line="240" w:lineRule="auto"/>
                    <w:jc w:val="center"/>
                    <w:rPr>
                      <w:rFonts w:hint="default" w:eastAsia="仿宋"/>
                      <w:kern w:val="0"/>
                      <w:sz w:val="21"/>
                      <w:szCs w:val="21"/>
                      <w:lang w:val="en-US" w:eastAsia="zh-CN" w:bidi="ar"/>
                    </w:rPr>
                  </w:pPr>
                  <w:r>
                    <w:rPr>
                      <w:kern w:val="0"/>
                      <w:sz w:val="21"/>
                      <w:szCs w:val="21"/>
                      <w:lang w:bidi="ar"/>
                    </w:rPr>
                    <w:t>本项目不</w:t>
                  </w:r>
                  <w:r>
                    <w:rPr>
                      <w:rFonts w:hint="eastAsia"/>
                      <w:kern w:val="0"/>
                      <w:sz w:val="21"/>
                      <w:szCs w:val="21"/>
                      <w:lang w:val="en-US" w:eastAsia="zh-CN" w:bidi="ar"/>
                    </w:rPr>
                    <w:t>属于海洋工程建设项目</w:t>
                  </w:r>
                </w:p>
              </w:tc>
              <w:tc>
                <w:tcPr>
                  <w:tcW w:w="512" w:type="pct"/>
                  <w:tcBorders>
                    <w:tl2br w:val="nil"/>
                    <w:tr2bl w:val="nil"/>
                  </w:tcBorders>
                  <w:vAlign w:val="center"/>
                </w:tcPr>
                <w:p w14:paraId="7F534BDD">
                  <w:pPr>
                    <w:autoSpaceDE w:val="0"/>
                    <w:autoSpaceDN w:val="0"/>
                    <w:adjustRightInd w:val="0"/>
                    <w:snapToGrid w:val="0"/>
                    <w:spacing w:line="240" w:lineRule="auto"/>
                    <w:jc w:val="center"/>
                    <w:rPr>
                      <w:kern w:val="0"/>
                      <w:sz w:val="21"/>
                      <w:szCs w:val="21"/>
                    </w:rPr>
                  </w:pPr>
                  <w:r>
                    <w:rPr>
                      <w:kern w:val="0"/>
                      <w:sz w:val="21"/>
                      <w:szCs w:val="21"/>
                    </w:rPr>
                    <w:t>否</w:t>
                  </w:r>
                </w:p>
              </w:tc>
            </w:tr>
          </w:tbl>
          <w:p w14:paraId="4BF5E373">
            <w:pPr>
              <w:autoSpaceDE w:val="0"/>
              <w:autoSpaceDN w:val="0"/>
              <w:adjustRightInd w:val="0"/>
              <w:snapToGrid w:val="0"/>
              <w:spacing w:line="240" w:lineRule="auto"/>
              <w:jc w:val="left"/>
              <w:rPr>
                <w:b/>
                <w:bCs/>
                <w:kern w:val="0"/>
                <w:sz w:val="18"/>
                <w:szCs w:val="18"/>
                <w:lang w:bidi="ar"/>
              </w:rPr>
            </w:pPr>
            <w:r>
              <w:rPr>
                <w:b/>
                <w:bCs/>
                <w:kern w:val="0"/>
                <w:sz w:val="18"/>
                <w:szCs w:val="18"/>
                <w:lang w:bidi="ar"/>
              </w:rPr>
              <w:t>注：1.废气中有毒有害污染物指纳入《有毒有害大气污染物名录》的污染物（不包括无排放标准的污染物）。</w:t>
            </w:r>
          </w:p>
          <w:p w14:paraId="7672D9D6">
            <w:pPr>
              <w:autoSpaceDE w:val="0"/>
              <w:autoSpaceDN w:val="0"/>
              <w:adjustRightInd w:val="0"/>
              <w:snapToGrid w:val="0"/>
              <w:spacing w:line="240" w:lineRule="auto"/>
              <w:ind w:firstLine="361" w:firstLineChars="200"/>
              <w:jc w:val="left"/>
              <w:rPr>
                <w:b/>
                <w:bCs/>
                <w:kern w:val="0"/>
                <w:sz w:val="18"/>
                <w:szCs w:val="18"/>
                <w:lang w:bidi="ar"/>
              </w:rPr>
            </w:pPr>
            <w:r>
              <w:rPr>
                <w:rFonts w:hint="eastAsia"/>
                <w:b/>
                <w:bCs/>
                <w:kern w:val="0"/>
                <w:sz w:val="18"/>
                <w:szCs w:val="18"/>
                <w:lang w:bidi="ar"/>
              </w:rPr>
              <w:t>2.</w:t>
            </w:r>
            <w:r>
              <w:rPr>
                <w:b/>
                <w:bCs/>
                <w:kern w:val="0"/>
                <w:sz w:val="18"/>
                <w:szCs w:val="18"/>
                <w:lang w:bidi="ar"/>
              </w:rPr>
              <w:t>环境空气保护目标指自然保护区、风景名胜区、居住区、文化区和农村地区中人群较集中的区域。</w:t>
            </w:r>
          </w:p>
          <w:p w14:paraId="4E4822FA">
            <w:pPr>
              <w:autoSpaceDE w:val="0"/>
              <w:autoSpaceDN w:val="0"/>
              <w:adjustRightInd w:val="0"/>
              <w:snapToGrid w:val="0"/>
              <w:spacing w:line="240" w:lineRule="auto"/>
              <w:ind w:firstLine="361" w:firstLineChars="200"/>
              <w:jc w:val="left"/>
              <w:rPr>
                <w:kern w:val="0"/>
              </w:rPr>
            </w:pPr>
            <w:r>
              <w:rPr>
                <w:b/>
                <w:bCs/>
                <w:kern w:val="0"/>
                <w:sz w:val="18"/>
                <w:szCs w:val="18"/>
                <w:lang w:bidi="ar"/>
              </w:rPr>
              <w:t>3.临界量及其计算方法可参考《建设项目环境风险评价技术导则》（HJ169）附录B、附录C。</w:t>
            </w:r>
          </w:p>
        </w:tc>
      </w:tr>
      <w:tr w14:paraId="5EFFE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3" w:type="dxa"/>
            <w:vAlign w:val="center"/>
          </w:tcPr>
          <w:p w14:paraId="5F71472F">
            <w:pPr>
              <w:autoSpaceDE w:val="0"/>
              <w:autoSpaceDN w:val="0"/>
              <w:adjustRightInd w:val="0"/>
              <w:snapToGrid w:val="0"/>
              <w:spacing w:line="240" w:lineRule="auto"/>
              <w:jc w:val="center"/>
              <w:rPr>
                <w:kern w:val="0"/>
              </w:rPr>
            </w:pPr>
            <w:r>
              <w:t>规划情况</w:t>
            </w:r>
          </w:p>
        </w:tc>
        <w:tc>
          <w:tcPr>
            <w:tcW w:w="7337" w:type="dxa"/>
            <w:gridSpan w:val="3"/>
            <w:vAlign w:val="center"/>
          </w:tcPr>
          <w:p w14:paraId="6BEE8D1E">
            <w:pPr>
              <w:tabs>
                <w:tab w:val="left" w:pos="4216"/>
              </w:tabs>
              <w:autoSpaceDE w:val="0"/>
              <w:autoSpaceDN w:val="0"/>
              <w:adjustRightInd w:val="0"/>
              <w:snapToGrid w:val="0"/>
              <w:jc w:val="left"/>
              <w:rPr>
                <w:rFonts w:hint="eastAsia"/>
              </w:rPr>
            </w:pPr>
            <w:r>
              <w:rPr>
                <w:rFonts w:hint="eastAsia"/>
              </w:rPr>
              <w:t>规划名称：《常州市武进区横山桥镇控制性详细规划（修改）》；</w:t>
            </w:r>
          </w:p>
          <w:p w14:paraId="550CF2F1">
            <w:pPr>
              <w:tabs>
                <w:tab w:val="left" w:pos="4216"/>
              </w:tabs>
              <w:autoSpaceDE w:val="0"/>
              <w:autoSpaceDN w:val="0"/>
              <w:adjustRightInd w:val="0"/>
              <w:snapToGrid w:val="0"/>
              <w:jc w:val="left"/>
              <w:rPr>
                <w:rFonts w:hint="eastAsia"/>
              </w:rPr>
            </w:pPr>
            <w:r>
              <w:rPr>
                <w:rFonts w:hint="eastAsia"/>
              </w:rPr>
              <w:t>批准机关：常州市人民政府；</w:t>
            </w:r>
          </w:p>
          <w:p w14:paraId="1BD26B9F">
            <w:pPr>
              <w:tabs>
                <w:tab w:val="left" w:pos="4216"/>
              </w:tabs>
              <w:autoSpaceDE w:val="0"/>
              <w:autoSpaceDN w:val="0"/>
              <w:adjustRightInd w:val="0"/>
              <w:snapToGrid w:val="0"/>
              <w:jc w:val="left"/>
              <w:rPr>
                <w:rFonts w:hint="eastAsia"/>
              </w:rPr>
            </w:pPr>
            <w:r>
              <w:rPr>
                <w:rFonts w:hint="eastAsia"/>
              </w:rPr>
              <w:t>批准文号：常政复</w:t>
            </w:r>
            <w:r>
              <w:rPr>
                <w:rFonts w:hint="eastAsia"/>
                <w:lang w:eastAsia="zh-CN"/>
              </w:rPr>
              <w:t>〔2019〕83号</w:t>
            </w:r>
            <w:r>
              <w:rPr>
                <w:rFonts w:hint="eastAsia"/>
              </w:rPr>
              <w:t>。</w:t>
            </w:r>
          </w:p>
        </w:tc>
      </w:tr>
      <w:tr w14:paraId="62033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3" w:type="dxa"/>
            <w:vAlign w:val="center"/>
          </w:tcPr>
          <w:p w14:paraId="782C6B18">
            <w:pPr>
              <w:adjustRightInd w:val="0"/>
              <w:snapToGrid w:val="0"/>
              <w:spacing w:line="240" w:lineRule="auto"/>
              <w:jc w:val="center"/>
              <w:rPr>
                <w:kern w:val="0"/>
              </w:rPr>
            </w:pPr>
            <w:r>
              <w:t>规划环境影响评价情况</w:t>
            </w:r>
          </w:p>
        </w:tc>
        <w:tc>
          <w:tcPr>
            <w:tcW w:w="7337" w:type="dxa"/>
            <w:gridSpan w:val="3"/>
            <w:vAlign w:val="center"/>
          </w:tcPr>
          <w:p w14:paraId="41911DE3">
            <w:pPr>
              <w:autoSpaceDE w:val="0"/>
              <w:autoSpaceDN w:val="0"/>
              <w:adjustRightInd w:val="0"/>
              <w:snapToGrid w:val="0"/>
              <w:spacing w:line="240" w:lineRule="auto"/>
              <w:jc w:val="center"/>
              <w:rPr>
                <w:kern w:val="0"/>
              </w:rPr>
            </w:pPr>
            <w:r>
              <w:rPr>
                <w:kern w:val="0"/>
              </w:rPr>
              <w:t>无</w:t>
            </w:r>
          </w:p>
        </w:tc>
      </w:tr>
      <w:tr w14:paraId="4FE93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3" w:type="dxa"/>
            <w:vAlign w:val="center"/>
          </w:tcPr>
          <w:p w14:paraId="028C5A0C">
            <w:pPr>
              <w:autoSpaceDE w:val="0"/>
              <w:autoSpaceDN w:val="0"/>
              <w:adjustRightInd w:val="0"/>
              <w:snapToGrid w:val="0"/>
              <w:spacing w:line="240" w:lineRule="auto"/>
              <w:jc w:val="center"/>
              <w:rPr>
                <w:kern w:val="0"/>
              </w:rPr>
            </w:pPr>
            <w:r>
              <w:rPr>
                <w:kern w:val="0"/>
              </w:rPr>
              <w:t>规划及规划环境影响评价符合性分析</w:t>
            </w:r>
          </w:p>
        </w:tc>
        <w:tc>
          <w:tcPr>
            <w:tcW w:w="7337" w:type="dxa"/>
            <w:gridSpan w:val="3"/>
            <w:vAlign w:val="center"/>
          </w:tcPr>
          <w:p w14:paraId="17A7418E">
            <w:pPr>
              <w:tabs>
                <w:tab w:val="left" w:pos="4216"/>
              </w:tabs>
              <w:autoSpaceDE w:val="0"/>
              <w:autoSpaceDN w:val="0"/>
              <w:adjustRightInd w:val="0"/>
              <w:snapToGrid w:val="0"/>
              <w:ind w:firstLine="480" w:firstLineChars="200"/>
              <w:jc w:val="left"/>
            </w:pPr>
            <w:r>
              <w:rPr>
                <w:rFonts w:hint="eastAsia"/>
              </w:rPr>
              <w:t>规划相符性分析：</w:t>
            </w:r>
          </w:p>
          <w:p w14:paraId="0787396A">
            <w:pPr>
              <w:tabs>
                <w:tab w:val="left" w:pos="4216"/>
              </w:tabs>
              <w:autoSpaceDE w:val="0"/>
              <w:autoSpaceDN w:val="0"/>
              <w:adjustRightInd w:val="0"/>
              <w:snapToGrid w:val="0"/>
              <w:ind w:firstLine="480" w:firstLineChars="200"/>
              <w:jc w:val="left"/>
              <w:rPr>
                <w:rFonts w:hint="default" w:eastAsia="仿宋"/>
                <w:b/>
                <w:bCs/>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产业定位</w:t>
            </w:r>
          </w:p>
          <w:p w14:paraId="6EBF799B">
            <w:pPr>
              <w:tabs>
                <w:tab w:val="left" w:pos="4216"/>
              </w:tabs>
              <w:autoSpaceDE w:val="0"/>
              <w:autoSpaceDN w:val="0"/>
              <w:adjustRightInd w:val="0"/>
              <w:snapToGrid w:val="0"/>
              <w:ind w:firstLine="480" w:firstLineChars="200"/>
              <w:jc w:val="left"/>
              <w:rPr>
                <w:rFonts w:hint="eastAsia" w:eastAsia="仿宋"/>
                <w:lang w:eastAsia="zh-CN"/>
              </w:rPr>
            </w:pPr>
            <w:r>
              <w:rPr>
                <w:rFonts w:hint="eastAsia"/>
              </w:rPr>
              <w:t>根据《常州武进横山桥镇总体规划》及其</w:t>
            </w:r>
            <w:r>
              <w:t>2018</w:t>
            </w:r>
            <w:r>
              <w:rPr>
                <w:rFonts w:hint="eastAsia"/>
              </w:rPr>
              <w:t>年修编材料，横山桥产业定位为：</w:t>
            </w:r>
            <w:r>
              <w:rPr>
                <w:rFonts w:hint="eastAsia"/>
                <w:lang w:eastAsia="zh-CN"/>
              </w:rPr>
              <w:t>“</w:t>
            </w:r>
            <w:r>
              <w:rPr>
                <w:rFonts w:hint="eastAsia"/>
              </w:rPr>
              <w:t>Ⅰ、做强支柱产业不放松。重点培育金属制造、电子电器龙头企业；Ⅱ、重点发展高端装备制造不放松（油缸、传动轴、智能电网配套等）；Ⅲ、重点发展汽车配套产业不放松（雨量传感器、传动轴等）；Ⅳ、重点发展新材料产业不放松（水性涂料、水处理等）。</w:t>
            </w:r>
            <w:r>
              <w:rPr>
                <w:rFonts w:hint="eastAsia"/>
                <w:lang w:eastAsia="zh-CN"/>
              </w:rPr>
              <w:t>”</w:t>
            </w:r>
          </w:p>
          <w:p w14:paraId="46F7640F">
            <w:pPr>
              <w:ind w:firstLine="482" w:firstLineChars="200"/>
              <w:rPr>
                <w:rFonts w:hint="eastAsia"/>
                <w:b/>
                <w:bCs/>
              </w:rPr>
            </w:pPr>
            <w:r>
              <w:rPr>
                <w:rFonts w:hint="eastAsia"/>
                <w:b/>
                <w:bCs/>
              </w:rPr>
              <w:t>本项目</w:t>
            </w:r>
            <w:r>
              <w:rPr>
                <w:rFonts w:hint="eastAsia"/>
                <w:b/>
                <w:bCs/>
                <w:lang w:val="en-US" w:eastAsia="zh-CN"/>
              </w:rPr>
              <w:t>从事铝制零部件生产（包含新能源汽车配件、电机配件、石化设备配件、医疗器械配件）</w:t>
            </w:r>
            <w:r>
              <w:rPr>
                <w:rFonts w:hint="eastAsia"/>
                <w:b/>
                <w:bCs/>
              </w:rPr>
              <w:t>，</w:t>
            </w:r>
            <w:r>
              <w:rPr>
                <w:rFonts w:hint="eastAsia"/>
                <w:b/>
                <w:bCs/>
                <w:lang w:val="en-US" w:eastAsia="zh-CN"/>
              </w:rPr>
              <w:t>不违背</w:t>
            </w:r>
            <w:r>
              <w:rPr>
                <w:rFonts w:hint="eastAsia"/>
                <w:b/>
                <w:bCs/>
              </w:rPr>
              <w:t>横山桥产业定位。</w:t>
            </w:r>
          </w:p>
          <w:p w14:paraId="653D13A5">
            <w:pPr>
              <w:tabs>
                <w:tab w:val="left" w:pos="4216"/>
              </w:tabs>
              <w:autoSpaceDE w:val="0"/>
              <w:autoSpaceDN w:val="0"/>
              <w:adjustRightInd w:val="0"/>
              <w:snapToGrid w:val="0"/>
              <w:ind w:firstLine="480" w:firstLineChars="200"/>
              <w:jc w:val="left"/>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用地规划</w:t>
            </w:r>
          </w:p>
          <w:p w14:paraId="33FD9D58">
            <w:pPr>
              <w:ind w:firstLine="482" w:firstLineChars="200"/>
              <w:rPr>
                <w:b/>
                <w:bCs/>
              </w:rPr>
            </w:pPr>
            <w:r>
              <w:rPr>
                <w:rFonts w:hint="eastAsia"/>
                <w:b/>
                <w:bCs/>
                <w:lang w:val="en-US" w:eastAsia="zh-CN"/>
              </w:rPr>
              <w:t>本项目位于常州经济开发区横山桥镇新安村委新芙路78号，</w:t>
            </w:r>
            <w:r>
              <w:rPr>
                <w:rFonts w:hint="eastAsia"/>
                <w:b/>
                <w:bCs/>
              </w:rPr>
              <w:t>根据</w:t>
            </w:r>
            <w:r>
              <w:rPr>
                <w:rFonts w:hint="eastAsia"/>
                <w:b/>
                <w:bCs/>
                <w:lang w:eastAsia="zh-CN"/>
              </w:rPr>
              <w:t>《</w:t>
            </w:r>
            <w:r>
              <w:rPr>
                <w:rFonts w:hint="eastAsia"/>
                <w:b/>
                <w:bCs/>
                <w:lang w:val="en-US" w:eastAsia="zh-CN"/>
              </w:rPr>
              <w:t>常州市武进区横山桥镇新安村村庄规划</w:t>
            </w:r>
            <w:r>
              <w:rPr>
                <w:rFonts w:hint="eastAsia"/>
                <w:b/>
                <w:bCs/>
                <w:lang w:eastAsia="zh-CN"/>
              </w:rPr>
              <w:t>》（</w:t>
            </w:r>
            <w:r>
              <w:rPr>
                <w:rFonts w:hint="eastAsia"/>
                <w:b/>
                <w:bCs/>
                <w:lang w:val="en-US" w:eastAsia="zh-CN"/>
              </w:rPr>
              <w:t>2021-2035年</w:t>
            </w:r>
            <w:r>
              <w:rPr>
                <w:rFonts w:hint="eastAsia"/>
                <w:b/>
                <w:bCs/>
                <w:lang w:eastAsia="zh-CN"/>
              </w:rPr>
              <w:t>）</w:t>
            </w:r>
            <w:r>
              <w:rPr>
                <w:rFonts w:hint="eastAsia"/>
                <w:b/>
                <w:bCs/>
              </w:rPr>
              <w:t>，项目所在地地块</w:t>
            </w:r>
            <w:r>
              <w:rPr>
                <w:rFonts w:hint="eastAsia"/>
                <w:b/>
                <w:bCs/>
                <w:lang w:val="en-US" w:eastAsia="zh-CN"/>
              </w:rPr>
              <w:t>规划</w:t>
            </w:r>
            <w:r>
              <w:rPr>
                <w:rFonts w:hint="eastAsia"/>
                <w:b/>
                <w:bCs/>
              </w:rPr>
              <w:t>为工业用地，且周边均为工业企业，符合用地规划。</w:t>
            </w:r>
          </w:p>
          <w:p w14:paraId="47DF4D88">
            <w:pPr>
              <w:tabs>
                <w:tab w:val="left" w:pos="4216"/>
              </w:tabs>
              <w:autoSpaceDE w:val="0"/>
              <w:autoSpaceDN w:val="0"/>
              <w:adjustRightInd w:val="0"/>
              <w:snapToGrid w:val="0"/>
              <w:ind w:firstLine="480" w:firstLineChars="200"/>
              <w:jc w:val="left"/>
              <w:rPr>
                <w:rFonts w:hint="eastAsia"/>
              </w:rPr>
            </w:pPr>
            <w:r>
              <w:rPr>
                <w:rFonts w:hint="eastAsia"/>
                <w:lang w:eastAsia="zh-CN"/>
              </w:rPr>
              <w:t>（</w:t>
            </w:r>
            <w:r>
              <w:rPr>
                <w:rFonts w:hint="eastAsia"/>
                <w:lang w:val="en-US" w:eastAsia="zh-CN"/>
              </w:rPr>
              <w:t>3</w:t>
            </w:r>
            <w:r>
              <w:rPr>
                <w:rFonts w:hint="eastAsia"/>
                <w:lang w:eastAsia="zh-CN"/>
              </w:rPr>
              <w:t>）</w:t>
            </w:r>
            <w:r>
              <w:rPr>
                <w:rFonts w:hint="eastAsia"/>
                <w:lang w:val="en-US" w:eastAsia="zh-CN"/>
              </w:rPr>
              <w:t>配套设施</w:t>
            </w:r>
          </w:p>
          <w:p w14:paraId="484599D7">
            <w:pPr>
              <w:ind w:firstLine="482" w:firstLineChars="200"/>
            </w:pPr>
            <w:r>
              <w:rPr>
                <w:rFonts w:hint="eastAsia"/>
                <w:b/>
                <w:bCs/>
                <w:lang w:val="en-US" w:eastAsia="zh-CN"/>
              </w:rPr>
              <w:t>本项目所在区域给水、排水、供电、燃气等基础设施完备，具备污染集中控制条件，与区域环境规划相容。因此，本项目符合区域用地规划、环保规划等相关规划要求。</w:t>
            </w:r>
          </w:p>
        </w:tc>
      </w:tr>
      <w:tr w14:paraId="4CC69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3" w:type="dxa"/>
            <w:vAlign w:val="center"/>
          </w:tcPr>
          <w:p w14:paraId="0CA14FE1">
            <w:pPr>
              <w:autoSpaceDE w:val="0"/>
              <w:autoSpaceDN w:val="0"/>
              <w:adjustRightInd w:val="0"/>
              <w:snapToGrid w:val="0"/>
              <w:spacing w:line="240" w:lineRule="auto"/>
              <w:jc w:val="center"/>
              <w:rPr>
                <w:kern w:val="0"/>
              </w:rPr>
            </w:pPr>
            <w:r>
              <w:rPr>
                <w:kern w:val="0"/>
              </w:rPr>
              <w:t>其他符合性分析</w:t>
            </w:r>
          </w:p>
        </w:tc>
        <w:tc>
          <w:tcPr>
            <w:tcW w:w="7337" w:type="dxa"/>
            <w:gridSpan w:val="3"/>
            <w:vAlign w:val="center"/>
          </w:tcPr>
          <w:p w14:paraId="40CB1F24">
            <w:pPr>
              <w:numPr>
                <w:ilvl w:val="0"/>
                <w:numId w:val="2"/>
              </w:numPr>
              <w:autoSpaceDE w:val="0"/>
              <w:autoSpaceDN w:val="0"/>
              <w:adjustRightInd w:val="0"/>
              <w:ind w:firstLine="482" w:firstLineChars="200"/>
              <w:rPr>
                <w:b/>
                <w:bCs/>
              </w:rPr>
            </w:pPr>
            <w:r>
              <w:rPr>
                <w:rFonts w:hint="eastAsia"/>
                <w:b/>
                <w:bCs/>
              </w:rPr>
              <w:t>产业政策相符性分析</w:t>
            </w:r>
          </w:p>
          <w:p w14:paraId="3175D4D0">
            <w:pPr>
              <w:topLinePunct/>
              <w:spacing w:line="240" w:lineRule="auto"/>
              <w:jc w:val="center"/>
              <w:rPr>
                <w:b/>
                <w:sz w:val="21"/>
                <w:szCs w:val="21"/>
              </w:rPr>
            </w:pPr>
            <w:r>
              <w:rPr>
                <w:b/>
                <w:sz w:val="21"/>
                <w:szCs w:val="21"/>
              </w:rPr>
              <w:t>表1-</w:t>
            </w:r>
            <w:r>
              <w:rPr>
                <w:rFonts w:hint="eastAsia"/>
                <w:b/>
                <w:sz w:val="21"/>
                <w:szCs w:val="21"/>
              </w:rPr>
              <w:t>2</w:t>
            </w:r>
            <w:r>
              <w:rPr>
                <w:b/>
                <w:sz w:val="21"/>
                <w:szCs w:val="21"/>
              </w:rPr>
              <w:t xml:space="preserve">  </w:t>
            </w:r>
            <w:r>
              <w:rPr>
                <w:rFonts w:hint="eastAsia"/>
                <w:b/>
                <w:sz w:val="21"/>
                <w:szCs w:val="21"/>
              </w:rPr>
              <w:t>本项目产业政策相符性分析</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5370"/>
              <w:gridCol w:w="944"/>
            </w:tblGrid>
            <w:tr w14:paraId="78E9E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64" w:type="pct"/>
                  <w:tcBorders>
                    <w:tl2br w:val="nil"/>
                    <w:tr2bl w:val="nil"/>
                  </w:tcBorders>
                  <w:vAlign w:val="center"/>
                </w:tcPr>
                <w:p w14:paraId="4F56F931">
                  <w:pPr>
                    <w:adjustRightInd w:val="0"/>
                    <w:snapToGrid w:val="0"/>
                    <w:spacing w:line="240" w:lineRule="auto"/>
                    <w:jc w:val="center"/>
                    <w:rPr>
                      <w:rFonts w:ascii="仿宋" w:hAnsi="仿宋" w:cs="仿宋"/>
                      <w:b/>
                      <w:bCs/>
                      <w:kern w:val="0"/>
                      <w:sz w:val="21"/>
                      <w:szCs w:val="21"/>
                    </w:rPr>
                  </w:pPr>
                  <w:r>
                    <w:rPr>
                      <w:rFonts w:hint="eastAsia" w:ascii="仿宋" w:hAnsi="仿宋" w:cs="仿宋"/>
                      <w:b/>
                      <w:bCs/>
                      <w:kern w:val="0"/>
                      <w:sz w:val="21"/>
                      <w:szCs w:val="21"/>
                    </w:rPr>
                    <w:t>判断类型</w:t>
                  </w:r>
                </w:p>
              </w:tc>
              <w:tc>
                <w:tcPr>
                  <w:tcW w:w="3772" w:type="pct"/>
                  <w:tcBorders>
                    <w:tl2br w:val="nil"/>
                    <w:tr2bl w:val="nil"/>
                  </w:tcBorders>
                  <w:vAlign w:val="center"/>
                </w:tcPr>
                <w:p w14:paraId="34F63206">
                  <w:pPr>
                    <w:adjustRightInd w:val="0"/>
                    <w:snapToGrid w:val="0"/>
                    <w:spacing w:line="240" w:lineRule="auto"/>
                    <w:jc w:val="center"/>
                    <w:rPr>
                      <w:rFonts w:ascii="仿宋" w:hAnsi="仿宋" w:cs="仿宋"/>
                      <w:b/>
                      <w:bCs/>
                      <w:kern w:val="0"/>
                      <w:sz w:val="21"/>
                      <w:szCs w:val="21"/>
                    </w:rPr>
                  </w:pPr>
                  <w:r>
                    <w:rPr>
                      <w:rFonts w:hint="eastAsia" w:ascii="仿宋" w:hAnsi="仿宋" w:cs="仿宋"/>
                      <w:b/>
                      <w:bCs/>
                      <w:kern w:val="0"/>
                      <w:sz w:val="21"/>
                      <w:szCs w:val="21"/>
                    </w:rPr>
                    <w:t>对照简析</w:t>
                  </w:r>
                </w:p>
              </w:tc>
              <w:tc>
                <w:tcPr>
                  <w:tcW w:w="663" w:type="pct"/>
                  <w:tcBorders>
                    <w:tl2br w:val="nil"/>
                    <w:tr2bl w:val="nil"/>
                  </w:tcBorders>
                  <w:vAlign w:val="center"/>
                </w:tcPr>
                <w:p w14:paraId="3B159A26">
                  <w:pPr>
                    <w:adjustRightInd w:val="0"/>
                    <w:snapToGrid w:val="0"/>
                    <w:spacing w:line="240" w:lineRule="auto"/>
                    <w:jc w:val="center"/>
                    <w:rPr>
                      <w:rFonts w:ascii="仿宋" w:hAnsi="仿宋" w:cs="仿宋"/>
                      <w:b/>
                      <w:bCs/>
                      <w:kern w:val="0"/>
                      <w:sz w:val="21"/>
                      <w:szCs w:val="21"/>
                    </w:rPr>
                  </w:pPr>
                  <w:r>
                    <w:rPr>
                      <w:rFonts w:hint="eastAsia" w:ascii="仿宋" w:hAnsi="仿宋" w:cs="仿宋"/>
                      <w:b/>
                      <w:bCs/>
                      <w:kern w:val="0"/>
                      <w:sz w:val="21"/>
                      <w:szCs w:val="21"/>
                    </w:rPr>
                    <w:t>是否满足要求</w:t>
                  </w:r>
                </w:p>
              </w:tc>
            </w:tr>
            <w:tr w14:paraId="5DD50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restart"/>
                  <w:tcBorders>
                    <w:tl2br w:val="nil"/>
                    <w:tr2bl w:val="nil"/>
                  </w:tcBorders>
                  <w:vAlign w:val="center"/>
                </w:tcPr>
                <w:p w14:paraId="652D0C54">
                  <w:pPr>
                    <w:adjustRightInd w:val="0"/>
                    <w:snapToGrid w:val="0"/>
                    <w:spacing w:line="240" w:lineRule="auto"/>
                    <w:jc w:val="center"/>
                    <w:rPr>
                      <w:kern w:val="0"/>
                      <w:sz w:val="21"/>
                      <w:szCs w:val="21"/>
                    </w:rPr>
                  </w:pPr>
                  <w:r>
                    <w:rPr>
                      <w:sz w:val="21"/>
                    </w:rPr>
                    <w:t>产业政策</w:t>
                  </w:r>
                </w:p>
              </w:tc>
              <w:tc>
                <w:tcPr>
                  <w:tcW w:w="3772" w:type="pct"/>
                  <w:tcBorders>
                    <w:tl2br w:val="nil"/>
                    <w:tr2bl w:val="nil"/>
                  </w:tcBorders>
                  <w:vAlign w:val="center"/>
                </w:tcPr>
                <w:p w14:paraId="7A17E6A4">
                  <w:pPr>
                    <w:spacing w:line="240" w:lineRule="auto"/>
                    <w:ind w:firstLine="420" w:firstLineChars="200"/>
                    <w:rPr>
                      <w:kern w:val="0"/>
                      <w:sz w:val="21"/>
                      <w:szCs w:val="21"/>
                    </w:rPr>
                  </w:pPr>
                  <w:r>
                    <w:rPr>
                      <w:sz w:val="21"/>
                    </w:rPr>
                    <w:t>本项目属于</w:t>
                  </w:r>
                  <w:r>
                    <w:rPr>
                      <w:rFonts w:hint="eastAsia"/>
                      <w:sz w:val="21"/>
                      <w:lang w:eastAsia="zh-CN"/>
                    </w:rPr>
                    <w:t>C3812电动机制造、C3670汽车零部件及配件制造、C3392有色金属铸造</w:t>
                  </w:r>
                  <w:r>
                    <w:rPr>
                      <w:sz w:val="21"/>
                    </w:rPr>
                    <w:t>，</w:t>
                  </w:r>
                  <w:r>
                    <w:rPr>
                      <w:rFonts w:hint="eastAsia"/>
                      <w:sz w:val="21"/>
                    </w:rPr>
                    <w:t>不</w:t>
                  </w:r>
                  <w:r>
                    <w:rPr>
                      <w:sz w:val="21"/>
                    </w:rPr>
                    <w:t>属于《产业结构调整指导目录（</w:t>
                  </w:r>
                  <w:r>
                    <w:rPr>
                      <w:rFonts w:hint="eastAsia"/>
                      <w:sz w:val="21"/>
                    </w:rPr>
                    <w:t>2024</w:t>
                  </w:r>
                  <w:r>
                    <w:rPr>
                      <w:sz w:val="21"/>
                    </w:rPr>
                    <w:t>年本）》中</w:t>
                  </w:r>
                  <w:r>
                    <w:rPr>
                      <w:rFonts w:hint="eastAsia"/>
                      <w:sz w:val="21"/>
                      <w:lang w:eastAsia="zh-CN"/>
                    </w:rPr>
                    <w:t>“</w:t>
                  </w:r>
                  <w:r>
                    <w:rPr>
                      <w:rFonts w:hint="eastAsia"/>
                      <w:sz w:val="21"/>
                    </w:rPr>
                    <w:t>限制类</w:t>
                  </w:r>
                  <w:r>
                    <w:rPr>
                      <w:rFonts w:hint="eastAsia"/>
                      <w:sz w:val="21"/>
                      <w:lang w:eastAsia="zh-CN"/>
                    </w:rPr>
                    <w:t>”</w:t>
                  </w:r>
                  <w:r>
                    <w:rPr>
                      <w:rFonts w:hint="eastAsia"/>
                      <w:sz w:val="21"/>
                    </w:rPr>
                    <w:t>和</w:t>
                  </w:r>
                  <w:r>
                    <w:rPr>
                      <w:rFonts w:hint="eastAsia"/>
                      <w:sz w:val="21"/>
                      <w:lang w:eastAsia="zh-CN"/>
                    </w:rPr>
                    <w:t>“</w:t>
                  </w:r>
                  <w:r>
                    <w:rPr>
                      <w:rFonts w:hint="eastAsia"/>
                      <w:sz w:val="21"/>
                    </w:rPr>
                    <w:t>淘汰类</w:t>
                  </w:r>
                  <w:r>
                    <w:rPr>
                      <w:rFonts w:hint="eastAsia"/>
                      <w:sz w:val="21"/>
                      <w:lang w:eastAsia="zh-CN"/>
                    </w:rPr>
                    <w:t>”</w:t>
                  </w:r>
                  <w:r>
                    <w:rPr>
                      <w:rFonts w:hint="eastAsia"/>
                      <w:sz w:val="21"/>
                    </w:rPr>
                    <w:t>项目</w:t>
                  </w:r>
                  <w:r>
                    <w:rPr>
                      <w:sz w:val="21"/>
                    </w:rPr>
                    <w:t>。</w:t>
                  </w:r>
                </w:p>
              </w:tc>
              <w:tc>
                <w:tcPr>
                  <w:tcW w:w="663" w:type="pct"/>
                  <w:tcBorders>
                    <w:tl2br w:val="nil"/>
                    <w:tr2bl w:val="nil"/>
                  </w:tcBorders>
                  <w:vAlign w:val="center"/>
                </w:tcPr>
                <w:p w14:paraId="026F9B49">
                  <w:pPr>
                    <w:adjustRightInd w:val="0"/>
                    <w:snapToGrid w:val="0"/>
                    <w:spacing w:line="240" w:lineRule="auto"/>
                    <w:jc w:val="center"/>
                    <w:rPr>
                      <w:kern w:val="0"/>
                      <w:sz w:val="21"/>
                      <w:szCs w:val="21"/>
                    </w:rPr>
                  </w:pPr>
                  <w:r>
                    <w:rPr>
                      <w:sz w:val="21"/>
                    </w:rPr>
                    <w:t>是</w:t>
                  </w:r>
                </w:p>
              </w:tc>
            </w:tr>
            <w:tr w14:paraId="75F0B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tcBorders>
                    <w:tl2br w:val="nil"/>
                    <w:tr2bl w:val="nil"/>
                  </w:tcBorders>
                  <w:vAlign w:val="center"/>
                </w:tcPr>
                <w:p w14:paraId="0A831954">
                  <w:pPr>
                    <w:adjustRightInd w:val="0"/>
                    <w:snapToGrid w:val="0"/>
                    <w:spacing w:line="240" w:lineRule="auto"/>
                    <w:jc w:val="center"/>
                    <w:rPr>
                      <w:sz w:val="21"/>
                    </w:rPr>
                  </w:pPr>
                </w:p>
              </w:tc>
              <w:tc>
                <w:tcPr>
                  <w:tcW w:w="3772" w:type="pct"/>
                  <w:tcBorders>
                    <w:tl2br w:val="nil"/>
                    <w:tr2bl w:val="nil"/>
                  </w:tcBorders>
                  <w:vAlign w:val="center"/>
                </w:tcPr>
                <w:p w14:paraId="5413E569">
                  <w:pPr>
                    <w:spacing w:line="240" w:lineRule="auto"/>
                    <w:ind w:firstLine="420" w:firstLineChars="200"/>
                    <w:rPr>
                      <w:sz w:val="21"/>
                    </w:rPr>
                  </w:pPr>
                  <w:r>
                    <w:rPr>
                      <w:sz w:val="21"/>
                    </w:rPr>
                    <w:t>本项目属于</w:t>
                  </w:r>
                  <w:r>
                    <w:rPr>
                      <w:rFonts w:hint="eastAsia"/>
                      <w:sz w:val="21"/>
                      <w:lang w:eastAsia="zh-CN"/>
                    </w:rPr>
                    <w:t>C3812电动机制造、C3670汽车零部件及配件制造、C3392有色金属铸造</w:t>
                  </w:r>
                  <w:r>
                    <w:rPr>
                      <w:sz w:val="21"/>
                    </w:rPr>
                    <w:t>，</w:t>
                  </w:r>
                  <w:r>
                    <w:rPr>
                      <w:rFonts w:hint="eastAsia"/>
                      <w:sz w:val="21"/>
                    </w:rPr>
                    <w:t>不</w:t>
                  </w:r>
                  <w:r>
                    <w:rPr>
                      <w:sz w:val="21"/>
                    </w:rPr>
                    <w:t>属于</w:t>
                  </w:r>
                  <w:r>
                    <w:rPr>
                      <w:rFonts w:hint="eastAsia"/>
                      <w:sz w:val="21"/>
                    </w:rPr>
                    <w:t>《</w:t>
                  </w:r>
                  <w:r>
                    <w:rPr>
                      <w:sz w:val="21"/>
                    </w:rPr>
                    <w:t>中共江苏省委办公厅江苏省人民政府办公厅关于加快全省化工钢铁煤电行业转型升级高质量发展的实施意见</w:t>
                  </w:r>
                  <w:r>
                    <w:rPr>
                      <w:rFonts w:hint="eastAsia"/>
                      <w:sz w:val="21"/>
                    </w:rPr>
                    <w:t>》（苏办</w:t>
                  </w:r>
                  <w:r>
                    <w:rPr>
                      <w:rFonts w:hint="eastAsia"/>
                      <w:sz w:val="21"/>
                      <w:lang w:val="en-US" w:eastAsia="zh-CN"/>
                    </w:rPr>
                    <w:t>发〔2018〕32号</w:t>
                  </w:r>
                  <w:r>
                    <w:rPr>
                      <w:rFonts w:hint="eastAsia"/>
                      <w:sz w:val="21"/>
                    </w:rPr>
                    <w:t>）中附件3《江苏省产业结构调整限制、淘汰和禁止目录》中的</w:t>
                  </w:r>
                  <w:r>
                    <w:rPr>
                      <w:sz w:val="21"/>
                    </w:rPr>
                    <w:t>禁止类和限制类项目</w:t>
                  </w:r>
                  <w:r>
                    <w:rPr>
                      <w:rFonts w:hint="eastAsia"/>
                      <w:sz w:val="21"/>
                    </w:rPr>
                    <w:t>。</w:t>
                  </w:r>
                </w:p>
              </w:tc>
              <w:tc>
                <w:tcPr>
                  <w:tcW w:w="663" w:type="pct"/>
                  <w:tcBorders>
                    <w:tl2br w:val="nil"/>
                    <w:tr2bl w:val="nil"/>
                  </w:tcBorders>
                  <w:vAlign w:val="center"/>
                </w:tcPr>
                <w:p w14:paraId="41C54DAE">
                  <w:pPr>
                    <w:adjustRightInd w:val="0"/>
                    <w:snapToGrid w:val="0"/>
                    <w:spacing w:line="240" w:lineRule="auto"/>
                    <w:jc w:val="center"/>
                    <w:rPr>
                      <w:sz w:val="21"/>
                    </w:rPr>
                  </w:pPr>
                  <w:r>
                    <w:rPr>
                      <w:sz w:val="21"/>
                    </w:rPr>
                    <w:t>是</w:t>
                  </w:r>
                </w:p>
              </w:tc>
            </w:tr>
            <w:tr w14:paraId="7E66E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tcBorders>
                    <w:tl2br w:val="nil"/>
                    <w:tr2bl w:val="nil"/>
                  </w:tcBorders>
                  <w:vAlign w:val="center"/>
                </w:tcPr>
                <w:p w14:paraId="580C80E9">
                  <w:pPr>
                    <w:adjustRightInd w:val="0"/>
                    <w:snapToGrid w:val="0"/>
                    <w:spacing w:line="240" w:lineRule="auto"/>
                    <w:jc w:val="center"/>
                    <w:rPr>
                      <w:kern w:val="0"/>
                      <w:sz w:val="21"/>
                      <w:szCs w:val="21"/>
                    </w:rPr>
                  </w:pPr>
                </w:p>
              </w:tc>
              <w:tc>
                <w:tcPr>
                  <w:tcW w:w="3772" w:type="pct"/>
                  <w:tcBorders>
                    <w:tl2br w:val="nil"/>
                    <w:tr2bl w:val="nil"/>
                  </w:tcBorders>
                  <w:vAlign w:val="center"/>
                </w:tcPr>
                <w:p w14:paraId="3BCC5B1D">
                  <w:pPr>
                    <w:spacing w:line="240" w:lineRule="auto"/>
                    <w:ind w:firstLine="420" w:firstLineChars="200"/>
                    <w:rPr>
                      <w:rFonts w:ascii="Times New Roman" w:hAnsi="Times New Roman" w:cs="Times New Roman"/>
                      <w:sz w:val="21"/>
                    </w:rPr>
                  </w:pPr>
                  <w:r>
                    <w:rPr>
                      <w:rFonts w:ascii="Times New Roman" w:hAnsi="Times New Roman" w:cs="Times New Roman"/>
                      <w:sz w:val="21"/>
                    </w:rPr>
                    <w:t>本项目属于</w:t>
                  </w:r>
                  <w:r>
                    <w:rPr>
                      <w:rFonts w:hint="eastAsia" w:ascii="Times New Roman" w:hAnsi="Times New Roman" w:cs="Times New Roman"/>
                      <w:sz w:val="21"/>
                      <w:lang w:eastAsia="zh-CN"/>
                    </w:rPr>
                    <w:t>C3812电动机制造、C3670汽车零部件及配件制造、C3392有色金属铸造</w:t>
                  </w:r>
                  <w:r>
                    <w:rPr>
                      <w:rFonts w:ascii="Times New Roman" w:hAnsi="Times New Roman" w:cs="Times New Roman"/>
                      <w:sz w:val="21"/>
                    </w:rPr>
                    <w:t>，不属于《长江经济带发展负面清单指南</w:t>
                  </w:r>
                  <w:r>
                    <w:rPr>
                      <w:rFonts w:hint="eastAsia" w:ascii="Times New Roman" w:hAnsi="Times New Roman" w:cs="Times New Roman"/>
                      <w:sz w:val="21"/>
                    </w:rPr>
                    <w:t>（试行，2022年版）</w:t>
                  </w:r>
                  <w:r>
                    <w:rPr>
                      <w:rFonts w:ascii="Times New Roman" w:hAnsi="Times New Roman" w:cs="Times New Roman"/>
                      <w:sz w:val="21"/>
                    </w:rPr>
                    <w:t>》中的禁止类项目；不属于《市场准入负面清单（202</w:t>
                  </w:r>
                  <w:r>
                    <w:rPr>
                      <w:rFonts w:hint="eastAsia" w:ascii="Times New Roman" w:hAnsi="Times New Roman" w:cs="Times New Roman"/>
                      <w:sz w:val="21"/>
                      <w:lang w:val="en-US" w:eastAsia="zh-CN"/>
                    </w:rPr>
                    <w:t>5</w:t>
                  </w:r>
                  <w:r>
                    <w:rPr>
                      <w:rFonts w:ascii="Times New Roman" w:hAnsi="Times New Roman" w:cs="Times New Roman"/>
                      <w:sz w:val="21"/>
                    </w:rPr>
                    <w:t>年版）》中的禁止类和限制类项目。</w:t>
                  </w:r>
                </w:p>
              </w:tc>
              <w:tc>
                <w:tcPr>
                  <w:tcW w:w="663" w:type="pct"/>
                  <w:tcBorders>
                    <w:tl2br w:val="nil"/>
                    <w:tr2bl w:val="nil"/>
                  </w:tcBorders>
                  <w:vAlign w:val="center"/>
                </w:tcPr>
                <w:p w14:paraId="2644BEEB">
                  <w:pPr>
                    <w:spacing w:line="240" w:lineRule="auto"/>
                    <w:jc w:val="center"/>
                    <w:rPr>
                      <w:sz w:val="21"/>
                    </w:rPr>
                  </w:pPr>
                  <w:r>
                    <w:rPr>
                      <w:sz w:val="21"/>
                    </w:rPr>
                    <w:t>是</w:t>
                  </w:r>
                </w:p>
              </w:tc>
            </w:tr>
            <w:tr w14:paraId="0FF2F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tcBorders>
                    <w:tl2br w:val="nil"/>
                    <w:tr2bl w:val="nil"/>
                  </w:tcBorders>
                  <w:vAlign w:val="center"/>
                </w:tcPr>
                <w:p w14:paraId="37EAE04C">
                  <w:pPr>
                    <w:adjustRightInd w:val="0"/>
                    <w:snapToGrid w:val="0"/>
                    <w:spacing w:line="240" w:lineRule="auto"/>
                    <w:jc w:val="center"/>
                    <w:rPr>
                      <w:kern w:val="0"/>
                      <w:sz w:val="21"/>
                      <w:szCs w:val="21"/>
                    </w:rPr>
                  </w:pPr>
                </w:p>
              </w:tc>
              <w:tc>
                <w:tcPr>
                  <w:tcW w:w="3772" w:type="pct"/>
                  <w:tcBorders>
                    <w:tl2br w:val="nil"/>
                    <w:tr2bl w:val="nil"/>
                  </w:tcBorders>
                  <w:vAlign w:val="center"/>
                </w:tcPr>
                <w:p w14:paraId="3202DF32">
                  <w:pPr>
                    <w:spacing w:line="240" w:lineRule="auto"/>
                    <w:ind w:firstLine="420" w:firstLineChars="200"/>
                    <w:rPr>
                      <w:rFonts w:ascii="Times New Roman" w:hAnsi="Times New Roman" w:cs="Times New Roman"/>
                      <w:sz w:val="21"/>
                    </w:rPr>
                  </w:pPr>
                  <w:r>
                    <w:rPr>
                      <w:rFonts w:ascii="Times New Roman" w:hAnsi="Times New Roman" w:cs="Times New Roman"/>
                      <w:sz w:val="21"/>
                    </w:rPr>
                    <w:t>本项目属于</w:t>
                  </w:r>
                  <w:r>
                    <w:rPr>
                      <w:rFonts w:hint="eastAsia" w:ascii="Times New Roman" w:hAnsi="Times New Roman" w:cs="Times New Roman"/>
                      <w:sz w:val="21"/>
                      <w:lang w:eastAsia="zh-CN"/>
                    </w:rPr>
                    <w:t>C3812电动机制造、C3670汽车零部件及配件制造、C3392有色金属铸造</w:t>
                  </w:r>
                  <w:r>
                    <w:rPr>
                      <w:rFonts w:ascii="Times New Roman" w:hAnsi="Times New Roman" w:cs="Times New Roman"/>
                      <w:sz w:val="21"/>
                    </w:rPr>
                    <w:t>，</w:t>
                  </w:r>
                  <w:r>
                    <w:rPr>
                      <w:rFonts w:hint="eastAsia" w:ascii="Times New Roman" w:hAnsi="Times New Roman" w:cs="Times New Roman"/>
                      <w:sz w:val="21"/>
                    </w:rPr>
                    <w:t>产品</w:t>
                  </w:r>
                  <w:r>
                    <w:rPr>
                      <w:rFonts w:hint="default" w:ascii="Times New Roman" w:hAnsi="Times New Roman" w:cs="Times New Roman"/>
                      <w:sz w:val="21"/>
                    </w:rPr>
                    <w:t>不属于省发展改革委省工业和信息化厅省生态环境厅关于印发《江苏省太湖流域禁止和限制的产业产品目录（2024年本）》的通知（苏发改规发〔2024〕3号）中限制、淘汰、禁止类项目</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不属于关于印发《江苏省“两高”项目管理目录（2024年版）》</w:t>
                  </w:r>
                  <w:r>
                    <w:rPr>
                      <w:rFonts w:hint="eastAsia" w:ascii="Times New Roman" w:hAnsi="Times New Roman" w:cs="Times New Roman"/>
                      <w:sz w:val="21"/>
                      <w:lang w:val="en-US" w:eastAsia="zh-CN"/>
                    </w:rPr>
                    <w:t>（</w:t>
                  </w:r>
                  <w:r>
                    <w:rPr>
                      <w:rFonts w:hint="default" w:ascii="Times New Roman" w:hAnsi="Times New Roman" w:cs="Times New Roman"/>
                      <w:sz w:val="21"/>
                    </w:rPr>
                    <w:t>苏发改规发〔2024〕</w:t>
                  </w:r>
                  <w:r>
                    <w:rPr>
                      <w:rFonts w:hint="eastAsia" w:ascii="Times New Roman" w:hAnsi="Times New Roman" w:cs="Times New Roman"/>
                      <w:sz w:val="21"/>
                      <w:lang w:val="en-US" w:eastAsia="zh-CN"/>
                    </w:rPr>
                    <w:t>4</w:t>
                  </w:r>
                  <w:r>
                    <w:rPr>
                      <w:rFonts w:hint="default" w:ascii="Times New Roman" w:hAnsi="Times New Roman" w:cs="Times New Roman"/>
                      <w:sz w:val="21"/>
                    </w:rPr>
                    <w:t>号</w:t>
                  </w:r>
                  <w:r>
                    <w:rPr>
                      <w:rFonts w:hint="eastAsia" w:ascii="Times New Roman" w:hAnsi="Times New Roman" w:cs="Times New Roman"/>
                      <w:sz w:val="21"/>
                      <w:lang w:val="en-US" w:eastAsia="zh-CN"/>
                    </w:rPr>
                    <w:t>）</w:t>
                  </w:r>
                  <w:r>
                    <w:rPr>
                      <w:rFonts w:hint="default" w:ascii="Times New Roman" w:hAnsi="Times New Roman" w:cs="Times New Roman"/>
                      <w:sz w:val="21"/>
                      <w:lang w:val="en-US" w:eastAsia="zh-CN"/>
                    </w:rPr>
                    <w:t>的通知中的“两高”项目</w:t>
                  </w:r>
                  <w:r>
                    <w:rPr>
                      <w:rFonts w:ascii="Times New Roman" w:hAnsi="Times New Roman" w:cs="Times New Roman"/>
                      <w:sz w:val="21"/>
                    </w:rPr>
                    <w:t>。</w:t>
                  </w:r>
                </w:p>
              </w:tc>
              <w:tc>
                <w:tcPr>
                  <w:tcW w:w="663" w:type="pct"/>
                  <w:tcBorders>
                    <w:tl2br w:val="nil"/>
                    <w:tr2bl w:val="nil"/>
                  </w:tcBorders>
                  <w:vAlign w:val="center"/>
                </w:tcPr>
                <w:p w14:paraId="3F293202">
                  <w:pPr>
                    <w:spacing w:line="240" w:lineRule="auto"/>
                    <w:jc w:val="center"/>
                    <w:rPr>
                      <w:sz w:val="21"/>
                    </w:rPr>
                  </w:pPr>
                  <w:r>
                    <w:rPr>
                      <w:sz w:val="21"/>
                    </w:rPr>
                    <w:t>是</w:t>
                  </w:r>
                </w:p>
              </w:tc>
            </w:tr>
            <w:tr w14:paraId="76F97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64" w:type="pct"/>
                  <w:vMerge w:val="continue"/>
                  <w:tcBorders>
                    <w:tl2br w:val="nil"/>
                    <w:tr2bl w:val="nil"/>
                  </w:tcBorders>
                  <w:vAlign w:val="center"/>
                </w:tcPr>
                <w:p w14:paraId="4BF63BBC">
                  <w:pPr>
                    <w:adjustRightInd w:val="0"/>
                    <w:snapToGrid w:val="0"/>
                    <w:spacing w:line="240" w:lineRule="auto"/>
                    <w:jc w:val="center"/>
                    <w:rPr>
                      <w:kern w:val="0"/>
                      <w:sz w:val="21"/>
                      <w:szCs w:val="21"/>
                    </w:rPr>
                  </w:pPr>
                </w:p>
              </w:tc>
              <w:tc>
                <w:tcPr>
                  <w:tcW w:w="3772" w:type="pct"/>
                  <w:tcBorders>
                    <w:tl2br w:val="nil"/>
                    <w:tr2bl w:val="nil"/>
                  </w:tcBorders>
                  <w:vAlign w:val="center"/>
                </w:tcPr>
                <w:p w14:paraId="5F867E3B">
                  <w:pPr>
                    <w:spacing w:line="240" w:lineRule="auto"/>
                    <w:ind w:firstLine="420" w:firstLineChars="200"/>
                    <w:rPr>
                      <w:rFonts w:hint="default" w:eastAsia="仿宋"/>
                      <w:sz w:val="21"/>
                      <w:lang w:val="en-US" w:eastAsia="zh-CN"/>
                    </w:rPr>
                  </w:pPr>
                  <w:r>
                    <w:rPr>
                      <w:sz w:val="21"/>
                    </w:rPr>
                    <w:t>本项目属于</w:t>
                  </w:r>
                  <w:r>
                    <w:rPr>
                      <w:rFonts w:hint="eastAsia"/>
                      <w:sz w:val="21"/>
                      <w:lang w:eastAsia="zh-CN"/>
                    </w:rPr>
                    <w:t>C3812电动机制造、C3670汽车零部件及配件制造、C3392有色金属铸造</w:t>
                  </w:r>
                  <w:r>
                    <w:rPr>
                      <w:sz w:val="21"/>
                    </w:rPr>
                    <w:t>，</w:t>
                  </w:r>
                  <w:r>
                    <w:rPr>
                      <w:rFonts w:hint="eastAsia"/>
                      <w:sz w:val="21"/>
                      <w:lang w:val="en-US" w:eastAsia="zh-CN"/>
                    </w:rPr>
                    <w:t>不属于《江苏省太湖流域禁止和限制的产业产品目录（2024年本）》中禁止和限制类项目。</w:t>
                  </w:r>
                </w:p>
              </w:tc>
              <w:tc>
                <w:tcPr>
                  <w:tcW w:w="663" w:type="pct"/>
                  <w:tcBorders>
                    <w:tl2br w:val="nil"/>
                    <w:tr2bl w:val="nil"/>
                  </w:tcBorders>
                  <w:vAlign w:val="center"/>
                </w:tcPr>
                <w:p w14:paraId="4130B2E0">
                  <w:pPr>
                    <w:spacing w:line="240" w:lineRule="auto"/>
                    <w:jc w:val="center"/>
                    <w:rPr>
                      <w:sz w:val="21"/>
                    </w:rPr>
                  </w:pPr>
                  <w:r>
                    <w:rPr>
                      <w:sz w:val="21"/>
                    </w:rPr>
                    <w:t>是</w:t>
                  </w:r>
                </w:p>
              </w:tc>
            </w:tr>
            <w:tr w14:paraId="4EC91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64" w:type="pct"/>
                  <w:vMerge w:val="continue"/>
                  <w:tcBorders>
                    <w:tl2br w:val="nil"/>
                    <w:tr2bl w:val="nil"/>
                  </w:tcBorders>
                  <w:vAlign w:val="center"/>
                </w:tcPr>
                <w:p w14:paraId="1A6FE39F">
                  <w:pPr>
                    <w:adjustRightInd w:val="0"/>
                    <w:snapToGrid w:val="0"/>
                    <w:spacing w:line="240" w:lineRule="auto"/>
                    <w:jc w:val="center"/>
                    <w:rPr>
                      <w:kern w:val="0"/>
                      <w:sz w:val="21"/>
                      <w:szCs w:val="21"/>
                    </w:rPr>
                  </w:pPr>
                </w:p>
              </w:tc>
              <w:tc>
                <w:tcPr>
                  <w:tcW w:w="3772" w:type="pct"/>
                  <w:tcBorders>
                    <w:tl2br w:val="nil"/>
                    <w:tr2bl w:val="nil"/>
                  </w:tcBorders>
                  <w:vAlign w:val="center"/>
                </w:tcPr>
                <w:p w14:paraId="0ADFEB1D">
                  <w:pPr>
                    <w:widowControl/>
                    <w:spacing w:line="240" w:lineRule="auto"/>
                    <w:ind w:firstLine="420" w:firstLineChars="200"/>
                    <w:rPr>
                      <w:sz w:val="21"/>
                    </w:rPr>
                  </w:pPr>
                  <w:r>
                    <w:rPr>
                      <w:rFonts w:hint="eastAsia"/>
                      <w:sz w:val="21"/>
                    </w:rPr>
                    <w:t>本</w:t>
                  </w:r>
                  <w:r>
                    <w:rPr>
                      <w:sz w:val="21"/>
                    </w:rPr>
                    <w:t>项目已</w:t>
                  </w:r>
                  <w:r>
                    <w:rPr>
                      <w:sz w:val="21"/>
                      <w:highlight w:val="none"/>
                    </w:rPr>
                    <w:t>于</w:t>
                  </w:r>
                  <w:r>
                    <w:rPr>
                      <w:rFonts w:hint="eastAsia"/>
                      <w:sz w:val="21"/>
                      <w:highlight w:val="none"/>
                      <w:lang w:eastAsia="zh-CN"/>
                    </w:rPr>
                    <w:t>2025年</w:t>
                  </w:r>
                  <w:r>
                    <w:rPr>
                      <w:rFonts w:hint="eastAsia"/>
                      <w:sz w:val="21"/>
                      <w:highlight w:val="none"/>
                      <w:lang w:val="en-US" w:eastAsia="zh-CN"/>
                    </w:rPr>
                    <w:t>6</w:t>
                  </w:r>
                  <w:r>
                    <w:rPr>
                      <w:rFonts w:hint="eastAsia"/>
                      <w:sz w:val="21"/>
                      <w:highlight w:val="none"/>
                      <w:lang w:eastAsia="zh-CN"/>
                    </w:rPr>
                    <w:t>月</w:t>
                  </w:r>
                  <w:r>
                    <w:rPr>
                      <w:rFonts w:hint="eastAsia"/>
                      <w:sz w:val="21"/>
                      <w:highlight w:val="none"/>
                      <w:lang w:val="en-US" w:eastAsia="zh-CN"/>
                    </w:rPr>
                    <w:t>10</w:t>
                  </w:r>
                  <w:r>
                    <w:rPr>
                      <w:rFonts w:hint="eastAsia"/>
                      <w:sz w:val="21"/>
                      <w:highlight w:val="none"/>
                      <w:lang w:eastAsia="zh-CN"/>
                    </w:rPr>
                    <w:t>日</w:t>
                  </w:r>
                  <w:r>
                    <w:rPr>
                      <w:sz w:val="21"/>
                      <w:highlight w:val="none"/>
                    </w:rPr>
                    <w:t>取得江苏常州经济开发区管理委员会出具的</w:t>
                  </w:r>
                  <w:r>
                    <w:rPr>
                      <w:rFonts w:hint="eastAsia"/>
                      <w:sz w:val="21"/>
                      <w:highlight w:val="none"/>
                    </w:rPr>
                    <w:t>江苏省投资项目备案证</w:t>
                  </w:r>
                  <w:r>
                    <w:rPr>
                      <w:sz w:val="21"/>
                      <w:highlight w:val="none"/>
                    </w:rPr>
                    <w:t>，项目</w:t>
                  </w:r>
                  <w:r>
                    <w:rPr>
                      <w:rFonts w:hint="eastAsia"/>
                      <w:sz w:val="21"/>
                      <w:highlight w:val="none"/>
                    </w:rPr>
                    <w:t>代码</w:t>
                  </w:r>
                  <w:r>
                    <w:rPr>
                      <w:sz w:val="21"/>
                      <w:highlight w:val="none"/>
                    </w:rPr>
                    <w:t>：</w:t>
                  </w:r>
                  <w:r>
                    <w:rPr>
                      <w:rFonts w:hint="eastAsia"/>
                      <w:sz w:val="21"/>
                      <w:highlight w:val="none"/>
                      <w:lang w:eastAsia="zh-CN"/>
                    </w:rPr>
                    <w:t>2506-320491-89-01-635979</w:t>
                  </w:r>
                  <w:r>
                    <w:rPr>
                      <w:sz w:val="21"/>
                      <w:highlight w:val="none"/>
                    </w:rPr>
                    <w:t>，符合区域产</w:t>
                  </w:r>
                  <w:r>
                    <w:rPr>
                      <w:sz w:val="21"/>
                    </w:rPr>
                    <w:t>业政策。</w:t>
                  </w:r>
                </w:p>
              </w:tc>
              <w:tc>
                <w:tcPr>
                  <w:tcW w:w="663" w:type="pct"/>
                  <w:tcBorders>
                    <w:tl2br w:val="nil"/>
                    <w:tr2bl w:val="nil"/>
                  </w:tcBorders>
                  <w:vAlign w:val="center"/>
                </w:tcPr>
                <w:p w14:paraId="38E4F2F0">
                  <w:pPr>
                    <w:adjustRightInd w:val="0"/>
                    <w:snapToGrid w:val="0"/>
                    <w:spacing w:line="240" w:lineRule="auto"/>
                    <w:jc w:val="center"/>
                    <w:rPr>
                      <w:kern w:val="0"/>
                      <w:sz w:val="21"/>
                      <w:szCs w:val="21"/>
                    </w:rPr>
                  </w:pPr>
                  <w:r>
                    <w:rPr>
                      <w:sz w:val="21"/>
                    </w:rPr>
                    <w:t>是</w:t>
                  </w:r>
                </w:p>
              </w:tc>
            </w:tr>
          </w:tbl>
          <w:p w14:paraId="6E732A06">
            <w:pPr>
              <w:numPr>
                <w:ilvl w:val="0"/>
                <w:numId w:val="2"/>
              </w:numPr>
              <w:autoSpaceDE w:val="0"/>
              <w:autoSpaceDN w:val="0"/>
              <w:adjustRightInd w:val="0"/>
              <w:ind w:firstLine="482" w:firstLineChars="200"/>
              <w:rPr>
                <w:rFonts w:hint="eastAsia" w:ascii="Times New Roman" w:hAnsi="Times New Roman" w:cs="Times New Roman"/>
                <w:b/>
                <w:bCs/>
              </w:rPr>
            </w:pPr>
            <w:r>
              <w:rPr>
                <w:rFonts w:hint="eastAsia" w:ascii="Times New Roman" w:hAnsi="Times New Roman" w:cs="Times New Roman"/>
                <w:b/>
                <w:bCs/>
              </w:rPr>
              <w:t>与</w:t>
            </w:r>
            <w:r>
              <w:rPr>
                <w:rFonts w:hint="eastAsia" w:cs="Times New Roman"/>
                <w:b/>
                <w:bCs/>
                <w:lang w:eastAsia="zh-CN"/>
              </w:rPr>
              <w:t>“</w:t>
            </w:r>
            <w:r>
              <w:rPr>
                <w:rFonts w:hint="eastAsia" w:ascii="Times New Roman" w:hAnsi="Times New Roman" w:cs="Times New Roman"/>
                <w:b/>
                <w:bCs/>
              </w:rPr>
              <w:t>三线一单</w:t>
            </w:r>
            <w:r>
              <w:rPr>
                <w:rFonts w:hint="eastAsia" w:cs="Times New Roman"/>
                <w:b/>
                <w:bCs/>
                <w:lang w:eastAsia="zh-CN"/>
              </w:rPr>
              <w:t>”</w:t>
            </w:r>
            <w:r>
              <w:rPr>
                <w:rFonts w:hint="eastAsia" w:ascii="Times New Roman" w:hAnsi="Times New Roman" w:cs="Times New Roman"/>
                <w:b/>
                <w:bCs/>
              </w:rPr>
              <w:t>相符性分析</w:t>
            </w:r>
          </w:p>
          <w:p w14:paraId="6798F4E4">
            <w:pPr>
              <w:autoSpaceDE w:val="0"/>
              <w:autoSpaceDN w:val="0"/>
              <w:adjustRightInd w:val="0"/>
              <w:ind w:firstLine="482" w:firstLineChars="200"/>
              <w:rPr>
                <w:rFonts w:hint="eastAsia" w:ascii="Times New Roman" w:hAnsi="Times New Roman" w:cs="Times New Roman"/>
              </w:rPr>
            </w:pPr>
            <w:r>
              <w:rPr>
                <w:rFonts w:hint="eastAsia" w:ascii="仿宋" w:hAnsi="仿宋" w:cs="仿宋"/>
                <w:b/>
                <w:bCs/>
              </w:rPr>
              <w:t>①</w:t>
            </w:r>
            <w:r>
              <w:rPr>
                <w:rFonts w:hint="eastAsia"/>
                <w:b/>
                <w:bCs/>
              </w:rPr>
              <w:t>与</w:t>
            </w:r>
            <w:r>
              <w:rPr>
                <w:rFonts w:hint="default" w:ascii="Times New Roman" w:hAnsi="Times New Roman" w:cs="Times New Roman"/>
                <w:b/>
                <w:bCs/>
              </w:rPr>
              <w:t>《江苏省生态环境分区管控动态更新方案（2023年版）》</w:t>
            </w:r>
            <w:r>
              <w:rPr>
                <w:b/>
                <w:bCs/>
              </w:rPr>
              <w:t>相符性</w:t>
            </w:r>
            <w:r>
              <w:rPr>
                <w:rFonts w:hint="eastAsia"/>
                <w:b/>
                <w:bCs/>
              </w:rPr>
              <w:t>分析</w:t>
            </w:r>
          </w:p>
          <w:p w14:paraId="2604EFB4">
            <w:pPr>
              <w:tabs>
                <w:tab w:val="left" w:pos="960"/>
              </w:tabs>
              <w:spacing w:line="240" w:lineRule="auto"/>
              <w:jc w:val="center"/>
              <w:rPr>
                <w:rFonts w:hint="default"/>
                <w:b/>
                <w:bCs/>
                <w:spacing w:val="-4"/>
                <w:sz w:val="21"/>
                <w:szCs w:val="21"/>
                <w:lang w:val="en-US" w:eastAsia="zh-CN"/>
              </w:rPr>
            </w:pPr>
            <w:r>
              <w:rPr>
                <w:rFonts w:hint="eastAsia"/>
                <w:b/>
                <w:bCs/>
                <w:spacing w:val="-4"/>
                <w:sz w:val="21"/>
                <w:szCs w:val="21"/>
                <w:lang w:val="en-US" w:eastAsia="zh-CN"/>
              </w:rPr>
              <w:t>表1-3  与</w:t>
            </w:r>
            <w:r>
              <w:rPr>
                <w:rFonts w:hint="default"/>
                <w:b/>
                <w:bCs/>
                <w:spacing w:val="-4"/>
                <w:sz w:val="21"/>
                <w:szCs w:val="21"/>
                <w:lang w:val="en-US" w:eastAsia="zh-CN"/>
              </w:rPr>
              <w:t>《江苏省生态环境分区管控动态更新成果（2023年版）》相符性分析</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700"/>
              <w:gridCol w:w="2614"/>
            </w:tblGrid>
            <w:tr w14:paraId="6AC20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6" w:type="pct"/>
                  <w:noWrap w:val="0"/>
                  <w:vAlign w:val="center"/>
                </w:tcPr>
                <w:p w14:paraId="1FAD1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管控</w:t>
                  </w:r>
                </w:p>
                <w:p w14:paraId="1BB48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类别</w:t>
                  </w:r>
                </w:p>
              </w:tc>
              <w:tc>
                <w:tcPr>
                  <w:tcW w:w="2598" w:type="pct"/>
                  <w:noWrap w:val="0"/>
                  <w:vAlign w:val="center"/>
                </w:tcPr>
                <w:p w14:paraId="71BCC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重点管控要求</w:t>
                  </w:r>
                </w:p>
              </w:tc>
              <w:tc>
                <w:tcPr>
                  <w:tcW w:w="1835" w:type="pct"/>
                  <w:noWrap w:val="0"/>
                  <w:vAlign w:val="center"/>
                </w:tcPr>
                <w:p w14:paraId="5FDC0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rFonts w:hint="eastAsia"/>
                      <w:b/>
                      <w:color w:val="auto"/>
                      <w:sz w:val="21"/>
                      <w:szCs w:val="21"/>
                      <w:highlight w:val="none"/>
                      <w:lang w:val="en-US" w:eastAsia="zh-CN"/>
                    </w:rPr>
                    <w:t>相符性</w:t>
                  </w:r>
                  <w:r>
                    <w:rPr>
                      <w:b/>
                      <w:color w:val="auto"/>
                      <w:sz w:val="21"/>
                      <w:szCs w:val="21"/>
                      <w:highlight w:val="none"/>
                    </w:rPr>
                    <w:t>分析</w:t>
                  </w:r>
                </w:p>
              </w:tc>
            </w:tr>
            <w:tr w14:paraId="1FC03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6" w:type="pct"/>
                  <w:noWrap w:val="0"/>
                  <w:vAlign w:val="center"/>
                </w:tcPr>
                <w:p w14:paraId="3AEB4605">
                  <w:pPr>
                    <w:snapToGrid w:val="0"/>
                    <w:spacing w:line="240" w:lineRule="auto"/>
                    <w:jc w:val="center"/>
                    <w:rPr>
                      <w:rFonts w:hint="eastAsia"/>
                      <w:bCs/>
                      <w:sz w:val="21"/>
                      <w:szCs w:val="18"/>
                    </w:rPr>
                  </w:pPr>
                  <w:r>
                    <w:rPr>
                      <w:rFonts w:hint="eastAsia"/>
                      <w:bCs/>
                      <w:sz w:val="21"/>
                      <w:szCs w:val="18"/>
                    </w:rPr>
                    <w:t>空间布局约束</w:t>
                  </w:r>
                </w:p>
              </w:tc>
              <w:tc>
                <w:tcPr>
                  <w:tcW w:w="2598" w:type="pct"/>
                  <w:noWrap w:val="0"/>
                  <w:vAlign w:val="center"/>
                </w:tcPr>
                <w:p w14:paraId="0721FEBF">
                  <w:pPr>
                    <w:numPr>
                      <w:ilvl w:val="0"/>
                      <w:numId w:val="3"/>
                    </w:numPr>
                    <w:snapToGrid w:val="0"/>
                    <w:spacing w:line="240" w:lineRule="auto"/>
                    <w:jc w:val="left"/>
                    <w:rPr>
                      <w:rFonts w:hint="eastAsia"/>
                      <w:bCs/>
                      <w:sz w:val="21"/>
                      <w:szCs w:val="18"/>
                    </w:rPr>
                  </w:pPr>
                  <w:r>
                    <w:rPr>
                      <w:rFonts w:hint="eastAsia"/>
                      <w:bCs/>
                      <w:sz w:val="21"/>
                      <w:szCs w:val="18"/>
                    </w:rPr>
                    <w:t>按照《省政府关于印发江苏省生态空间管控区域规划的通知》（苏政发〔2020〕1号）、《省政府关于印发江苏省国家级生态保护红线规划的通知》（苏政发〔2018〕74号）、《江苏省国土空间规划（2021</w:t>
                  </w:r>
                  <w:r>
                    <w:rPr>
                      <w:rFonts w:hint="eastAsia"/>
                      <w:bCs/>
                      <w:sz w:val="21"/>
                      <w:szCs w:val="18"/>
                      <w:lang w:val="en-US" w:eastAsia="zh-CN"/>
                    </w:rPr>
                    <w:t>-</w:t>
                  </w:r>
                  <w:r>
                    <w:rPr>
                      <w:rFonts w:hint="eastAsia"/>
                      <w:bCs/>
                      <w:sz w:val="21"/>
                      <w:szCs w:val="18"/>
                    </w:rPr>
                    <w:t>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774F94B1">
                  <w:pPr>
                    <w:numPr>
                      <w:ilvl w:val="0"/>
                      <w:numId w:val="3"/>
                    </w:numPr>
                    <w:snapToGrid w:val="0"/>
                    <w:spacing w:line="240" w:lineRule="auto"/>
                    <w:jc w:val="left"/>
                    <w:rPr>
                      <w:rFonts w:hint="eastAsia"/>
                      <w:bCs/>
                      <w:sz w:val="21"/>
                      <w:szCs w:val="18"/>
                    </w:rPr>
                  </w:pPr>
                  <w:r>
                    <w:rPr>
                      <w:rFonts w:hint="eastAsia"/>
                      <w:bCs/>
                      <w:sz w:val="21"/>
                      <w:szCs w:val="18"/>
                    </w:rPr>
                    <w:t>牢牢把握推动长江经济带发展“共抓大保护，不搞大开发”战略导向，对省域范围内需要重点保护的岸线、河段和区域实行严格管控，管住控好排放量大、耗能高、产能过剩的产业，推动长江经济带高质量发展。</w:t>
                  </w:r>
                </w:p>
                <w:p w14:paraId="502FFE03">
                  <w:pPr>
                    <w:numPr>
                      <w:ilvl w:val="0"/>
                      <w:numId w:val="3"/>
                    </w:numPr>
                    <w:snapToGrid w:val="0"/>
                    <w:spacing w:line="240" w:lineRule="auto"/>
                    <w:jc w:val="left"/>
                    <w:rPr>
                      <w:rFonts w:hint="eastAsia"/>
                      <w:bCs/>
                      <w:sz w:val="21"/>
                      <w:szCs w:val="18"/>
                    </w:rPr>
                  </w:pPr>
                  <w:r>
                    <w:rPr>
                      <w:rFonts w:hint="eastAsia"/>
                      <w:bCs/>
                      <w:sz w:val="21"/>
                      <w:szCs w:val="18"/>
                    </w:rPr>
                    <w:t>大幅压减沿长江干支流两侧1公里范围内、环境敏感区域、城镇人口密集区、化工园区外和规模以下化工生产企业，着力破解“重化围江”突出问题，高起点同步推进沿江地区战略性转型和沿海地区战略性布局。</w:t>
                  </w:r>
                </w:p>
                <w:p w14:paraId="75E6E0EB">
                  <w:pPr>
                    <w:numPr>
                      <w:ilvl w:val="0"/>
                      <w:numId w:val="3"/>
                    </w:numPr>
                    <w:snapToGrid w:val="0"/>
                    <w:spacing w:line="240" w:lineRule="auto"/>
                    <w:jc w:val="left"/>
                    <w:rPr>
                      <w:rFonts w:hint="eastAsia"/>
                      <w:bCs/>
                      <w:sz w:val="21"/>
                      <w:szCs w:val="18"/>
                    </w:rPr>
                  </w:pPr>
                  <w:r>
                    <w:rPr>
                      <w:rFonts w:hint="eastAsia"/>
                      <w:bCs/>
                      <w:sz w:val="21"/>
                      <w:szCs w:val="18"/>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77A11941">
                  <w:pPr>
                    <w:numPr>
                      <w:ilvl w:val="0"/>
                      <w:numId w:val="3"/>
                    </w:numPr>
                    <w:snapToGrid w:val="0"/>
                    <w:spacing w:line="240" w:lineRule="auto"/>
                    <w:jc w:val="left"/>
                    <w:rPr>
                      <w:rFonts w:hint="eastAsia"/>
                      <w:bCs/>
                      <w:sz w:val="21"/>
                      <w:szCs w:val="18"/>
                    </w:rPr>
                  </w:pPr>
                  <w:r>
                    <w:rPr>
                      <w:rFonts w:hint="eastAsia"/>
                      <w:bCs/>
                      <w:sz w:val="21"/>
                      <w:szCs w:val="18"/>
                      <w:lang w:val="en-US" w:eastAsia="zh-CN"/>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835" w:type="pct"/>
                  <w:noWrap w:val="0"/>
                  <w:vAlign w:val="center"/>
                </w:tcPr>
                <w:p w14:paraId="1A5D17C9">
                  <w:pPr>
                    <w:snapToGrid w:val="0"/>
                    <w:spacing w:line="240" w:lineRule="auto"/>
                    <w:jc w:val="center"/>
                    <w:rPr>
                      <w:rFonts w:hint="eastAsia"/>
                      <w:bCs/>
                      <w:sz w:val="21"/>
                      <w:szCs w:val="18"/>
                    </w:rPr>
                  </w:pPr>
                  <w:r>
                    <w:rPr>
                      <w:rFonts w:hint="eastAsia"/>
                      <w:bCs/>
                      <w:sz w:val="21"/>
                      <w:szCs w:val="18"/>
                    </w:rPr>
                    <w:t>（1）对照《省政府关于印发江苏省生态空间管控区域规划的通知》（苏政发〔2020〕1号）以及《省政府关于印发江苏省国家级生态保护红线规划的通知》（苏政发〔2018〕74号）、《江苏省国土空间规划（2021</w:t>
                  </w:r>
                  <w:r>
                    <w:rPr>
                      <w:rFonts w:hint="eastAsia"/>
                      <w:bCs/>
                      <w:sz w:val="21"/>
                      <w:szCs w:val="18"/>
                      <w:lang w:val="en-US" w:eastAsia="zh-CN"/>
                    </w:rPr>
                    <w:t>-</w:t>
                  </w:r>
                  <w:r>
                    <w:rPr>
                      <w:rFonts w:hint="eastAsia"/>
                      <w:bCs/>
                      <w:sz w:val="21"/>
                      <w:szCs w:val="18"/>
                    </w:rPr>
                    <w:t>2035年）》（国函〔2023〕69号），</w:t>
                  </w:r>
                  <w:r>
                    <w:rPr>
                      <w:rFonts w:hint="default"/>
                      <w:bCs/>
                      <w:sz w:val="21"/>
                      <w:szCs w:val="18"/>
                    </w:rPr>
                    <w:t>本项目位于</w:t>
                  </w:r>
                  <w:r>
                    <w:rPr>
                      <w:rFonts w:hint="eastAsia"/>
                      <w:bCs/>
                      <w:sz w:val="21"/>
                      <w:szCs w:val="18"/>
                      <w:lang w:val="en-US" w:eastAsia="zh-CN"/>
                    </w:rPr>
                    <w:t>常州经济开发区横山桥镇新安村委新芙路78号</w:t>
                  </w:r>
                  <w:r>
                    <w:rPr>
                      <w:rFonts w:hint="default"/>
                      <w:bCs/>
                      <w:sz w:val="21"/>
                      <w:szCs w:val="18"/>
                      <w:lang w:val="en-US" w:eastAsia="zh-CN"/>
                    </w:rPr>
                    <w:t>，</w:t>
                  </w:r>
                  <w:r>
                    <w:rPr>
                      <w:rFonts w:hint="eastAsia"/>
                      <w:bCs/>
                      <w:sz w:val="21"/>
                      <w:szCs w:val="18"/>
                    </w:rPr>
                    <w:t>距离最近的生态红线保护区为项目</w:t>
                  </w:r>
                  <w:r>
                    <w:rPr>
                      <w:rFonts w:hint="eastAsia"/>
                      <w:bCs/>
                      <w:sz w:val="21"/>
                      <w:szCs w:val="18"/>
                      <w:lang w:val="en-US" w:eastAsia="zh-CN"/>
                    </w:rPr>
                    <w:t>西南</w:t>
                  </w:r>
                  <w:r>
                    <w:rPr>
                      <w:rFonts w:hint="eastAsia"/>
                      <w:bCs/>
                      <w:sz w:val="21"/>
                      <w:szCs w:val="18"/>
                    </w:rPr>
                    <w:t>侧</w:t>
                  </w:r>
                  <w:r>
                    <w:rPr>
                      <w:rFonts w:hint="eastAsia"/>
                      <w:bCs/>
                      <w:sz w:val="21"/>
                      <w:szCs w:val="18"/>
                      <w:lang w:eastAsia="zh-CN"/>
                    </w:rPr>
                    <w:t>3.06km</w:t>
                  </w:r>
                  <w:r>
                    <w:rPr>
                      <w:rFonts w:hint="eastAsia"/>
                      <w:bCs/>
                      <w:sz w:val="21"/>
                      <w:szCs w:val="18"/>
                    </w:rPr>
                    <w:t>的横山（武进区）生态公益林</w:t>
                  </w:r>
                  <w:r>
                    <w:rPr>
                      <w:rFonts w:hint="eastAsia"/>
                      <w:bCs/>
                      <w:sz w:val="21"/>
                      <w:szCs w:val="18"/>
                      <w:lang w:eastAsia="zh-CN"/>
                    </w:rPr>
                    <w:t>，</w:t>
                  </w:r>
                  <w:r>
                    <w:rPr>
                      <w:rFonts w:hint="eastAsia"/>
                      <w:bCs/>
                      <w:sz w:val="21"/>
                      <w:szCs w:val="18"/>
                      <w:lang w:val="en-US" w:eastAsia="zh-CN"/>
                    </w:rPr>
                    <w:t>不在生态空间管控区范围内</w:t>
                  </w:r>
                  <w:r>
                    <w:rPr>
                      <w:rFonts w:hint="eastAsia"/>
                      <w:bCs/>
                      <w:sz w:val="21"/>
                      <w:szCs w:val="18"/>
                    </w:rPr>
                    <w:t>。</w:t>
                  </w:r>
                  <w:r>
                    <w:rPr>
                      <w:rFonts w:hint="eastAsia"/>
                      <w:bCs/>
                      <w:sz w:val="21"/>
                      <w:szCs w:val="18"/>
                      <w:lang w:val="en-US" w:eastAsia="zh-CN"/>
                    </w:rPr>
                    <w:t>相符。</w:t>
                  </w:r>
                </w:p>
                <w:p w14:paraId="7A11DAE3">
                  <w:pPr>
                    <w:snapToGrid w:val="0"/>
                    <w:spacing w:line="240" w:lineRule="auto"/>
                    <w:jc w:val="center"/>
                    <w:rPr>
                      <w:rFonts w:hint="eastAsia"/>
                      <w:bCs/>
                      <w:sz w:val="21"/>
                      <w:szCs w:val="18"/>
                      <w:lang w:val="en-US" w:eastAsia="zh-CN"/>
                    </w:rPr>
                  </w:pPr>
                  <w:r>
                    <w:rPr>
                      <w:rFonts w:hint="eastAsia"/>
                      <w:bCs/>
                      <w:sz w:val="21"/>
                      <w:szCs w:val="18"/>
                    </w:rPr>
                    <w:t>（2）本项目</w:t>
                  </w:r>
                  <w:r>
                    <w:rPr>
                      <w:rFonts w:hint="eastAsia"/>
                      <w:bCs/>
                      <w:sz w:val="21"/>
                      <w:szCs w:val="18"/>
                      <w:lang w:val="en-US" w:eastAsia="zh-CN"/>
                    </w:rPr>
                    <w:t>不在</w:t>
                  </w:r>
                  <w:r>
                    <w:rPr>
                      <w:rFonts w:hint="eastAsia"/>
                      <w:bCs/>
                      <w:sz w:val="21"/>
                      <w:szCs w:val="18"/>
                    </w:rPr>
                    <w:t>《长江经济带发展负面清单指南》（试行，2022年版）、《关于印发&lt;长江经济带发展负面清单指南&gt;（试行，2022年版）江苏省实施细则》的通知（苏长江办发〔2022〕55号）禁止准入类和限制准入类中</w:t>
                  </w:r>
                  <w:r>
                    <w:rPr>
                      <w:rFonts w:hint="eastAsia"/>
                      <w:bCs/>
                      <w:sz w:val="21"/>
                      <w:szCs w:val="18"/>
                      <w:lang w:val="en-US" w:eastAsia="zh-CN"/>
                    </w:rPr>
                    <w:t>。相符。</w:t>
                  </w:r>
                </w:p>
                <w:p w14:paraId="67204439">
                  <w:pPr>
                    <w:snapToGrid w:val="0"/>
                    <w:spacing w:line="240" w:lineRule="auto"/>
                    <w:jc w:val="center"/>
                    <w:rPr>
                      <w:rFonts w:hint="eastAsia"/>
                      <w:bCs/>
                      <w:sz w:val="21"/>
                      <w:szCs w:val="18"/>
                      <w:lang w:val="en-US" w:eastAsia="zh-CN"/>
                    </w:rPr>
                  </w:pPr>
                  <w:r>
                    <w:rPr>
                      <w:rFonts w:hint="eastAsia"/>
                      <w:bCs/>
                      <w:sz w:val="21"/>
                      <w:szCs w:val="18"/>
                      <w:lang w:val="en-US" w:eastAsia="zh-CN"/>
                    </w:rPr>
                    <w:t>（3）</w:t>
                  </w:r>
                  <w:r>
                    <w:rPr>
                      <w:rFonts w:hint="default"/>
                      <w:bCs/>
                      <w:sz w:val="21"/>
                      <w:szCs w:val="18"/>
                    </w:rPr>
                    <w:t>本项目</w:t>
                  </w:r>
                  <w:r>
                    <w:rPr>
                      <w:rFonts w:hint="eastAsia"/>
                      <w:bCs/>
                      <w:sz w:val="21"/>
                      <w:szCs w:val="18"/>
                      <w:lang w:val="en-US" w:eastAsia="zh-CN"/>
                    </w:rPr>
                    <w:t>距离长江约14.94km。相符。</w:t>
                  </w:r>
                </w:p>
                <w:p w14:paraId="2D14BE26">
                  <w:pPr>
                    <w:snapToGrid w:val="0"/>
                    <w:spacing w:line="240" w:lineRule="auto"/>
                    <w:jc w:val="center"/>
                    <w:rPr>
                      <w:rFonts w:hint="eastAsia"/>
                      <w:bCs/>
                      <w:sz w:val="21"/>
                      <w:szCs w:val="18"/>
                    </w:rPr>
                  </w:pPr>
                  <w:r>
                    <w:rPr>
                      <w:rFonts w:hint="eastAsia"/>
                      <w:bCs/>
                      <w:sz w:val="21"/>
                      <w:szCs w:val="18"/>
                    </w:rPr>
                    <w:t>（</w:t>
                  </w:r>
                  <w:r>
                    <w:rPr>
                      <w:rFonts w:hint="eastAsia"/>
                      <w:bCs/>
                      <w:sz w:val="21"/>
                      <w:szCs w:val="18"/>
                      <w:lang w:val="en-US" w:eastAsia="zh-CN"/>
                    </w:rPr>
                    <w:t>4</w:t>
                  </w:r>
                  <w:r>
                    <w:rPr>
                      <w:rFonts w:hint="eastAsia"/>
                      <w:bCs/>
                      <w:sz w:val="21"/>
                      <w:szCs w:val="18"/>
                    </w:rPr>
                    <w:t>）本项目为</w:t>
                  </w:r>
                  <w:r>
                    <w:rPr>
                      <w:rFonts w:hint="eastAsia"/>
                      <w:bCs/>
                      <w:sz w:val="21"/>
                      <w:szCs w:val="18"/>
                      <w:lang w:val="en-US" w:eastAsia="zh-CN"/>
                    </w:rPr>
                    <w:t>铝铸件生产项目</w:t>
                  </w:r>
                  <w:r>
                    <w:rPr>
                      <w:rFonts w:hint="eastAsia"/>
                      <w:bCs/>
                      <w:sz w:val="21"/>
                      <w:szCs w:val="18"/>
                    </w:rPr>
                    <w:t>，不属于《产业结构调整指导目录（202</w:t>
                  </w:r>
                  <w:r>
                    <w:rPr>
                      <w:rFonts w:hint="eastAsia"/>
                      <w:bCs/>
                      <w:sz w:val="21"/>
                      <w:szCs w:val="18"/>
                      <w:lang w:val="en-US" w:eastAsia="zh-CN"/>
                    </w:rPr>
                    <w:t>4</w:t>
                  </w:r>
                  <w:r>
                    <w:rPr>
                      <w:rFonts w:hint="eastAsia"/>
                      <w:bCs/>
                      <w:sz w:val="21"/>
                      <w:szCs w:val="18"/>
                    </w:rPr>
                    <w:t>年本）》、《江苏省产业结构调整限制、淘汰和禁止目录》、《江苏省工业和信息产业结构调整、限制、淘汰目录及能耗限额》淘汰类的产业。</w:t>
                  </w:r>
                  <w:r>
                    <w:rPr>
                      <w:rFonts w:hint="eastAsia"/>
                      <w:bCs/>
                      <w:sz w:val="21"/>
                      <w:szCs w:val="18"/>
                      <w:lang w:val="en-US" w:eastAsia="zh-CN"/>
                    </w:rPr>
                    <w:t>相符。</w:t>
                  </w:r>
                </w:p>
                <w:p w14:paraId="5276C657">
                  <w:pPr>
                    <w:snapToGrid w:val="0"/>
                    <w:spacing w:line="240" w:lineRule="auto"/>
                    <w:jc w:val="center"/>
                    <w:rPr>
                      <w:rFonts w:hint="default"/>
                      <w:bCs/>
                      <w:sz w:val="21"/>
                      <w:szCs w:val="18"/>
                      <w:lang w:val="en-US"/>
                    </w:rPr>
                  </w:pPr>
                  <w:r>
                    <w:rPr>
                      <w:rFonts w:hint="eastAsia"/>
                      <w:bCs/>
                      <w:sz w:val="21"/>
                      <w:szCs w:val="18"/>
                    </w:rPr>
                    <w:t>（</w:t>
                  </w:r>
                  <w:r>
                    <w:rPr>
                      <w:rFonts w:hint="eastAsia"/>
                      <w:bCs/>
                      <w:sz w:val="21"/>
                      <w:szCs w:val="18"/>
                      <w:lang w:val="en-US" w:eastAsia="zh-CN"/>
                    </w:rPr>
                    <w:t>5</w:t>
                  </w:r>
                  <w:r>
                    <w:rPr>
                      <w:rFonts w:hint="eastAsia"/>
                      <w:bCs/>
                      <w:sz w:val="21"/>
                      <w:szCs w:val="18"/>
                    </w:rPr>
                    <w:t>）本项目</w:t>
                  </w:r>
                  <w:r>
                    <w:rPr>
                      <w:rFonts w:hint="eastAsia"/>
                      <w:bCs/>
                      <w:sz w:val="21"/>
                      <w:szCs w:val="18"/>
                      <w:lang w:val="en-US" w:eastAsia="zh-CN"/>
                    </w:rPr>
                    <w:t>不在生态空间管控区范围内</w:t>
                  </w:r>
                  <w:r>
                    <w:rPr>
                      <w:rFonts w:hint="eastAsia"/>
                      <w:bCs/>
                      <w:sz w:val="21"/>
                      <w:szCs w:val="18"/>
                      <w:lang w:eastAsia="zh-CN"/>
                    </w:rPr>
                    <w:t>。</w:t>
                  </w:r>
                  <w:r>
                    <w:rPr>
                      <w:rFonts w:hint="eastAsia"/>
                      <w:bCs/>
                      <w:sz w:val="21"/>
                      <w:szCs w:val="18"/>
                      <w:lang w:val="en-US" w:eastAsia="zh-CN"/>
                    </w:rPr>
                    <w:t>相符。</w:t>
                  </w:r>
                </w:p>
              </w:tc>
            </w:tr>
            <w:tr w14:paraId="0BF1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6" w:type="pct"/>
                  <w:noWrap w:val="0"/>
                  <w:vAlign w:val="center"/>
                </w:tcPr>
                <w:p w14:paraId="271E92B0">
                  <w:pPr>
                    <w:snapToGrid w:val="0"/>
                    <w:spacing w:line="240" w:lineRule="auto"/>
                    <w:jc w:val="center"/>
                    <w:rPr>
                      <w:rFonts w:hint="eastAsia"/>
                      <w:bCs/>
                      <w:sz w:val="21"/>
                      <w:szCs w:val="18"/>
                    </w:rPr>
                  </w:pPr>
                  <w:r>
                    <w:rPr>
                      <w:rFonts w:hint="eastAsia"/>
                      <w:bCs/>
                      <w:sz w:val="21"/>
                      <w:szCs w:val="18"/>
                    </w:rPr>
                    <w:t>污染物排放管控</w:t>
                  </w:r>
                </w:p>
              </w:tc>
              <w:tc>
                <w:tcPr>
                  <w:tcW w:w="2598" w:type="pct"/>
                  <w:noWrap w:val="0"/>
                  <w:vAlign w:val="center"/>
                </w:tcPr>
                <w:p w14:paraId="1C00678D">
                  <w:pPr>
                    <w:snapToGrid w:val="0"/>
                    <w:spacing w:line="240" w:lineRule="auto"/>
                    <w:jc w:val="left"/>
                    <w:rPr>
                      <w:rFonts w:hint="eastAsia"/>
                      <w:bCs/>
                      <w:sz w:val="21"/>
                      <w:szCs w:val="18"/>
                    </w:rPr>
                  </w:pPr>
                  <w:r>
                    <w:rPr>
                      <w:rFonts w:hint="eastAsia"/>
                      <w:bCs/>
                      <w:sz w:val="21"/>
                      <w:szCs w:val="18"/>
                    </w:rPr>
                    <w:t>坚持生态环境质量只能更好、不能变坏，实施污染物总量控制，以环境容量定产业、定项目、定规模，确保开发建设行为不突破生态环境承载力。</w:t>
                  </w:r>
                </w:p>
                <w:p w14:paraId="7BEDC66E">
                  <w:pPr>
                    <w:snapToGrid w:val="0"/>
                    <w:spacing w:line="240" w:lineRule="auto"/>
                    <w:jc w:val="left"/>
                    <w:rPr>
                      <w:rFonts w:hint="eastAsia"/>
                      <w:bCs/>
                      <w:sz w:val="21"/>
                      <w:szCs w:val="18"/>
                    </w:rPr>
                  </w:pPr>
                  <w:r>
                    <w:rPr>
                      <w:rFonts w:hint="eastAsia"/>
                      <w:bCs/>
                      <w:sz w:val="21"/>
                      <w:szCs w:val="18"/>
                    </w:rPr>
                    <w:t>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bCs/>
                      <w:sz w:val="21"/>
                      <w:szCs w:val="18"/>
                      <w:lang w:eastAsia="zh-CN"/>
                    </w:rPr>
                    <w:t>联防</w:t>
                  </w:r>
                  <w:r>
                    <w:rPr>
                      <w:rFonts w:hint="eastAsia"/>
                      <w:bCs/>
                      <w:sz w:val="21"/>
                      <w:szCs w:val="18"/>
                    </w:rPr>
                    <w:t>联控。</w:t>
                  </w:r>
                </w:p>
              </w:tc>
              <w:tc>
                <w:tcPr>
                  <w:tcW w:w="1835" w:type="pct"/>
                  <w:noWrap w:val="0"/>
                  <w:vAlign w:val="center"/>
                </w:tcPr>
                <w:p w14:paraId="29AAC3B3">
                  <w:pPr>
                    <w:snapToGrid w:val="0"/>
                    <w:spacing w:line="240" w:lineRule="auto"/>
                    <w:jc w:val="center"/>
                    <w:rPr>
                      <w:rFonts w:hint="eastAsia"/>
                      <w:bCs/>
                      <w:sz w:val="21"/>
                      <w:szCs w:val="18"/>
                    </w:rPr>
                  </w:pPr>
                  <w:r>
                    <w:rPr>
                      <w:rFonts w:hint="eastAsia"/>
                      <w:bCs/>
                      <w:sz w:val="21"/>
                      <w:szCs w:val="18"/>
                    </w:rPr>
                    <w:t>本项目类型及其选址、布局、规模等符合环境保护法律法规和相关法定规划，废水中各污染物总量在</w:t>
                  </w:r>
                  <w:r>
                    <w:rPr>
                      <w:rFonts w:hint="eastAsia"/>
                      <w:bCs/>
                      <w:sz w:val="21"/>
                      <w:szCs w:val="18"/>
                      <w:lang w:val="en-US" w:eastAsia="zh-CN"/>
                    </w:rPr>
                    <w:t>常州东方横山水处理有限公司</w:t>
                  </w:r>
                  <w:r>
                    <w:rPr>
                      <w:rFonts w:hint="eastAsia"/>
                      <w:bCs/>
                      <w:sz w:val="21"/>
                      <w:szCs w:val="18"/>
                    </w:rPr>
                    <w:t>内平衡</w:t>
                  </w:r>
                  <w:r>
                    <w:rPr>
                      <w:rFonts w:hint="eastAsia"/>
                      <w:bCs/>
                      <w:sz w:val="21"/>
                      <w:szCs w:val="18"/>
                      <w:lang w:eastAsia="zh-CN"/>
                    </w:rPr>
                    <w:t>，</w:t>
                  </w:r>
                  <w:r>
                    <w:rPr>
                      <w:rFonts w:hint="eastAsia"/>
                      <w:bCs/>
                      <w:sz w:val="21"/>
                      <w:szCs w:val="18"/>
                      <w:lang w:val="en-US" w:eastAsia="zh-CN"/>
                    </w:rPr>
                    <w:t>废气中各污染物在横山桥镇区域内平衡</w:t>
                  </w:r>
                  <w:r>
                    <w:rPr>
                      <w:rFonts w:hint="eastAsia"/>
                      <w:bCs/>
                      <w:sz w:val="21"/>
                      <w:szCs w:val="18"/>
                    </w:rPr>
                    <w:t>。</w:t>
                  </w:r>
                  <w:r>
                    <w:rPr>
                      <w:rFonts w:hint="eastAsia"/>
                      <w:bCs/>
                      <w:sz w:val="21"/>
                      <w:szCs w:val="18"/>
                      <w:lang w:val="en-US" w:eastAsia="zh-CN"/>
                    </w:rPr>
                    <w:t>相符。</w:t>
                  </w:r>
                </w:p>
              </w:tc>
            </w:tr>
            <w:tr w14:paraId="14D90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6" w:type="pct"/>
                  <w:noWrap w:val="0"/>
                  <w:vAlign w:val="center"/>
                </w:tcPr>
                <w:p w14:paraId="62FC5F16">
                  <w:pPr>
                    <w:snapToGrid w:val="0"/>
                    <w:spacing w:line="240" w:lineRule="auto"/>
                    <w:jc w:val="center"/>
                    <w:rPr>
                      <w:rFonts w:hint="eastAsia"/>
                      <w:bCs/>
                      <w:sz w:val="21"/>
                      <w:szCs w:val="18"/>
                    </w:rPr>
                  </w:pPr>
                  <w:r>
                    <w:rPr>
                      <w:rFonts w:hint="eastAsia"/>
                      <w:bCs/>
                      <w:sz w:val="21"/>
                      <w:szCs w:val="18"/>
                    </w:rPr>
                    <w:t>环境风险防控</w:t>
                  </w:r>
                </w:p>
              </w:tc>
              <w:tc>
                <w:tcPr>
                  <w:tcW w:w="2598" w:type="pct"/>
                  <w:noWrap w:val="0"/>
                  <w:vAlign w:val="center"/>
                </w:tcPr>
                <w:p w14:paraId="7F25A839">
                  <w:pPr>
                    <w:snapToGrid w:val="0"/>
                    <w:spacing w:line="240" w:lineRule="auto"/>
                    <w:jc w:val="left"/>
                    <w:rPr>
                      <w:rFonts w:hint="eastAsia"/>
                      <w:bCs/>
                      <w:sz w:val="21"/>
                      <w:szCs w:val="18"/>
                    </w:rPr>
                  </w:pPr>
                  <w:r>
                    <w:rPr>
                      <w:rFonts w:hint="eastAsia"/>
                      <w:bCs/>
                      <w:sz w:val="21"/>
                      <w:szCs w:val="18"/>
                    </w:rPr>
                    <w:t>强化饮用水水源环境风险管控。县级以上城市全部建成应急水源或双源供水。</w:t>
                  </w:r>
                </w:p>
                <w:p w14:paraId="4CA1408E">
                  <w:pPr>
                    <w:snapToGrid w:val="0"/>
                    <w:spacing w:line="240" w:lineRule="auto"/>
                    <w:jc w:val="left"/>
                    <w:rPr>
                      <w:rFonts w:hint="eastAsia"/>
                      <w:bCs/>
                      <w:sz w:val="21"/>
                      <w:szCs w:val="18"/>
                    </w:rPr>
                  </w:pPr>
                  <w:r>
                    <w:rPr>
                      <w:rFonts w:hint="eastAsia"/>
                      <w:bCs/>
                      <w:sz w:val="21"/>
                      <w:szCs w:val="18"/>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170BEFB2">
                  <w:pPr>
                    <w:snapToGrid w:val="0"/>
                    <w:spacing w:line="240" w:lineRule="auto"/>
                    <w:jc w:val="left"/>
                    <w:rPr>
                      <w:rFonts w:hint="eastAsia"/>
                      <w:bCs/>
                      <w:sz w:val="21"/>
                      <w:szCs w:val="18"/>
                    </w:rPr>
                  </w:pPr>
                  <w:r>
                    <w:rPr>
                      <w:rFonts w:hint="eastAsia"/>
                      <w:bCs/>
                      <w:sz w:val="21"/>
                      <w:szCs w:val="18"/>
                    </w:rPr>
                    <w:t>强化环境事故应急管理。深化跨部门、跨区域环境应急协调联动，分区域建立环境应急物资储备库。各级工业园区（集聚区）和企业的环境应急装备和储备物资应纳入储备体系。</w:t>
                  </w:r>
                </w:p>
                <w:p w14:paraId="7CCC5E89">
                  <w:pPr>
                    <w:snapToGrid w:val="0"/>
                    <w:spacing w:line="240" w:lineRule="auto"/>
                    <w:jc w:val="left"/>
                    <w:rPr>
                      <w:rFonts w:hint="eastAsia"/>
                      <w:bCs/>
                      <w:sz w:val="21"/>
                      <w:szCs w:val="18"/>
                    </w:rPr>
                  </w:pPr>
                  <w:r>
                    <w:rPr>
                      <w:rFonts w:hint="eastAsia"/>
                      <w:bCs/>
                      <w:sz w:val="21"/>
                      <w:szCs w:val="18"/>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835" w:type="pct"/>
                  <w:noWrap w:val="0"/>
                  <w:vAlign w:val="center"/>
                </w:tcPr>
                <w:p w14:paraId="23251D03">
                  <w:pPr>
                    <w:snapToGrid w:val="0"/>
                    <w:spacing w:line="240" w:lineRule="auto"/>
                    <w:jc w:val="center"/>
                    <w:rPr>
                      <w:rFonts w:hint="eastAsia"/>
                      <w:bCs/>
                      <w:sz w:val="21"/>
                      <w:szCs w:val="18"/>
                    </w:rPr>
                  </w:pPr>
                  <w:r>
                    <w:rPr>
                      <w:rFonts w:hint="eastAsia"/>
                      <w:bCs/>
                      <w:sz w:val="21"/>
                      <w:szCs w:val="18"/>
                    </w:rPr>
                    <w:t>本项目将积极与区域应急体系联动。</w:t>
                  </w:r>
                  <w:r>
                    <w:rPr>
                      <w:rFonts w:hint="eastAsia"/>
                      <w:bCs/>
                      <w:sz w:val="21"/>
                      <w:szCs w:val="18"/>
                      <w:lang w:val="en-US" w:eastAsia="zh-CN"/>
                    </w:rPr>
                    <w:t>相符。</w:t>
                  </w:r>
                </w:p>
              </w:tc>
            </w:tr>
            <w:tr w14:paraId="206D2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6" w:type="pct"/>
                  <w:noWrap w:val="0"/>
                  <w:vAlign w:val="center"/>
                </w:tcPr>
                <w:p w14:paraId="6DBEED5F">
                  <w:pPr>
                    <w:snapToGrid w:val="0"/>
                    <w:spacing w:line="240" w:lineRule="auto"/>
                    <w:jc w:val="center"/>
                    <w:rPr>
                      <w:rFonts w:hint="eastAsia"/>
                      <w:bCs/>
                      <w:sz w:val="21"/>
                      <w:szCs w:val="18"/>
                    </w:rPr>
                  </w:pPr>
                  <w:r>
                    <w:rPr>
                      <w:rFonts w:hint="eastAsia"/>
                      <w:bCs/>
                      <w:sz w:val="21"/>
                      <w:szCs w:val="18"/>
                    </w:rPr>
                    <w:t>资源利用效率要求</w:t>
                  </w:r>
                </w:p>
              </w:tc>
              <w:tc>
                <w:tcPr>
                  <w:tcW w:w="2598" w:type="pct"/>
                  <w:noWrap w:val="0"/>
                  <w:vAlign w:val="center"/>
                </w:tcPr>
                <w:p w14:paraId="04E3AF3C">
                  <w:pPr>
                    <w:snapToGrid w:val="0"/>
                    <w:spacing w:line="240" w:lineRule="auto"/>
                    <w:jc w:val="left"/>
                    <w:rPr>
                      <w:rFonts w:hint="eastAsia"/>
                      <w:bCs/>
                      <w:sz w:val="21"/>
                      <w:szCs w:val="18"/>
                    </w:rPr>
                  </w:pPr>
                  <w:r>
                    <w:rPr>
                      <w:rFonts w:hint="eastAsia"/>
                      <w:bCs/>
                      <w:sz w:val="21"/>
                      <w:szCs w:val="18"/>
                    </w:rPr>
                    <w:t>水资源利用总量及效率要求：到2025年，全省用水总量控制在525.9亿立方米以内，万元地区生产总值用水量、万元工业增加值用水量下降完成国家下达目标，农田灌溉水有效利用系数提高到0.625。</w:t>
                  </w:r>
                </w:p>
                <w:p w14:paraId="1F5A3EE9">
                  <w:pPr>
                    <w:snapToGrid w:val="0"/>
                    <w:spacing w:line="240" w:lineRule="auto"/>
                    <w:jc w:val="left"/>
                    <w:rPr>
                      <w:rFonts w:hint="eastAsia"/>
                      <w:bCs/>
                      <w:sz w:val="21"/>
                      <w:szCs w:val="18"/>
                    </w:rPr>
                  </w:pPr>
                  <w:r>
                    <w:rPr>
                      <w:rFonts w:hint="eastAsia"/>
                      <w:bCs/>
                      <w:sz w:val="21"/>
                      <w:szCs w:val="18"/>
                    </w:rPr>
                    <w:t>土地资源总量要求：到2025年，江苏省耕地保有量不低于5977万亩，其中永久基本农田保护面积不低于5344万亩。</w:t>
                  </w:r>
                </w:p>
                <w:p w14:paraId="25EC69D4">
                  <w:pPr>
                    <w:snapToGrid w:val="0"/>
                    <w:spacing w:line="240" w:lineRule="auto"/>
                    <w:jc w:val="left"/>
                    <w:rPr>
                      <w:rFonts w:hint="eastAsia"/>
                      <w:bCs/>
                      <w:sz w:val="21"/>
                      <w:szCs w:val="18"/>
                    </w:rPr>
                  </w:pPr>
                  <w:r>
                    <w:rPr>
                      <w:rFonts w:hint="eastAsia"/>
                      <w:bCs/>
                      <w:sz w:val="21"/>
                      <w:szCs w:val="18"/>
                    </w:rPr>
                    <w:t>禁燃区要求：在禁燃区内，禁止销售、燃用高污染燃料；禁止新建、扩建燃用高污染燃料的设施，已建成的，应当在城市人民政府规定的期限内改用天然气、页岩气、液化石油气、电或者其他清洁能源。</w:t>
                  </w:r>
                </w:p>
              </w:tc>
              <w:tc>
                <w:tcPr>
                  <w:tcW w:w="1835" w:type="pct"/>
                  <w:noWrap w:val="0"/>
                  <w:vAlign w:val="center"/>
                </w:tcPr>
                <w:p w14:paraId="163BE204">
                  <w:pPr>
                    <w:snapToGrid w:val="0"/>
                    <w:spacing w:line="240" w:lineRule="auto"/>
                    <w:jc w:val="center"/>
                    <w:rPr>
                      <w:rFonts w:hint="eastAsia"/>
                      <w:bCs/>
                      <w:sz w:val="21"/>
                      <w:szCs w:val="18"/>
                    </w:rPr>
                  </w:pPr>
                  <w:r>
                    <w:rPr>
                      <w:rFonts w:hint="eastAsia"/>
                      <w:bCs/>
                      <w:sz w:val="21"/>
                      <w:szCs w:val="18"/>
                      <w:lang w:val="en-US" w:eastAsia="zh-CN"/>
                    </w:rPr>
                    <w:t>本项目建成后自来水用量为</w:t>
                  </w:r>
                  <w:r>
                    <w:rPr>
                      <w:rFonts w:hint="eastAsia"/>
                      <w:bCs/>
                      <w:sz w:val="21"/>
                      <w:szCs w:val="18"/>
                      <w:highlight w:val="none"/>
                      <w:lang w:val="en-US" w:eastAsia="zh-CN"/>
                    </w:rPr>
                    <w:t>1332m</w:t>
                  </w:r>
                  <w:r>
                    <w:rPr>
                      <w:rFonts w:hint="eastAsia"/>
                      <w:bCs/>
                      <w:sz w:val="21"/>
                      <w:szCs w:val="18"/>
                      <w:highlight w:val="none"/>
                      <w:vertAlign w:val="superscript"/>
                      <w:lang w:val="en-US" w:eastAsia="zh-CN"/>
                    </w:rPr>
                    <w:t>3</w:t>
                  </w:r>
                  <w:r>
                    <w:rPr>
                      <w:rFonts w:hint="eastAsia"/>
                      <w:bCs/>
                      <w:sz w:val="21"/>
                      <w:szCs w:val="18"/>
                      <w:highlight w:val="none"/>
                      <w:lang w:val="en-US" w:eastAsia="zh-CN"/>
                    </w:rPr>
                    <w:t>/a</w:t>
                  </w:r>
                  <w:r>
                    <w:rPr>
                      <w:rFonts w:hint="eastAsia"/>
                      <w:bCs/>
                      <w:sz w:val="21"/>
                      <w:szCs w:val="18"/>
                      <w:lang w:val="en-US" w:eastAsia="zh-CN"/>
                    </w:rPr>
                    <w:t>；</w:t>
                  </w:r>
                  <w:r>
                    <w:rPr>
                      <w:rFonts w:hint="default"/>
                      <w:bCs/>
                      <w:sz w:val="21"/>
                      <w:szCs w:val="18"/>
                    </w:rPr>
                    <w:t>本项目位于</w:t>
                  </w:r>
                  <w:r>
                    <w:rPr>
                      <w:rFonts w:hint="eastAsia"/>
                      <w:bCs/>
                      <w:sz w:val="21"/>
                      <w:szCs w:val="18"/>
                      <w:lang w:eastAsia="zh-CN"/>
                    </w:rPr>
                    <w:t>常州经济开发区横山桥镇新安村委新芙路78号</w:t>
                  </w:r>
                  <w:r>
                    <w:rPr>
                      <w:rFonts w:hint="eastAsia"/>
                      <w:bCs/>
                      <w:sz w:val="21"/>
                      <w:szCs w:val="18"/>
                      <w:lang w:val="en-US" w:eastAsia="zh-CN"/>
                    </w:rPr>
                    <w:t>，不在基本农田范围内；生产过程中使用水、电、天然气，为清洁能源。相符。</w:t>
                  </w:r>
                </w:p>
              </w:tc>
            </w:tr>
          </w:tbl>
          <w:p w14:paraId="28DD22E4">
            <w:pPr>
              <w:autoSpaceDE w:val="0"/>
              <w:autoSpaceDN w:val="0"/>
              <w:adjustRightInd w:val="0"/>
              <w:ind w:firstLine="482" w:firstLineChars="200"/>
              <w:rPr>
                <w:b/>
                <w:bCs/>
              </w:rPr>
            </w:pPr>
            <w:r>
              <w:rPr>
                <w:rFonts w:hint="eastAsia" w:ascii="仿宋" w:hAnsi="仿宋" w:cs="仿宋"/>
                <w:b/>
                <w:bCs/>
              </w:rPr>
              <w:t>②</w:t>
            </w:r>
            <w:r>
              <w:rPr>
                <w:b/>
                <w:bCs/>
              </w:rPr>
              <w:t>与</w:t>
            </w:r>
            <w:r>
              <w:rPr>
                <w:rFonts w:hint="eastAsia" w:ascii="Times New Roman" w:hAnsi="Times New Roman" w:cs="Times New Roman"/>
                <w:b/>
                <w:bCs/>
              </w:rPr>
              <w:t>《常州市生态环境分区管控动态更新成果（2023年版）》中</w:t>
            </w:r>
            <w:r>
              <w:rPr>
                <w:rFonts w:hint="eastAsia" w:ascii="Times New Roman" w:hAnsi="Times New Roman" w:cs="Times New Roman"/>
                <w:b/>
                <w:bCs/>
                <w:lang w:val="en-US" w:eastAsia="zh-CN"/>
              </w:rPr>
              <w:t>一般</w:t>
            </w:r>
            <w:r>
              <w:rPr>
                <w:rFonts w:hint="eastAsia" w:ascii="Times New Roman" w:hAnsi="Times New Roman" w:cs="Times New Roman"/>
                <w:b/>
                <w:bCs/>
              </w:rPr>
              <w:t>管控单元</w:t>
            </w:r>
            <w:r>
              <w:rPr>
                <w:rFonts w:ascii="Times New Roman" w:hAnsi="Times New Roman" w:cs="Times New Roman"/>
                <w:b/>
                <w:bCs/>
              </w:rPr>
              <w:t>相符</w:t>
            </w:r>
            <w:r>
              <w:rPr>
                <w:b/>
                <w:bCs/>
              </w:rPr>
              <w:t>性</w:t>
            </w:r>
            <w:r>
              <w:rPr>
                <w:rFonts w:hint="eastAsia"/>
                <w:b/>
                <w:bCs/>
              </w:rPr>
              <w:t>分析</w:t>
            </w:r>
          </w:p>
          <w:p w14:paraId="7DAE183D">
            <w:pPr>
              <w:tabs>
                <w:tab w:val="left" w:pos="960"/>
              </w:tabs>
              <w:spacing w:line="240" w:lineRule="auto"/>
              <w:jc w:val="center"/>
              <w:rPr>
                <w:rFonts w:hint="default"/>
                <w:b/>
                <w:bCs/>
                <w:spacing w:val="-4"/>
                <w:sz w:val="21"/>
                <w:szCs w:val="21"/>
                <w:lang w:val="en-US" w:eastAsia="zh-CN"/>
              </w:rPr>
            </w:pPr>
            <w:r>
              <w:rPr>
                <w:rFonts w:hint="eastAsia"/>
                <w:b/>
                <w:bCs/>
                <w:spacing w:val="-4"/>
                <w:sz w:val="21"/>
                <w:szCs w:val="21"/>
                <w:lang w:val="en-US" w:eastAsia="zh-CN"/>
              </w:rPr>
              <w:t xml:space="preserve">表1-4  </w:t>
            </w:r>
            <w:r>
              <w:rPr>
                <w:rFonts w:hint="default"/>
                <w:b/>
                <w:bCs/>
                <w:spacing w:val="-4"/>
                <w:sz w:val="21"/>
                <w:szCs w:val="21"/>
                <w:lang w:val="en-US" w:eastAsia="zh-CN"/>
              </w:rPr>
              <w:t>与《常州市生态环境分区管控动态更新成果（2023年版）》相符性分析</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703"/>
              <w:gridCol w:w="2613"/>
            </w:tblGrid>
            <w:tr w14:paraId="59CF9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noWrap w:val="0"/>
                  <w:vAlign w:val="center"/>
                </w:tcPr>
                <w:p w14:paraId="5369C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管控</w:t>
                  </w:r>
                </w:p>
                <w:p w14:paraId="3356F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类别</w:t>
                  </w:r>
                </w:p>
              </w:tc>
              <w:tc>
                <w:tcPr>
                  <w:tcW w:w="2599" w:type="pct"/>
                  <w:noWrap w:val="0"/>
                  <w:vAlign w:val="center"/>
                </w:tcPr>
                <w:p w14:paraId="0F607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重点管控要求</w:t>
                  </w:r>
                </w:p>
              </w:tc>
              <w:tc>
                <w:tcPr>
                  <w:tcW w:w="1834" w:type="pct"/>
                  <w:noWrap w:val="0"/>
                  <w:vAlign w:val="center"/>
                </w:tcPr>
                <w:p w14:paraId="34705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b/>
                      <w:color w:val="auto"/>
                      <w:sz w:val="21"/>
                      <w:szCs w:val="21"/>
                      <w:highlight w:val="none"/>
                    </w:rPr>
                  </w:pPr>
                  <w:r>
                    <w:rPr>
                      <w:b/>
                      <w:color w:val="auto"/>
                      <w:sz w:val="21"/>
                      <w:szCs w:val="21"/>
                      <w:highlight w:val="none"/>
                    </w:rPr>
                    <w:t>对照分析</w:t>
                  </w:r>
                </w:p>
              </w:tc>
            </w:tr>
            <w:tr w14:paraId="191EB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noWrap w:val="0"/>
                  <w:vAlign w:val="center"/>
                </w:tcPr>
                <w:p w14:paraId="178B2F2A">
                  <w:pPr>
                    <w:snapToGrid w:val="0"/>
                    <w:spacing w:line="240" w:lineRule="auto"/>
                    <w:jc w:val="center"/>
                    <w:rPr>
                      <w:rFonts w:hint="eastAsia"/>
                      <w:bCs/>
                      <w:sz w:val="21"/>
                      <w:szCs w:val="18"/>
                    </w:rPr>
                  </w:pPr>
                  <w:r>
                    <w:rPr>
                      <w:rFonts w:hint="eastAsia"/>
                      <w:bCs/>
                      <w:sz w:val="21"/>
                      <w:szCs w:val="18"/>
                    </w:rPr>
                    <w:t>空间布局约束</w:t>
                  </w:r>
                </w:p>
              </w:tc>
              <w:tc>
                <w:tcPr>
                  <w:tcW w:w="2599" w:type="pct"/>
                  <w:noWrap w:val="0"/>
                  <w:vAlign w:val="center"/>
                </w:tcPr>
                <w:p w14:paraId="23E790A3">
                  <w:pPr>
                    <w:snapToGrid w:val="0"/>
                    <w:spacing w:line="240" w:lineRule="auto"/>
                    <w:jc w:val="left"/>
                    <w:rPr>
                      <w:rFonts w:hint="eastAsia"/>
                      <w:bCs/>
                      <w:sz w:val="21"/>
                      <w:szCs w:val="18"/>
                    </w:rPr>
                  </w:pPr>
                  <w:r>
                    <w:rPr>
                      <w:rFonts w:hint="eastAsia"/>
                      <w:bCs/>
                      <w:sz w:val="21"/>
                      <w:szCs w:val="18"/>
                    </w:rPr>
                    <w:t>（1）严格执行《江苏省“三线一单”生态环境分区管控方案》（苏政发〔2020〕49号）附件3江苏省省域生态环境管控要求中“空间布局约束”的相关要求。</w:t>
                  </w:r>
                </w:p>
                <w:p w14:paraId="03F7A8B0">
                  <w:pPr>
                    <w:snapToGrid w:val="0"/>
                    <w:spacing w:line="240" w:lineRule="auto"/>
                    <w:jc w:val="left"/>
                    <w:rPr>
                      <w:rFonts w:hint="eastAsia"/>
                      <w:bCs/>
                      <w:sz w:val="21"/>
                      <w:szCs w:val="18"/>
                    </w:rPr>
                  </w:pPr>
                  <w:r>
                    <w:rPr>
                      <w:rFonts w:hint="eastAsia"/>
                      <w:bCs/>
                      <w:sz w:val="21"/>
                      <w:szCs w:val="18"/>
                    </w:rPr>
                    <w:t>（2）严格执行《关于印发各设区市2023年深入打好污染防治攻坚战目标任务书的通知》（苏污防攻坚指办〔2023〕53号）《2023年常州市生态文明建设工作方案》（常政发〔2023〕23号）等文件要求。</w:t>
                  </w:r>
                </w:p>
                <w:p w14:paraId="60D76A95">
                  <w:pPr>
                    <w:snapToGrid w:val="0"/>
                    <w:spacing w:line="240" w:lineRule="auto"/>
                    <w:jc w:val="left"/>
                    <w:rPr>
                      <w:rFonts w:hint="eastAsia"/>
                      <w:bCs/>
                      <w:sz w:val="21"/>
                      <w:szCs w:val="18"/>
                    </w:rPr>
                  </w:pPr>
                  <w:r>
                    <w:rPr>
                      <w:rFonts w:hint="eastAsia"/>
                      <w:bCs/>
                      <w:sz w:val="21"/>
                      <w:szCs w:val="18"/>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14D749E0">
                  <w:pPr>
                    <w:snapToGrid w:val="0"/>
                    <w:spacing w:line="240" w:lineRule="auto"/>
                    <w:jc w:val="left"/>
                    <w:rPr>
                      <w:rFonts w:hint="eastAsia"/>
                      <w:bCs/>
                      <w:sz w:val="21"/>
                      <w:szCs w:val="18"/>
                    </w:rPr>
                  </w:pPr>
                  <w:r>
                    <w:rPr>
                      <w:rFonts w:hint="eastAsia"/>
                      <w:bCs/>
                      <w:sz w:val="21"/>
                      <w:szCs w:val="18"/>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Pr>
                      <w:rFonts w:hint="eastAsia"/>
                      <w:bCs/>
                      <w:sz w:val="21"/>
                      <w:szCs w:val="18"/>
                      <w:lang w:eastAsia="zh-CN"/>
                    </w:rPr>
                    <w:t>（</w:t>
                  </w:r>
                  <w:r>
                    <w:rPr>
                      <w:rFonts w:hint="eastAsia"/>
                      <w:bCs/>
                      <w:sz w:val="21"/>
                      <w:szCs w:val="18"/>
                    </w:rPr>
                    <w:t>集中区</w:t>
                  </w:r>
                  <w:r>
                    <w:rPr>
                      <w:rFonts w:hint="eastAsia"/>
                      <w:bCs/>
                      <w:sz w:val="21"/>
                      <w:szCs w:val="18"/>
                      <w:lang w:eastAsia="zh-CN"/>
                    </w:rPr>
                    <w:t>）</w:t>
                  </w:r>
                  <w:r>
                    <w:rPr>
                      <w:rFonts w:hint="eastAsia"/>
                      <w:bCs/>
                      <w:sz w:val="21"/>
                      <w:szCs w:val="18"/>
                    </w:rPr>
                    <w:t>内新建化工项目。</w:t>
                  </w:r>
                </w:p>
              </w:tc>
              <w:tc>
                <w:tcPr>
                  <w:tcW w:w="1834" w:type="pct"/>
                  <w:noWrap w:val="0"/>
                  <w:vAlign w:val="center"/>
                </w:tcPr>
                <w:p w14:paraId="09B003F4">
                  <w:pPr>
                    <w:snapToGrid w:val="0"/>
                    <w:spacing w:line="240" w:lineRule="auto"/>
                    <w:jc w:val="center"/>
                    <w:rPr>
                      <w:rFonts w:hint="eastAsia" w:eastAsia="仿宋"/>
                      <w:bCs/>
                      <w:sz w:val="21"/>
                      <w:szCs w:val="18"/>
                      <w:lang w:val="en-US" w:eastAsia="zh-CN"/>
                    </w:rPr>
                  </w:pPr>
                  <w:r>
                    <w:rPr>
                      <w:rFonts w:hint="eastAsia"/>
                      <w:bCs/>
                      <w:sz w:val="21"/>
                      <w:szCs w:val="18"/>
                    </w:rPr>
                    <w:t>（1）对照《省政府关于印发江苏省生态空间管控区域规划的通知》（苏政发〔2020〕1号）以及《省政府关于印发江苏省国家级生态保护红线规划的通知》（苏政发〔2018〕74号），</w:t>
                  </w:r>
                  <w:r>
                    <w:rPr>
                      <w:rFonts w:hint="default"/>
                      <w:bCs/>
                      <w:sz w:val="21"/>
                      <w:szCs w:val="18"/>
                    </w:rPr>
                    <w:t>本项目</w:t>
                  </w:r>
                  <w:r>
                    <w:rPr>
                      <w:rFonts w:hint="eastAsia"/>
                      <w:bCs/>
                      <w:sz w:val="21"/>
                      <w:szCs w:val="18"/>
                      <w:lang w:eastAsia="zh-CN"/>
                    </w:rPr>
                    <w:t>常州经济开发区横山桥镇新安村委新芙路78号</w:t>
                  </w:r>
                  <w:r>
                    <w:rPr>
                      <w:rFonts w:hint="default"/>
                      <w:bCs/>
                      <w:sz w:val="21"/>
                      <w:szCs w:val="18"/>
                      <w:lang w:val="en-US" w:eastAsia="zh-CN"/>
                    </w:rPr>
                    <w:t>，</w:t>
                  </w:r>
                  <w:r>
                    <w:rPr>
                      <w:rFonts w:hint="eastAsia"/>
                      <w:bCs/>
                      <w:sz w:val="21"/>
                      <w:szCs w:val="18"/>
                    </w:rPr>
                    <w:t>距离最近的生态红线保护区为项目</w:t>
                  </w:r>
                  <w:r>
                    <w:rPr>
                      <w:rFonts w:hint="eastAsia"/>
                      <w:bCs/>
                      <w:sz w:val="21"/>
                      <w:szCs w:val="18"/>
                      <w:lang w:val="en-US" w:eastAsia="zh-CN"/>
                    </w:rPr>
                    <w:t>西南</w:t>
                  </w:r>
                  <w:r>
                    <w:rPr>
                      <w:rFonts w:hint="eastAsia"/>
                      <w:bCs/>
                      <w:sz w:val="21"/>
                      <w:szCs w:val="18"/>
                    </w:rPr>
                    <w:t>侧</w:t>
                  </w:r>
                  <w:r>
                    <w:rPr>
                      <w:rFonts w:hint="eastAsia"/>
                      <w:bCs/>
                      <w:sz w:val="21"/>
                      <w:szCs w:val="18"/>
                      <w:lang w:eastAsia="zh-CN"/>
                    </w:rPr>
                    <w:t>3.06km</w:t>
                  </w:r>
                  <w:r>
                    <w:rPr>
                      <w:rFonts w:hint="eastAsia"/>
                      <w:bCs/>
                      <w:sz w:val="21"/>
                      <w:szCs w:val="18"/>
                    </w:rPr>
                    <w:t>的横山（武进区）生态公益林，</w:t>
                  </w:r>
                  <w:r>
                    <w:rPr>
                      <w:rFonts w:hint="eastAsia"/>
                      <w:bCs/>
                      <w:sz w:val="21"/>
                      <w:szCs w:val="18"/>
                      <w:lang w:val="en-US" w:eastAsia="zh-CN"/>
                    </w:rPr>
                    <w:t>不在生态空间管控区范围内，</w:t>
                  </w:r>
                  <w:r>
                    <w:rPr>
                      <w:rFonts w:hint="eastAsia"/>
                      <w:bCs/>
                      <w:sz w:val="21"/>
                      <w:szCs w:val="18"/>
                    </w:rPr>
                    <w:t>符合《江苏省生态空间管控区域规划》中“空间布局约束”要求。</w:t>
                  </w:r>
                  <w:r>
                    <w:rPr>
                      <w:rFonts w:hint="eastAsia"/>
                      <w:bCs/>
                      <w:sz w:val="21"/>
                      <w:szCs w:val="18"/>
                      <w:lang w:val="en-US" w:eastAsia="zh-CN"/>
                    </w:rPr>
                    <w:t>相符。</w:t>
                  </w:r>
                </w:p>
                <w:p w14:paraId="69350657">
                  <w:pPr>
                    <w:snapToGrid w:val="0"/>
                    <w:spacing w:line="240" w:lineRule="auto"/>
                    <w:jc w:val="center"/>
                    <w:rPr>
                      <w:rFonts w:hint="eastAsia"/>
                      <w:bCs/>
                      <w:sz w:val="21"/>
                      <w:szCs w:val="18"/>
                    </w:rPr>
                  </w:pPr>
                  <w:r>
                    <w:rPr>
                      <w:rFonts w:hint="eastAsia"/>
                      <w:bCs/>
                      <w:sz w:val="21"/>
                      <w:szCs w:val="18"/>
                    </w:rPr>
                    <w:t>（2）本项目建设严格执行《关于印发各设区市2023年深入打好污染防治攻坚战目标任务书的通知》（苏污防攻坚指办〔2023〕53号）《2023年常州市生态文明建设工作方案》（常政发〔2023〕23号）等文件要求。</w:t>
                  </w:r>
                  <w:r>
                    <w:rPr>
                      <w:rFonts w:hint="eastAsia"/>
                      <w:bCs/>
                      <w:sz w:val="21"/>
                      <w:szCs w:val="18"/>
                      <w:lang w:val="en-US" w:eastAsia="zh-CN"/>
                    </w:rPr>
                    <w:t>相符。</w:t>
                  </w:r>
                </w:p>
                <w:p w14:paraId="4DF97FAC">
                  <w:pPr>
                    <w:snapToGrid w:val="0"/>
                    <w:spacing w:line="240" w:lineRule="auto"/>
                    <w:jc w:val="center"/>
                    <w:rPr>
                      <w:rFonts w:hint="eastAsia"/>
                      <w:bCs/>
                      <w:sz w:val="21"/>
                      <w:szCs w:val="18"/>
                    </w:rPr>
                  </w:pPr>
                  <w:r>
                    <w:rPr>
                      <w:rFonts w:hint="eastAsia"/>
                      <w:bCs/>
                      <w:sz w:val="21"/>
                      <w:szCs w:val="18"/>
                    </w:rPr>
                    <w:t>（3）本项目为</w:t>
                  </w:r>
                  <w:r>
                    <w:rPr>
                      <w:rFonts w:hint="eastAsia"/>
                      <w:bCs/>
                      <w:sz w:val="21"/>
                      <w:szCs w:val="18"/>
                      <w:lang w:val="en-US" w:eastAsia="zh-CN"/>
                    </w:rPr>
                    <w:t>铝铸件制造项目</w:t>
                  </w:r>
                  <w:r>
                    <w:rPr>
                      <w:rFonts w:hint="eastAsia"/>
                      <w:bCs/>
                      <w:sz w:val="21"/>
                      <w:szCs w:val="18"/>
                    </w:rPr>
                    <w:t>，不属于《产业结构调整指导目录（202</w:t>
                  </w:r>
                  <w:r>
                    <w:rPr>
                      <w:rFonts w:hint="eastAsia"/>
                      <w:bCs/>
                      <w:sz w:val="21"/>
                      <w:szCs w:val="18"/>
                      <w:lang w:val="en-US" w:eastAsia="zh-CN"/>
                    </w:rPr>
                    <w:t>4</w:t>
                  </w:r>
                  <w:r>
                    <w:rPr>
                      <w:rFonts w:hint="eastAsia"/>
                      <w:bCs/>
                      <w:sz w:val="21"/>
                      <w:szCs w:val="18"/>
                    </w:rPr>
                    <w:t>年本）》、《江苏省产业结构调整限制、淘汰和禁止目录》、《江苏省工业和信息产业结构调整、限制、淘汰目录及能耗限额》淘汰类的产业。</w:t>
                  </w:r>
                  <w:r>
                    <w:rPr>
                      <w:rFonts w:hint="eastAsia"/>
                      <w:bCs/>
                      <w:sz w:val="21"/>
                      <w:szCs w:val="18"/>
                      <w:lang w:val="en-US" w:eastAsia="zh-CN"/>
                    </w:rPr>
                    <w:t>相符。</w:t>
                  </w:r>
                </w:p>
                <w:p w14:paraId="4FAE5DEF">
                  <w:pPr>
                    <w:snapToGrid w:val="0"/>
                    <w:spacing w:line="240" w:lineRule="auto"/>
                    <w:jc w:val="center"/>
                    <w:rPr>
                      <w:rFonts w:hint="eastAsia"/>
                      <w:bCs/>
                      <w:sz w:val="21"/>
                      <w:szCs w:val="18"/>
                    </w:rPr>
                  </w:pPr>
                  <w:r>
                    <w:rPr>
                      <w:rFonts w:hint="eastAsia"/>
                      <w:bCs/>
                      <w:sz w:val="21"/>
                      <w:szCs w:val="18"/>
                    </w:rPr>
                    <w:t>（4）本项目为</w:t>
                  </w:r>
                  <w:r>
                    <w:rPr>
                      <w:rFonts w:hint="eastAsia"/>
                      <w:bCs/>
                      <w:sz w:val="21"/>
                      <w:szCs w:val="18"/>
                      <w:lang w:val="en-US" w:eastAsia="zh-CN"/>
                    </w:rPr>
                    <w:t>新能源汽车配件制造项目</w:t>
                  </w:r>
                  <w:r>
                    <w:rPr>
                      <w:rFonts w:hint="eastAsia"/>
                      <w:bCs/>
                      <w:sz w:val="21"/>
                      <w:szCs w:val="18"/>
                    </w:rPr>
                    <w:t>，不属于《长江经济带发展负面清单指南</w:t>
                  </w:r>
                  <w:r>
                    <w:rPr>
                      <w:rFonts w:hint="eastAsia"/>
                      <w:bCs/>
                      <w:sz w:val="21"/>
                      <w:szCs w:val="18"/>
                      <w:lang w:eastAsia="zh-CN"/>
                    </w:rPr>
                    <w:t>（</w:t>
                  </w:r>
                  <w:r>
                    <w:rPr>
                      <w:rFonts w:hint="eastAsia"/>
                      <w:bCs/>
                      <w:sz w:val="21"/>
                      <w:szCs w:val="18"/>
                    </w:rPr>
                    <w:t>试行，2022年版</w:t>
                  </w:r>
                  <w:r>
                    <w:rPr>
                      <w:rFonts w:hint="eastAsia"/>
                      <w:bCs/>
                      <w:sz w:val="21"/>
                      <w:szCs w:val="18"/>
                      <w:lang w:eastAsia="zh-CN"/>
                    </w:rPr>
                    <w:t>）</w:t>
                  </w:r>
                  <w:r>
                    <w:rPr>
                      <w:rFonts w:hint="eastAsia"/>
                      <w:bCs/>
                      <w:sz w:val="21"/>
                      <w:szCs w:val="18"/>
                    </w:rPr>
                    <w:t>》江苏省实施细则禁止类项目</w:t>
                  </w:r>
                  <w:r>
                    <w:rPr>
                      <w:rFonts w:hint="eastAsia"/>
                      <w:bCs/>
                      <w:sz w:val="21"/>
                      <w:szCs w:val="18"/>
                      <w:lang w:eastAsia="zh-CN"/>
                    </w:rPr>
                    <w:t>。</w:t>
                  </w:r>
                  <w:r>
                    <w:rPr>
                      <w:rFonts w:hint="eastAsia"/>
                      <w:bCs/>
                      <w:sz w:val="21"/>
                      <w:szCs w:val="18"/>
                      <w:lang w:val="en-US" w:eastAsia="zh-CN"/>
                    </w:rPr>
                    <w:t>相符。</w:t>
                  </w:r>
                </w:p>
              </w:tc>
            </w:tr>
            <w:tr w14:paraId="0417A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noWrap w:val="0"/>
                  <w:vAlign w:val="center"/>
                </w:tcPr>
                <w:p w14:paraId="39F4ABEA">
                  <w:pPr>
                    <w:snapToGrid w:val="0"/>
                    <w:spacing w:line="240" w:lineRule="auto"/>
                    <w:jc w:val="center"/>
                    <w:rPr>
                      <w:rFonts w:hint="eastAsia"/>
                      <w:bCs/>
                      <w:sz w:val="21"/>
                      <w:szCs w:val="18"/>
                    </w:rPr>
                  </w:pPr>
                  <w:r>
                    <w:rPr>
                      <w:rFonts w:hint="eastAsia"/>
                      <w:bCs/>
                      <w:sz w:val="21"/>
                      <w:szCs w:val="18"/>
                    </w:rPr>
                    <w:t>污染物排放管控</w:t>
                  </w:r>
                </w:p>
              </w:tc>
              <w:tc>
                <w:tcPr>
                  <w:tcW w:w="2599" w:type="pct"/>
                  <w:noWrap w:val="0"/>
                  <w:vAlign w:val="center"/>
                </w:tcPr>
                <w:p w14:paraId="330B8BEB">
                  <w:pPr>
                    <w:snapToGrid w:val="0"/>
                    <w:spacing w:line="240" w:lineRule="auto"/>
                    <w:jc w:val="left"/>
                    <w:rPr>
                      <w:rFonts w:hint="eastAsia"/>
                      <w:bCs/>
                      <w:sz w:val="21"/>
                      <w:szCs w:val="18"/>
                      <w:lang w:eastAsia="zh-CN"/>
                    </w:rPr>
                  </w:pPr>
                  <w:r>
                    <w:rPr>
                      <w:rFonts w:hint="eastAsia"/>
                      <w:bCs/>
                      <w:sz w:val="21"/>
                      <w:szCs w:val="18"/>
                      <w:lang w:eastAsia="zh-CN"/>
                    </w:rPr>
                    <w:t>（1）坚持生态环境质量只能更好、不能变坏，实施污染物总量控制，以环境容量定产业、定项目、定规模，确保开发建设行为不突破生态环境承载力。</w:t>
                  </w:r>
                </w:p>
                <w:p w14:paraId="0865CBFE">
                  <w:pPr>
                    <w:snapToGrid w:val="0"/>
                    <w:spacing w:line="240" w:lineRule="auto"/>
                    <w:jc w:val="left"/>
                    <w:rPr>
                      <w:rFonts w:hint="eastAsia"/>
                      <w:bCs/>
                      <w:sz w:val="21"/>
                      <w:szCs w:val="18"/>
                    </w:rPr>
                  </w:pPr>
                  <w:r>
                    <w:rPr>
                      <w:rFonts w:hint="eastAsia"/>
                      <w:bCs/>
                      <w:sz w:val="21"/>
                      <w:szCs w:val="18"/>
                      <w:lang w:eastAsia="zh-CN"/>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834" w:type="pct"/>
                  <w:noWrap w:val="0"/>
                  <w:vAlign w:val="center"/>
                </w:tcPr>
                <w:p w14:paraId="51CA0299">
                  <w:pPr>
                    <w:snapToGrid w:val="0"/>
                    <w:spacing w:line="240" w:lineRule="auto"/>
                    <w:jc w:val="center"/>
                    <w:rPr>
                      <w:rFonts w:hint="eastAsia"/>
                      <w:bCs/>
                      <w:sz w:val="21"/>
                      <w:szCs w:val="18"/>
                    </w:rPr>
                  </w:pPr>
                  <w:r>
                    <w:rPr>
                      <w:rFonts w:hint="eastAsia"/>
                      <w:bCs/>
                      <w:sz w:val="21"/>
                      <w:szCs w:val="18"/>
                    </w:rPr>
                    <w:t>本项目类型及其选址、布局、规模等符合环境保护法律法规和相关法定规划，废水中各污染物总量在</w:t>
                  </w:r>
                  <w:r>
                    <w:rPr>
                      <w:rFonts w:hint="eastAsia"/>
                      <w:bCs/>
                      <w:sz w:val="21"/>
                      <w:szCs w:val="18"/>
                      <w:lang w:val="en-US" w:eastAsia="zh-CN"/>
                    </w:rPr>
                    <w:t>常州东方横山水处理有限公司</w:t>
                  </w:r>
                  <w:r>
                    <w:rPr>
                      <w:rFonts w:hint="eastAsia"/>
                      <w:bCs/>
                      <w:sz w:val="21"/>
                      <w:szCs w:val="18"/>
                    </w:rPr>
                    <w:t>内平衡</w:t>
                  </w:r>
                  <w:r>
                    <w:rPr>
                      <w:rFonts w:hint="eastAsia"/>
                      <w:bCs/>
                      <w:sz w:val="21"/>
                      <w:szCs w:val="18"/>
                      <w:lang w:eastAsia="zh-CN"/>
                    </w:rPr>
                    <w:t>，</w:t>
                  </w:r>
                  <w:r>
                    <w:rPr>
                      <w:rFonts w:hint="eastAsia"/>
                      <w:bCs/>
                      <w:sz w:val="21"/>
                      <w:szCs w:val="18"/>
                      <w:lang w:val="en-US" w:eastAsia="zh-CN"/>
                    </w:rPr>
                    <w:t>废气中各污染物在横山桥镇区域内平衡</w:t>
                  </w:r>
                  <w:r>
                    <w:rPr>
                      <w:rFonts w:hint="eastAsia"/>
                      <w:bCs/>
                      <w:sz w:val="21"/>
                      <w:szCs w:val="18"/>
                    </w:rPr>
                    <w:t>。</w:t>
                  </w:r>
                  <w:r>
                    <w:rPr>
                      <w:rFonts w:hint="eastAsia"/>
                      <w:bCs/>
                      <w:sz w:val="21"/>
                      <w:szCs w:val="18"/>
                      <w:lang w:val="en-US" w:eastAsia="zh-CN"/>
                    </w:rPr>
                    <w:t>相符</w:t>
                  </w:r>
                  <w:r>
                    <w:rPr>
                      <w:rFonts w:hint="eastAsia"/>
                      <w:bCs/>
                      <w:sz w:val="21"/>
                      <w:szCs w:val="18"/>
                    </w:rPr>
                    <w:t>。</w:t>
                  </w:r>
                </w:p>
              </w:tc>
            </w:tr>
            <w:tr w14:paraId="20212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noWrap w:val="0"/>
                  <w:vAlign w:val="center"/>
                </w:tcPr>
                <w:p w14:paraId="361ACC2A">
                  <w:pPr>
                    <w:snapToGrid w:val="0"/>
                    <w:spacing w:line="240" w:lineRule="auto"/>
                    <w:jc w:val="center"/>
                    <w:rPr>
                      <w:rFonts w:hint="eastAsia"/>
                      <w:bCs/>
                      <w:sz w:val="21"/>
                      <w:szCs w:val="18"/>
                    </w:rPr>
                  </w:pPr>
                  <w:r>
                    <w:rPr>
                      <w:rFonts w:hint="eastAsia"/>
                      <w:bCs/>
                      <w:sz w:val="21"/>
                      <w:szCs w:val="18"/>
                    </w:rPr>
                    <w:t>环境风险防控</w:t>
                  </w:r>
                </w:p>
              </w:tc>
              <w:tc>
                <w:tcPr>
                  <w:tcW w:w="2599" w:type="pct"/>
                  <w:noWrap w:val="0"/>
                  <w:vAlign w:val="center"/>
                </w:tcPr>
                <w:p w14:paraId="1B372D64">
                  <w:pPr>
                    <w:snapToGrid w:val="0"/>
                    <w:spacing w:line="240" w:lineRule="auto"/>
                    <w:jc w:val="left"/>
                    <w:rPr>
                      <w:rFonts w:hint="eastAsia"/>
                      <w:bCs/>
                      <w:sz w:val="21"/>
                      <w:szCs w:val="18"/>
                      <w:lang w:eastAsia="zh-CN"/>
                    </w:rPr>
                  </w:pPr>
                  <w:r>
                    <w:rPr>
                      <w:rFonts w:hint="eastAsia"/>
                      <w:bCs/>
                      <w:sz w:val="21"/>
                      <w:szCs w:val="18"/>
                      <w:lang w:eastAsia="zh-CN"/>
                    </w:rPr>
                    <w:t>（1）严格执行《江苏省“三线一单”生态环境分区管控方案》（苏政发〔2020〕49号）附件3江苏省省域生态环境管控要求中“环境风险防控”的相关要求。</w:t>
                  </w:r>
                </w:p>
                <w:p w14:paraId="78D9260E">
                  <w:pPr>
                    <w:snapToGrid w:val="0"/>
                    <w:spacing w:line="240" w:lineRule="auto"/>
                    <w:jc w:val="left"/>
                    <w:rPr>
                      <w:rFonts w:hint="eastAsia"/>
                      <w:bCs/>
                      <w:sz w:val="21"/>
                      <w:szCs w:val="18"/>
                      <w:lang w:eastAsia="zh-CN"/>
                    </w:rPr>
                  </w:pPr>
                  <w:r>
                    <w:rPr>
                      <w:rFonts w:hint="eastAsia"/>
                      <w:bCs/>
                      <w:sz w:val="21"/>
                      <w:szCs w:val="18"/>
                      <w:lang w:eastAsia="zh-CN"/>
                    </w:rPr>
                    <w:t>（</w:t>
                  </w:r>
                  <w:r>
                    <w:rPr>
                      <w:rFonts w:hint="eastAsia"/>
                      <w:bCs/>
                      <w:sz w:val="21"/>
                      <w:szCs w:val="18"/>
                      <w:lang w:val="en-US" w:eastAsia="zh-CN"/>
                    </w:rPr>
                    <w:t>2</w:t>
                  </w:r>
                  <w:r>
                    <w:rPr>
                      <w:rFonts w:hint="eastAsia"/>
                      <w:bCs/>
                      <w:sz w:val="21"/>
                      <w:szCs w:val="18"/>
                      <w:lang w:eastAsia="zh-CN"/>
                    </w:rPr>
                    <w:t>）强化饮用水水源环境风险管控，建成应急水源工程。</w:t>
                  </w:r>
                </w:p>
                <w:p w14:paraId="19F17FE2">
                  <w:pPr>
                    <w:snapToGrid w:val="0"/>
                    <w:spacing w:line="240" w:lineRule="auto"/>
                    <w:jc w:val="left"/>
                    <w:rPr>
                      <w:rFonts w:hint="eastAsia"/>
                      <w:bCs/>
                      <w:sz w:val="21"/>
                      <w:szCs w:val="18"/>
                    </w:rPr>
                  </w:pPr>
                  <w:r>
                    <w:rPr>
                      <w:rFonts w:hint="eastAsia"/>
                      <w:bCs/>
                      <w:sz w:val="21"/>
                      <w:szCs w:val="18"/>
                      <w:lang w:eastAsia="zh-CN"/>
                    </w:rPr>
                    <w:t>（</w:t>
                  </w:r>
                  <w:r>
                    <w:rPr>
                      <w:rFonts w:hint="eastAsia"/>
                      <w:bCs/>
                      <w:sz w:val="21"/>
                      <w:szCs w:val="18"/>
                      <w:lang w:val="en-US" w:eastAsia="zh-CN"/>
                    </w:rPr>
                    <w:t>3</w:t>
                  </w:r>
                  <w:r>
                    <w:rPr>
                      <w:rFonts w:hint="eastAsia"/>
                      <w:bCs/>
                      <w:sz w:val="21"/>
                      <w:szCs w:val="18"/>
                      <w:lang w:eastAsia="zh-CN"/>
                    </w:rPr>
                    <w:t>）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834" w:type="pct"/>
                  <w:noWrap w:val="0"/>
                  <w:vAlign w:val="center"/>
                </w:tcPr>
                <w:p w14:paraId="0043E0B5">
                  <w:pPr>
                    <w:snapToGrid w:val="0"/>
                    <w:spacing w:line="240" w:lineRule="auto"/>
                    <w:jc w:val="center"/>
                    <w:rPr>
                      <w:rFonts w:hint="eastAsia"/>
                      <w:bCs/>
                      <w:sz w:val="21"/>
                      <w:szCs w:val="18"/>
                    </w:rPr>
                  </w:pPr>
                  <w:r>
                    <w:rPr>
                      <w:rFonts w:hint="eastAsia"/>
                      <w:bCs/>
                      <w:sz w:val="21"/>
                      <w:szCs w:val="18"/>
                    </w:rPr>
                    <w:t>本项目将积极与区域应急体系联动。</w:t>
                  </w:r>
                  <w:r>
                    <w:rPr>
                      <w:rFonts w:hint="eastAsia"/>
                      <w:bCs/>
                      <w:sz w:val="21"/>
                      <w:szCs w:val="18"/>
                      <w:lang w:val="en-US" w:eastAsia="zh-CN"/>
                    </w:rPr>
                    <w:t>相符。</w:t>
                  </w:r>
                </w:p>
              </w:tc>
            </w:tr>
            <w:tr w14:paraId="533CA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noWrap w:val="0"/>
                  <w:vAlign w:val="center"/>
                </w:tcPr>
                <w:p w14:paraId="35E683B6">
                  <w:pPr>
                    <w:snapToGrid w:val="0"/>
                    <w:spacing w:line="240" w:lineRule="auto"/>
                    <w:jc w:val="center"/>
                    <w:rPr>
                      <w:rFonts w:hint="eastAsia"/>
                      <w:bCs/>
                      <w:sz w:val="21"/>
                      <w:szCs w:val="18"/>
                    </w:rPr>
                  </w:pPr>
                  <w:r>
                    <w:rPr>
                      <w:rFonts w:hint="eastAsia"/>
                      <w:bCs/>
                      <w:sz w:val="21"/>
                      <w:szCs w:val="18"/>
                    </w:rPr>
                    <w:t>资源利用效率要求</w:t>
                  </w:r>
                </w:p>
              </w:tc>
              <w:tc>
                <w:tcPr>
                  <w:tcW w:w="2599" w:type="pct"/>
                  <w:noWrap w:val="0"/>
                  <w:vAlign w:val="center"/>
                </w:tcPr>
                <w:p w14:paraId="3FBFCF57">
                  <w:pPr>
                    <w:snapToGrid w:val="0"/>
                    <w:spacing w:line="240" w:lineRule="auto"/>
                    <w:jc w:val="left"/>
                    <w:rPr>
                      <w:rFonts w:hint="eastAsia"/>
                      <w:bCs/>
                      <w:sz w:val="21"/>
                      <w:szCs w:val="18"/>
                      <w:lang w:eastAsia="zh-CN"/>
                    </w:rPr>
                  </w:pPr>
                  <w:r>
                    <w:rPr>
                      <w:rFonts w:hint="eastAsia"/>
                      <w:bCs/>
                      <w:sz w:val="21"/>
                      <w:szCs w:val="18"/>
                      <w:lang w:eastAsia="zh-CN"/>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43C564F3">
                  <w:pPr>
                    <w:snapToGrid w:val="0"/>
                    <w:spacing w:line="240" w:lineRule="auto"/>
                    <w:jc w:val="left"/>
                    <w:rPr>
                      <w:rFonts w:hint="eastAsia"/>
                      <w:bCs/>
                      <w:sz w:val="21"/>
                      <w:szCs w:val="18"/>
                      <w:lang w:eastAsia="zh-CN"/>
                    </w:rPr>
                  </w:pPr>
                  <w:r>
                    <w:rPr>
                      <w:rFonts w:hint="eastAsia"/>
                      <w:bCs/>
                      <w:sz w:val="21"/>
                      <w:szCs w:val="18"/>
                      <w:lang w:eastAsia="zh-CN"/>
                    </w:rPr>
                    <w:t>（2）根据《常州市国土空间总体规划（2021-2035年）（上报稿）》，永久基本农田实际划定是7.53万公顷，2035年任务量为7.66万公顷。</w:t>
                  </w:r>
                </w:p>
                <w:p w14:paraId="71EF9DD2">
                  <w:pPr>
                    <w:snapToGrid w:val="0"/>
                    <w:spacing w:line="240" w:lineRule="auto"/>
                    <w:jc w:val="left"/>
                    <w:rPr>
                      <w:rFonts w:hint="eastAsia"/>
                      <w:bCs/>
                      <w:sz w:val="21"/>
                      <w:szCs w:val="18"/>
                      <w:lang w:eastAsia="zh-CN"/>
                    </w:rPr>
                  </w:pPr>
                  <w:r>
                    <w:rPr>
                      <w:rFonts w:hint="eastAsia"/>
                      <w:bCs/>
                      <w:sz w:val="21"/>
                      <w:szCs w:val="18"/>
                      <w:lang w:eastAsia="zh-CN"/>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w:t>
                  </w:r>
                  <w:r>
                    <w:rPr>
                      <w:rFonts w:hint="default" w:ascii="Times New Roman" w:hAnsi="Times New Roman" w:cs="Times New Roman"/>
                      <w:bCs/>
                      <w:sz w:val="21"/>
                      <w:szCs w:val="18"/>
                      <w:lang w:eastAsia="zh-CN"/>
                    </w:rPr>
                    <w:t>Ⅱ</w:t>
                  </w:r>
                  <w:r>
                    <w:rPr>
                      <w:rFonts w:hint="eastAsia"/>
                      <w:bCs/>
                      <w:sz w:val="21"/>
                      <w:szCs w:val="18"/>
                      <w:lang w:eastAsia="zh-CN"/>
                    </w:rPr>
                    <w:t>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6B95344D">
                  <w:pPr>
                    <w:snapToGrid w:val="0"/>
                    <w:spacing w:line="240" w:lineRule="auto"/>
                    <w:jc w:val="left"/>
                    <w:rPr>
                      <w:rFonts w:hint="eastAsia"/>
                      <w:bCs/>
                      <w:sz w:val="21"/>
                      <w:szCs w:val="18"/>
                    </w:rPr>
                  </w:pPr>
                  <w:r>
                    <w:rPr>
                      <w:rFonts w:hint="eastAsia"/>
                      <w:bCs/>
                      <w:sz w:val="21"/>
                      <w:szCs w:val="18"/>
                      <w:lang w:eastAsia="zh-CN"/>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834" w:type="pct"/>
                  <w:noWrap w:val="0"/>
                  <w:vAlign w:val="center"/>
                </w:tcPr>
                <w:p w14:paraId="73739BDB">
                  <w:pPr>
                    <w:snapToGrid w:val="0"/>
                    <w:spacing w:line="240" w:lineRule="auto"/>
                    <w:jc w:val="center"/>
                    <w:rPr>
                      <w:rFonts w:hint="default"/>
                      <w:bCs/>
                      <w:sz w:val="21"/>
                      <w:szCs w:val="18"/>
                      <w:lang w:val="en-US"/>
                    </w:rPr>
                  </w:pPr>
                  <w:r>
                    <w:rPr>
                      <w:rFonts w:hint="eastAsia"/>
                      <w:bCs/>
                      <w:sz w:val="21"/>
                      <w:szCs w:val="18"/>
                      <w:lang w:val="en-US" w:eastAsia="zh-CN"/>
                    </w:rPr>
                    <w:t>本项目建成后自来水用量为1332m</w:t>
                  </w:r>
                  <w:r>
                    <w:rPr>
                      <w:rFonts w:hint="eastAsia"/>
                      <w:bCs/>
                      <w:sz w:val="21"/>
                      <w:szCs w:val="18"/>
                      <w:vertAlign w:val="superscript"/>
                      <w:lang w:val="en-US" w:eastAsia="zh-CN"/>
                    </w:rPr>
                    <w:t>3</w:t>
                  </w:r>
                  <w:r>
                    <w:rPr>
                      <w:rFonts w:hint="eastAsia"/>
                      <w:bCs/>
                      <w:sz w:val="21"/>
                      <w:szCs w:val="18"/>
                      <w:lang w:val="en-US" w:eastAsia="zh-CN"/>
                    </w:rPr>
                    <w:t>/a；</w:t>
                  </w:r>
                  <w:r>
                    <w:rPr>
                      <w:rFonts w:hint="default"/>
                      <w:bCs/>
                      <w:sz w:val="21"/>
                      <w:szCs w:val="18"/>
                    </w:rPr>
                    <w:t>本项目</w:t>
                  </w:r>
                  <w:r>
                    <w:rPr>
                      <w:rFonts w:hint="eastAsia"/>
                      <w:bCs/>
                      <w:sz w:val="21"/>
                      <w:szCs w:val="18"/>
                      <w:lang w:val="en-US" w:eastAsia="zh-CN"/>
                    </w:rPr>
                    <w:t>不在基本农田范围内；生产过程中使用水、电、天然气，为清洁能源。相符。</w:t>
                  </w:r>
                </w:p>
              </w:tc>
            </w:tr>
          </w:tbl>
          <w:p w14:paraId="6B842B4E">
            <w:pPr>
              <w:autoSpaceDE w:val="0"/>
              <w:autoSpaceDN w:val="0"/>
              <w:adjustRightInd w:val="0"/>
              <w:ind w:firstLine="480" w:firstLineChars="200"/>
            </w:pPr>
            <w:r>
              <w:rPr>
                <w:rFonts w:hint="eastAsia"/>
              </w:rPr>
              <w:t>（1）</w:t>
            </w:r>
            <w:r>
              <w:t>生态红线</w:t>
            </w:r>
          </w:p>
          <w:p w14:paraId="01A00F23">
            <w:pPr>
              <w:autoSpaceDE w:val="0"/>
              <w:autoSpaceDN w:val="0"/>
              <w:adjustRightInd w:val="0"/>
              <w:ind w:firstLine="480" w:firstLineChars="200"/>
            </w:pPr>
            <w:r>
              <w:t>结合项目地理位置图（详见附图1）和项目生态</w:t>
            </w:r>
            <w:r>
              <w:rPr>
                <w:rFonts w:hint="eastAsia"/>
              </w:rPr>
              <w:t>空间保护</w:t>
            </w:r>
            <w:r>
              <w:t>区域图（详见附图</w:t>
            </w:r>
            <w:r>
              <w:rPr>
                <w:rFonts w:hint="eastAsia"/>
                <w:lang w:val="en-US" w:eastAsia="zh-CN"/>
              </w:rPr>
              <w:t>4</w:t>
            </w:r>
            <w:r>
              <w:t>），</w:t>
            </w:r>
            <w:r>
              <w:rPr>
                <w:rFonts w:hint="eastAsia"/>
              </w:rPr>
              <w:t>对照</w:t>
            </w:r>
            <w:r>
              <w:t>《省政府关于印发江苏省国家级生态保护红线规划的通知》（苏政发</w:t>
            </w:r>
            <w:r>
              <w:rPr>
                <w:rFonts w:hint="eastAsia"/>
                <w:lang w:eastAsia="zh-CN"/>
              </w:rPr>
              <w:t>〔2018〕74号</w:t>
            </w:r>
            <w:r>
              <w:t>）及《省政府关于印发江苏省生态空间管控区域规划的通知》（苏政发</w:t>
            </w:r>
            <w:r>
              <w:rPr>
                <w:rFonts w:hint="eastAsia"/>
                <w:lang w:eastAsia="zh-CN"/>
              </w:rPr>
              <w:t>〔2020〕1号</w:t>
            </w:r>
            <w:r>
              <w:t>），距离最近的生态红线保护区为项目</w:t>
            </w:r>
            <w:r>
              <w:rPr>
                <w:rFonts w:hint="eastAsia"/>
                <w:lang w:val="en-US" w:eastAsia="zh-CN"/>
              </w:rPr>
              <w:t>西南</w:t>
            </w:r>
            <w:r>
              <w:t>侧</w:t>
            </w:r>
            <w:r>
              <w:rPr>
                <w:rFonts w:hint="eastAsia"/>
                <w:lang w:eastAsia="zh-CN"/>
              </w:rPr>
              <w:t>3.06km</w:t>
            </w:r>
            <w:r>
              <w:t>的横山（武进区）生态公益林</w:t>
            </w:r>
            <w:r>
              <w:rPr>
                <w:rFonts w:hint="eastAsia"/>
              </w:rPr>
              <w:t>，</w:t>
            </w:r>
            <w:r>
              <w:t>不在国家级生态保护红线范围和生态空间管控区范围内。</w:t>
            </w:r>
          </w:p>
          <w:p w14:paraId="3E96EE38">
            <w:pPr>
              <w:autoSpaceDE w:val="0"/>
              <w:autoSpaceDN w:val="0"/>
              <w:adjustRightInd w:val="0"/>
              <w:ind w:firstLine="480" w:firstLineChars="200"/>
            </w:pPr>
            <w:r>
              <w:rPr>
                <w:rFonts w:hint="eastAsia"/>
              </w:rPr>
              <w:t>（2）</w:t>
            </w:r>
            <w:r>
              <w:t>环境质量底线</w:t>
            </w:r>
          </w:p>
          <w:p w14:paraId="0E417BB8">
            <w:pPr>
              <w:autoSpaceDE w:val="0"/>
              <w:autoSpaceDN w:val="0"/>
              <w:adjustRightInd w:val="0"/>
              <w:ind w:firstLine="480" w:firstLineChars="200"/>
              <w:rPr>
                <w:rFonts w:ascii="仿宋" w:hAnsi="仿宋" w:cs="仿宋"/>
              </w:rPr>
            </w:pPr>
            <w:r>
              <w:rPr>
                <w:rFonts w:hint="eastAsia" w:ascii="仿宋" w:hAnsi="仿宋" w:cs="仿宋"/>
              </w:rPr>
              <w:t>①</w:t>
            </w:r>
            <w:r>
              <w:t>大气环境质量底线</w:t>
            </w:r>
          </w:p>
          <w:p w14:paraId="2FB43AFC">
            <w:pPr>
              <w:ind w:firstLine="480" w:firstLineChars="200"/>
            </w:pPr>
            <w:r>
              <w:t>根据</w:t>
            </w:r>
            <w:r>
              <w:rPr>
                <w:rFonts w:hint="eastAsia"/>
              </w:rPr>
              <w:t>《202</w:t>
            </w:r>
            <w:r>
              <w:rPr>
                <w:rFonts w:hint="eastAsia"/>
                <w:lang w:val="en-US" w:eastAsia="zh-CN"/>
              </w:rPr>
              <w:t>4</w:t>
            </w:r>
            <w:r>
              <w:rPr>
                <w:rFonts w:hint="eastAsia"/>
              </w:rPr>
              <w:t>年常州市生态环境状况公报》</w:t>
            </w:r>
            <w:r>
              <w:t>，202</w:t>
            </w:r>
            <w:r>
              <w:rPr>
                <w:rFonts w:hint="eastAsia"/>
                <w:lang w:val="en-US" w:eastAsia="zh-CN"/>
              </w:rPr>
              <w:t>4</w:t>
            </w:r>
            <w:r>
              <w:t>年常州市环境空气中二氧化硫、二氧化氮、一氧化碳、可吸入颗粒物年平均浓度</w:t>
            </w:r>
            <w:r>
              <w:rPr>
                <w:rFonts w:hint="eastAsia"/>
              </w:rPr>
              <w:t>和日平均相应百分位数质量浓度</w:t>
            </w:r>
            <w:r>
              <w:t>均达到环境空气质量二级标准；</w:t>
            </w:r>
            <w:r>
              <w:rPr>
                <w:rFonts w:hint="eastAsia"/>
              </w:rPr>
              <w:t>细颗粒物日平均第95百分位数和臭氧</w:t>
            </w:r>
            <w:r>
              <w:t>年最大8小时滑动平均值的第90百分位数浓度超过环境空气质量二级标准。根据《环境影响评价技术导则 大气环境》（HJ2.2-2018），SO</w:t>
            </w:r>
            <w:r>
              <w:rPr>
                <w:vertAlign w:val="subscript"/>
              </w:rPr>
              <w:t>2</w:t>
            </w:r>
            <w:r>
              <w:t>、NO</w:t>
            </w:r>
            <w:r>
              <w:rPr>
                <w:vertAlign w:val="subscript"/>
              </w:rPr>
              <w:t>2</w:t>
            </w:r>
            <w:r>
              <w:t>、PM</w:t>
            </w:r>
            <w:r>
              <w:rPr>
                <w:vertAlign w:val="subscript"/>
              </w:rPr>
              <w:t>10</w:t>
            </w:r>
            <w:r>
              <w:t>、CO、PM</w:t>
            </w:r>
            <w:r>
              <w:rPr>
                <w:vertAlign w:val="subscript"/>
              </w:rPr>
              <w:t>2.5</w:t>
            </w:r>
            <w:r>
              <w:t>和O</w:t>
            </w:r>
            <w:r>
              <w:rPr>
                <w:vertAlign w:val="subscript"/>
              </w:rPr>
              <w:t>3</w:t>
            </w:r>
            <w:r>
              <w:t>6项污染物全部达标即为城市空气质量达标，故常州市目前属于环境空气质量不达标区，常州市生态环境局提出大气污染防治措施如下：1°</w:t>
            </w:r>
            <w:r>
              <w:rPr>
                <w:rFonts w:hint="eastAsia"/>
                <w:lang w:val="en-US" w:eastAsia="zh-CN"/>
              </w:rPr>
              <w:t>产业结构调整</w:t>
            </w:r>
            <w:r>
              <w:t>；2°</w:t>
            </w:r>
            <w:r>
              <w:rPr>
                <w:rFonts w:hint="eastAsia"/>
                <w:lang w:val="en-US" w:eastAsia="zh-CN"/>
              </w:rPr>
              <w:t>挥发性有机物治理</w:t>
            </w:r>
            <w:r>
              <w:t>；3°</w:t>
            </w:r>
            <w:r>
              <w:rPr>
                <w:rFonts w:hint="eastAsia"/>
                <w:lang w:val="en-US" w:eastAsia="zh-CN"/>
              </w:rPr>
              <w:t>重点集群专项提升</w:t>
            </w:r>
            <w:r>
              <w:t>；4°</w:t>
            </w:r>
            <w:r>
              <w:rPr>
                <w:rFonts w:hint="eastAsia"/>
                <w:lang w:val="en-US" w:eastAsia="zh-CN"/>
              </w:rPr>
              <w:t>扬尘全面管控</w:t>
            </w:r>
            <w:r>
              <w:t>；5°</w:t>
            </w:r>
            <w:r>
              <w:rPr>
                <w:rFonts w:hint="eastAsia"/>
                <w:lang w:val="en-US" w:eastAsia="zh-CN"/>
              </w:rPr>
              <w:t>移动源排气监管</w:t>
            </w:r>
            <w:r>
              <w:t>。在落实大气污染防治措施的情况下，区域环境空气质量可以得到改善。</w:t>
            </w:r>
          </w:p>
          <w:p w14:paraId="47688D23">
            <w:pPr>
              <w:ind w:firstLine="480" w:firstLineChars="200"/>
              <w:jc w:val="left"/>
            </w:pPr>
            <w:r>
              <w:rPr>
                <w:rFonts w:hint="eastAsia" w:ascii="仿宋" w:hAnsi="仿宋" w:cs="仿宋"/>
              </w:rPr>
              <w:t>②</w:t>
            </w:r>
            <w:r>
              <w:t>地表水环境质量底线</w:t>
            </w:r>
          </w:p>
          <w:p w14:paraId="458AA7C3">
            <w:pPr>
              <w:ind w:firstLine="480" w:firstLineChars="200"/>
            </w:pPr>
            <w:r>
              <w:t>根据</w:t>
            </w:r>
            <w:r>
              <w:rPr>
                <w:rFonts w:hint="eastAsia"/>
              </w:rPr>
              <w:t>《202</w:t>
            </w:r>
            <w:r>
              <w:rPr>
                <w:rFonts w:hint="eastAsia"/>
                <w:lang w:val="en-US" w:eastAsia="zh-CN"/>
              </w:rPr>
              <w:t>4</w:t>
            </w:r>
            <w:r>
              <w:rPr>
                <w:rFonts w:hint="eastAsia"/>
              </w:rPr>
              <w:t>年常州市生态环境状况公报》</w:t>
            </w:r>
            <w:r>
              <w:t>中相关内容，202</w:t>
            </w:r>
            <w:r>
              <w:rPr>
                <w:rFonts w:hint="eastAsia"/>
                <w:lang w:val="en-US" w:eastAsia="zh-CN"/>
              </w:rPr>
              <w:t>4</w:t>
            </w:r>
            <w:r>
              <w:t>年</w:t>
            </w:r>
            <w:r>
              <w:rPr>
                <w:szCs w:val="28"/>
              </w:rPr>
              <w:t>常州市纳入</w:t>
            </w:r>
            <w:r>
              <w:rPr>
                <w:rFonts w:hint="eastAsia" w:ascii="仿宋" w:hAnsi="仿宋" w:cs="仿宋"/>
                <w:szCs w:val="28"/>
                <w:lang w:eastAsia="zh-CN"/>
              </w:rPr>
              <w:t>“</w:t>
            </w:r>
            <w:r>
              <w:rPr>
                <w:rFonts w:hint="eastAsia" w:ascii="仿宋" w:hAnsi="仿宋" w:cs="仿宋"/>
                <w:szCs w:val="28"/>
              </w:rPr>
              <w:t>十四五</w:t>
            </w:r>
            <w:r>
              <w:rPr>
                <w:rFonts w:hint="eastAsia" w:ascii="仿宋" w:hAnsi="仿宋" w:cs="仿宋"/>
                <w:szCs w:val="28"/>
                <w:lang w:eastAsia="zh-CN"/>
              </w:rPr>
              <w:t>”</w:t>
            </w:r>
            <w:r>
              <w:rPr>
                <w:szCs w:val="28"/>
              </w:rPr>
              <w:t>国家地表水环境质量考核的20个断面中，年均水质达到或好于《地表水环境质量标准》（GB3838-2002）</w:t>
            </w:r>
            <w:r>
              <w:rPr>
                <w:rFonts w:eastAsia="宋体"/>
                <w:szCs w:val="28"/>
              </w:rPr>
              <w:t>Ⅲ</w:t>
            </w:r>
            <w:r>
              <w:rPr>
                <w:szCs w:val="28"/>
              </w:rPr>
              <w:t>类标准的断面比例为8</w:t>
            </w:r>
            <w:r>
              <w:rPr>
                <w:rFonts w:hint="eastAsia"/>
                <w:szCs w:val="28"/>
              </w:rPr>
              <w:t>5</w:t>
            </w:r>
            <w:r>
              <w:rPr>
                <w:szCs w:val="28"/>
              </w:rPr>
              <w:t>%，无劣于Ⅴ类断面</w:t>
            </w:r>
            <w:r>
              <w:rPr>
                <w:rFonts w:hint="eastAsia"/>
                <w:szCs w:val="28"/>
              </w:rPr>
              <w:t>。</w:t>
            </w:r>
            <w:r>
              <w:rPr>
                <w:szCs w:val="28"/>
              </w:rPr>
              <w:t>纳入江苏省</w:t>
            </w:r>
            <w:r>
              <w:rPr>
                <w:rFonts w:hint="eastAsia" w:ascii="仿宋" w:hAnsi="仿宋" w:cs="仿宋"/>
                <w:szCs w:val="28"/>
                <w:lang w:eastAsia="zh-CN"/>
              </w:rPr>
              <w:t>“</w:t>
            </w:r>
            <w:r>
              <w:rPr>
                <w:rFonts w:hint="eastAsia" w:ascii="仿宋" w:hAnsi="仿宋" w:cs="仿宋"/>
                <w:szCs w:val="28"/>
              </w:rPr>
              <w:t>十四五</w:t>
            </w:r>
            <w:r>
              <w:rPr>
                <w:rFonts w:hint="eastAsia" w:ascii="仿宋" w:hAnsi="仿宋" w:cs="仿宋"/>
                <w:szCs w:val="28"/>
                <w:lang w:eastAsia="zh-CN"/>
              </w:rPr>
              <w:t>”</w:t>
            </w:r>
            <w:r>
              <w:rPr>
                <w:szCs w:val="28"/>
              </w:rPr>
              <w:t>水环境质量目标</w:t>
            </w:r>
            <w:r>
              <w:t>考核的51个断面，年均水质达到或好于Ⅲ类的比例为9</w:t>
            </w:r>
            <w:r>
              <w:rPr>
                <w:rFonts w:hint="eastAsia"/>
              </w:rPr>
              <w:t>4.1</w:t>
            </w:r>
            <w:r>
              <w:t>%，无劣于Ⅴ类断面。</w:t>
            </w:r>
            <w:r>
              <w:rPr>
                <w:rFonts w:hint="eastAsia"/>
              </w:rPr>
              <w:t>太湖水质自2007年蓝藻事件以来首次达</w:t>
            </w:r>
            <w:r>
              <w:t>Ⅲ</w:t>
            </w:r>
            <w:r>
              <w:rPr>
                <w:rFonts w:hint="eastAsia"/>
                <w:lang w:eastAsia="zh-CN"/>
              </w:rPr>
              <w:t>、</w:t>
            </w:r>
            <w:r>
              <w:rPr>
                <w:rFonts w:hint="eastAsia"/>
              </w:rPr>
              <w:t>重回</w:t>
            </w:r>
            <w:r>
              <w:rPr>
                <w:rFonts w:hint="eastAsia"/>
                <w:lang w:eastAsia="zh-CN"/>
              </w:rPr>
              <w:t>“</w:t>
            </w:r>
            <w:r>
              <w:rPr>
                <w:rFonts w:hint="eastAsia"/>
              </w:rPr>
              <w:t>良好</w:t>
            </w:r>
            <w:r>
              <w:rPr>
                <w:rFonts w:hint="eastAsia"/>
                <w:lang w:eastAsia="zh-CN"/>
              </w:rPr>
              <w:t>”</w:t>
            </w:r>
            <w:r>
              <w:rPr>
                <w:rFonts w:hint="eastAsia"/>
              </w:rPr>
              <w:t>湖泊，其中我市椒山点位首次达到川类，太湖常州水域总磷同比改善24%，对全湖总磷改善幅度贡献率达182%，位列环湖城市第一，太湖入湖河道通量最大的百渎港总磷同比下降17.6%。长荡湖水质稳定达到</w:t>
            </w:r>
            <w:r>
              <w:rPr>
                <w:rFonts w:hint="default" w:ascii="Times New Roman" w:hAnsi="Times New Roman" w:cs="Times New Roman"/>
              </w:rPr>
              <w:t>Ⅳ</w:t>
            </w:r>
            <w:r>
              <w:rPr>
                <w:rFonts w:hint="eastAsia"/>
              </w:rPr>
              <w:t>类，水生植物覆盖度达38.4%，由</w:t>
            </w:r>
            <w:r>
              <w:rPr>
                <w:rFonts w:hint="eastAsia"/>
                <w:lang w:eastAsia="zh-CN"/>
              </w:rPr>
              <w:t>“</w:t>
            </w:r>
            <w:r>
              <w:rPr>
                <w:rFonts w:hint="eastAsia"/>
              </w:rPr>
              <w:t>藻型湖</w:t>
            </w:r>
            <w:r>
              <w:rPr>
                <w:rFonts w:hint="eastAsia"/>
                <w:lang w:eastAsia="zh-CN"/>
              </w:rPr>
              <w:t>”</w:t>
            </w:r>
            <w:r>
              <w:rPr>
                <w:rFonts w:hint="eastAsia"/>
              </w:rPr>
              <w:t>逐步向</w:t>
            </w:r>
            <w:r>
              <w:rPr>
                <w:rFonts w:hint="eastAsia"/>
                <w:lang w:eastAsia="zh-CN"/>
              </w:rPr>
              <w:t>“</w:t>
            </w:r>
            <w:r>
              <w:rPr>
                <w:rFonts w:hint="eastAsia"/>
              </w:rPr>
              <w:t>草型湖</w:t>
            </w:r>
            <w:r>
              <w:rPr>
                <w:rFonts w:hint="eastAsia"/>
                <w:lang w:eastAsia="zh-CN"/>
              </w:rPr>
              <w:t>”</w:t>
            </w:r>
            <w:r>
              <w:rPr>
                <w:rFonts w:hint="eastAsia"/>
              </w:rPr>
              <w:t>转</w:t>
            </w:r>
            <w:r>
              <w:rPr>
                <w:rFonts w:hint="eastAsia"/>
                <w:lang w:val="en-US" w:eastAsia="zh-CN"/>
              </w:rPr>
              <w:t>变；</w:t>
            </w:r>
            <w:r>
              <w:rPr>
                <w:rFonts w:hint="eastAsia"/>
              </w:rPr>
              <w:t>滆湖常州水域水质首次达到</w:t>
            </w:r>
            <w:r>
              <w:rPr>
                <w:rFonts w:hint="default" w:ascii="Times New Roman" w:hAnsi="Times New Roman" w:cs="Times New Roman"/>
              </w:rPr>
              <w:t>Ⅳ</w:t>
            </w:r>
            <w:r>
              <w:rPr>
                <w:rFonts w:hint="eastAsia"/>
              </w:rPr>
              <w:t>类，总磷同比改善27.9%，营养状态从</w:t>
            </w:r>
            <w:r>
              <w:rPr>
                <w:rFonts w:hint="eastAsia"/>
                <w:lang w:eastAsia="zh-CN"/>
              </w:rPr>
              <w:t>“</w:t>
            </w:r>
            <w:r>
              <w:rPr>
                <w:rFonts w:hint="eastAsia"/>
              </w:rPr>
              <w:t>中度</w:t>
            </w:r>
            <w:r>
              <w:rPr>
                <w:rFonts w:hint="eastAsia"/>
                <w:lang w:eastAsia="zh-CN"/>
              </w:rPr>
              <w:t>”</w:t>
            </w:r>
            <w:r>
              <w:rPr>
                <w:rFonts w:hint="eastAsia"/>
              </w:rPr>
              <w:t>改善至</w:t>
            </w:r>
            <w:r>
              <w:rPr>
                <w:rFonts w:hint="eastAsia"/>
                <w:lang w:eastAsia="zh-CN"/>
              </w:rPr>
              <w:t>“</w:t>
            </w:r>
            <w:r>
              <w:rPr>
                <w:rFonts w:hint="eastAsia"/>
              </w:rPr>
              <w:t>轻</w:t>
            </w:r>
            <w:r>
              <w:rPr>
                <w:rFonts w:hint="eastAsia"/>
                <w:lang w:val="en-US" w:eastAsia="zh-CN"/>
              </w:rPr>
              <w:t>度”</w:t>
            </w:r>
            <w:r>
              <w:rPr>
                <w:rFonts w:hint="eastAsia"/>
              </w:rPr>
              <w:t>。长荡湖水质稳定达到</w:t>
            </w:r>
            <w:r>
              <w:rPr>
                <w:rFonts w:hint="default" w:ascii="Times New Roman" w:hAnsi="Times New Roman" w:cs="Times New Roman"/>
                <w:lang w:eastAsia="zh-CN"/>
              </w:rPr>
              <w:t>Ⅳ</w:t>
            </w:r>
            <w:r>
              <w:rPr>
                <w:rFonts w:hint="eastAsia"/>
                <w:lang w:eastAsia="zh-CN"/>
              </w:rPr>
              <w:t>类</w:t>
            </w:r>
            <w:r>
              <w:rPr>
                <w:rFonts w:hint="eastAsia"/>
              </w:rPr>
              <w:t>。长江干流魏村</w:t>
            </w:r>
            <w:r>
              <w:rPr>
                <w:rFonts w:hint="eastAsia"/>
                <w:lang w:eastAsia="zh-CN"/>
              </w:rPr>
              <w:t>（</w:t>
            </w:r>
            <w:r>
              <w:rPr>
                <w:rFonts w:hint="eastAsia"/>
              </w:rPr>
              <w:t>右岸</w:t>
            </w:r>
            <w:r>
              <w:rPr>
                <w:rFonts w:hint="eastAsia"/>
                <w:lang w:eastAsia="zh-CN"/>
              </w:rPr>
              <w:t>）</w:t>
            </w:r>
            <w:r>
              <w:rPr>
                <w:rFonts w:hint="eastAsia"/>
              </w:rPr>
              <w:t>断面水质连续八年达到</w:t>
            </w:r>
            <w:r>
              <w:rPr>
                <w:rFonts w:hint="default" w:ascii="Times New Roman" w:hAnsi="Times New Roman" w:eastAsia="仿宋" w:cs="Times New Roman"/>
              </w:rPr>
              <w:t>Ⅱ</w:t>
            </w:r>
            <w:r>
              <w:rPr>
                <w:rFonts w:hint="eastAsia"/>
              </w:rPr>
              <w:t>类</w:t>
            </w:r>
            <w:r>
              <w:rPr>
                <w:rFonts w:hint="eastAsia"/>
                <w:lang w:eastAsia="zh-CN"/>
              </w:rPr>
              <w:t>；</w:t>
            </w:r>
            <w:r>
              <w:rPr>
                <w:rFonts w:hint="eastAsia"/>
              </w:rPr>
              <w:t>新孟河、德胜河、澡港河等3条主要通江支流上5个国省考断面年均水质均达到或优于</w:t>
            </w:r>
            <w:r>
              <w:t>Ⅲ</w:t>
            </w:r>
            <w:r>
              <w:rPr>
                <w:rFonts w:hint="eastAsia"/>
              </w:rPr>
              <w:t>类。京杭大运河</w:t>
            </w:r>
            <w:r>
              <w:rPr>
                <w:rFonts w:hint="eastAsia"/>
                <w:lang w:eastAsia="zh-CN"/>
              </w:rPr>
              <w:t>（</w:t>
            </w:r>
            <w:r>
              <w:rPr>
                <w:rFonts w:hint="eastAsia"/>
              </w:rPr>
              <w:t>常州段</w:t>
            </w:r>
            <w:r>
              <w:rPr>
                <w:rFonts w:hint="eastAsia"/>
                <w:lang w:eastAsia="zh-CN"/>
              </w:rPr>
              <w:t>）</w:t>
            </w:r>
            <w:r>
              <w:rPr>
                <w:rFonts w:hint="eastAsia"/>
              </w:rPr>
              <w:t>沿线五牧、连江桥下、戚墅堰等3个国省考断面年均水质均达到或好于</w:t>
            </w:r>
            <w:r>
              <w:t>Ⅲ</w:t>
            </w:r>
            <w:r>
              <w:rPr>
                <w:rFonts w:hint="eastAsia"/>
              </w:rPr>
              <w:t>类</w:t>
            </w:r>
            <w:r>
              <w:t>。</w:t>
            </w:r>
          </w:p>
          <w:p w14:paraId="6BCBA03E">
            <w:pPr>
              <w:ind w:firstLine="480" w:firstLineChars="200"/>
            </w:pPr>
            <w:r>
              <w:rPr>
                <w:rFonts w:hint="eastAsia"/>
              </w:rPr>
              <w:t>根据引用的</w:t>
            </w:r>
            <w:r>
              <w:rPr>
                <w:rFonts w:hint="eastAsia"/>
                <w:lang w:eastAsia="zh-CN"/>
              </w:rPr>
              <w:t>南京爱迪信环境技术有限公司</w:t>
            </w:r>
            <w:r>
              <w:rPr>
                <w:rFonts w:hint="eastAsia"/>
              </w:rPr>
              <w:t>历史检测数据（具体数据见表</w:t>
            </w:r>
            <w:r>
              <w:t>3</w:t>
            </w:r>
            <w:r>
              <w:rPr>
                <w:rFonts w:hint="eastAsia"/>
              </w:rPr>
              <w:t>-4）可知，本项目污水受纳水体三山港</w:t>
            </w:r>
            <w:r>
              <w:t>2</w:t>
            </w:r>
            <w:r>
              <w:rPr>
                <w:rFonts w:hint="eastAsia"/>
              </w:rPr>
              <w:t>个断面各监测因子均能满足《地表水环境质量标准》（</w:t>
            </w:r>
            <w:r>
              <w:t>GB3838-2002</w:t>
            </w:r>
            <w:r>
              <w:rPr>
                <w:rFonts w:hint="eastAsia"/>
              </w:rPr>
              <w:t>）</w:t>
            </w:r>
            <w:r>
              <w:t>Ⅲ</w:t>
            </w:r>
            <w:r>
              <w:rPr>
                <w:rFonts w:hint="eastAsia"/>
              </w:rPr>
              <w:t>类水标准要求；本项目无生产废水排放，生活污水经区域管网接管至常州东方横山水处理有限公司处理，尾水排入三山港，因此</w:t>
            </w:r>
            <w:r>
              <w:t>对地表水影响</w:t>
            </w:r>
            <w:r>
              <w:rPr>
                <w:rFonts w:hint="eastAsia"/>
              </w:rPr>
              <w:t>较小</w:t>
            </w:r>
            <w:r>
              <w:t>，符合地表水环境质量底线要求。</w:t>
            </w:r>
          </w:p>
          <w:p w14:paraId="28CCF44A">
            <w:pPr>
              <w:autoSpaceDE w:val="0"/>
              <w:autoSpaceDN w:val="0"/>
              <w:adjustRightInd w:val="0"/>
              <w:ind w:firstLine="480" w:firstLineChars="200"/>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eastAsia" w:ascii="Times New Roman" w:hAnsi="Times New Roman" w:cs="Times New Roman"/>
              </w:rPr>
              <w:t>资源利用</w:t>
            </w:r>
            <w:r>
              <w:rPr>
                <w:rFonts w:hint="eastAsia" w:ascii="Times New Roman" w:hAnsi="Times New Roman" w:cs="Times New Roman"/>
                <w:lang w:eastAsia="zh-CN"/>
              </w:rPr>
              <w:t>上</w:t>
            </w:r>
            <w:r>
              <w:rPr>
                <w:rFonts w:hint="eastAsia" w:ascii="Times New Roman" w:hAnsi="Times New Roman" w:cs="Times New Roman"/>
                <w:lang w:val="en-US" w:eastAsia="zh-CN"/>
              </w:rPr>
              <w:t>线</w:t>
            </w:r>
          </w:p>
          <w:p w14:paraId="7B133B39">
            <w:pPr>
              <w:autoSpaceDE w:val="0"/>
              <w:autoSpaceDN w:val="0"/>
              <w:adjustRightInd w:val="0"/>
              <w:ind w:firstLine="480" w:firstLineChars="200"/>
              <w:rPr>
                <w:rFonts w:ascii="仿宋" w:hAnsi="仿宋" w:cs="仿宋"/>
              </w:rPr>
            </w:pPr>
            <w:r>
              <w:rPr>
                <w:rFonts w:hint="eastAsia" w:ascii="仿宋" w:hAnsi="仿宋" w:cs="仿宋"/>
              </w:rPr>
              <w:t>本项目不属于</w:t>
            </w:r>
            <w:r>
              <w:rPr>
                <w:rFonts w:hint="eastAsia" w:ascii="仿宋" w:hAnsi="仿宋" w:cs="仿宋"/>
                <w:lang w:eastAsia="zh-CN"/>
              </w:rPr>
              <w:t>“</w:t>
            </w:r>
            <w:r>
              <w:rPr>
                <w:rFonts w:hint="eastAsia" w:ascii="仿宋" w:hAnsi="仿宋" w:cs="仿宋"/>
              </w:rPr>
              <w:t>两高一资</w:t>
            </w:r>
            <w:r>
              <w:rPr>
                <w:rFonts w:hint="eastAsia" w:ascii="仿宋" w:hAnsi="仿宋" w:cs="仿宋"/>
                <w:lang w:eastAsia="zh-CN"/>
              </w:rPr>
              <w:t>”</w:t>
            </w:r>
            <w:r>
              <w:rPr>
                <w:rFonts w:hint="eastAsia" w:ascii="仿宋" w:hAnsi="仿宋" w:cs="仿宋"/>
              </w:rPr>
              <w:t>类别，营运过程中主要用水、电，而项目所在地不属于资源匮乏地区。此外，企业将采购相对节电的低功耗设备，进一步节约能源，符合资源利用的相关要求。</w:t>
            </w:r>
          </w:p>
          <w:p w14:paraId="5B28D94B">
            <w:pPr>
              <w:autoSpaceDE w:val="0"/>
              <w:autoSpaceDN w:val="0"/>
              <w:adjustRightInd w:val="0"/>
              <w:ind w:firstLine="480" w:firstLineChars="200"/>
            </w:pPr>
            <w:r>
              <w:rPr>
                <w:rFonts w:hint="eastAsia"/>
              </w:rPr>
              <w:t>（</w:t>
            </w:r>
            <w:r>
              <w:rPr>
                <w:rFonts w:hint="eastAsia"/>
                <w:lang w:val="en-US" w:eastAsia="zh-CN"/>
              </w:rPr>
              <w:t>4</w:t>
            </w:r>
            <w:r>
              <w:rPr>
                <w:rFonts w:hint="eastAsia"/>
              </w:rPr>
              <w:t>）环境准入负面清单</w:t>
            </w:r>
          </w:p>
          <w:p w14:paraId="7B13617F">
            <w:pPr>
              <w:ind w:firstLine="480" w:firstLineChars="200"/>
            </w:pPr>
            <w:r>
              <w:t>常州市未发布环境准入负面清单，参考产业政策及区域规划等内容进行判定。</w:t>
            </w:r>
          </w:p>
          <w:p w14:paraId="77006370">
            <w:pPr>
              <w:tabs>
                <w:tab w:val="left" w:pos="960"/>
              </w:tabs>
              <w:spacing w:line="240" w:lineRule="auto"/>
              <w:jc w:val="center"/>
              <w:rPr>
                <w:b/>
                <w:bCs/>
                <w:spacing w:val="-4"/>
                <w:sz w:val="21"/>
                <w:szCs w:val="21"/>
              </w:rPr>
            </w:pPr>
            <w:r>
              <w:rPr>
                <w:b/>
                <w:bCs/>
                <w:spacing w:val="-4"/>
                <w:sz w:val="21"/>
                <w:szCs w:val="21"/>
              </w:rPr>
              <w:t>表1-</w:t>
            </w:r>
            <w:r>
              <w:rPr>
                <w:rFonts w:hint="eastAsia"/>
                <w:b/>
                <w:bCs/>
                <w:spacing w:val="-4"/>
                <w:sz w:val="21"/>
                <w:szCs w:val="21"/>
              </w:rPr>
              <w:t>5</w:t>
            </w:r>
            <w:r>
              <w:rPr>
                <w:b/>
                <w:bCs/>
                <w:spacing w:val="-4"/>
                <w:sz w:val="21"/>
                <w:szCs w:val="21"/>
              </w:rPr>
              <w:t xml:space="preserve">  环境准入负面清单对照</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3"/>
              <w:gridCol w:w="5567"/>
              <w:gridCol w:w="1000"/>
            </w:tblGrid>
            <w:tr w14:paraId="7AFA8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56D827B5">
                  <w:pPr>
                    <w:snapToGrid w:val="0"/>
                    <w:spacing w:line="240" w:lineRule="auto"/>
                    <w:jc w:val="center"/>
                    <w:rPr>
                      <w:b/>
                      <w:bCs/>
                      <w:sz w:val="21"/>
                      <w:szCs w:val="18"/>
                    </w:rPr>
                  </w:pPr>
                  <w:r>
                    <w:rPr>
                      <w:b/>
                      <w:bCs/>
                      <w:sz w:val="21"/>
                      <w:szCs w:val="18"/>
                    </w:rPr>
                    <w:t>序号</w:t>
                  </w:r>
                </w:p>
              </w:tc>
              <w:tc>
                <w:tcPr>
                  <w:tcW w:w="3909" w:type="pct"/>
                  <w:vAlign w:val="center"/>
                </w:tcPr>
                <w:p w14:paraId="7D0FD1E3">
                  <w:pPr>
                    <w:snapToGrid w:val="0"/>
                    <w:spacing w:line="240" w:lineRule="auto"/>
                    <w:jc w:val="center"/>
                    <w:rPr>
                      <w:b/>
                      <w:bCs/>
                      <w:sz w:val="21"/>
                      <w:szCs w:val="18"/>
                    </w:rPr>
                  </w:pPr>
                  <w:r>
                    <w:rPr>
                      <w:b/>
                      <w:bCs/>
                      <w:sz w:val="21"/>
                      <w:szCs w:val="18"/>
                    </w:rPr>
                    <w:t>法律、法规、政策文件等</w:t>
                  </w:r>
                </w:p>
              </w:tc>
              <w:tc>
                <w:tcPr>
                  <w:tcW w:w="702" w:type="pct"/>
                  <w:vAlign w:val="center"/>
                </w:tcPr>
                <w:p w14:paraId="63DB62D1">
                  <w:pPr>
                    <w:snapToGrid w:val="0"/>
                    <w:spacing w:line="240" w:lineRule="auto"/>
                    <w:jc w:val="center"/>
                    <w:rPr>
                      <w:b/>
                      <w:bCs/>
                      <w:sz w:val="21"/>
                      <w:szCs w:val="18"/>
                    </w:rPr>
                  </w:pPr>
                  <w:r>
                    <w:rPr>
                      <w:b/>
                      <w:bCs/>
                      <w:sz w:val="21"/>
                      <w:szCs w:val="18"/>
                    </w:rPr>
                    <w:t>是否属于</w:t>
                  </w:r>
                </w:p>
              </w:tc>
            </w:tr>
            <w:tr w14:paraId="3A40B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21880EC6">
                  <w:pPr>
                    <w:snapToGrid w:val="0"/>
                    <w:spacing w:line="240" w:lineRule="auto"/>
                    <w:jc w:val="center"/>
                    <w:rPr>
                      <w:bCs/>
                      <w:sz w:val="21"/>
                      <w:szCs w:val="18"/>
                    </w:rPr>
                  </w:pPr>
                  <w:r>
                    <w:rPr>
                      <w:bCs/>
                      <w:sz w:val="21"/>
                      <w:szCs w:val="18"/>
                    </w:rPr>
                    <w:t>1</w:t>
                  </w:r>
                </w:p>
              </w:tc>
              <w:tc>
                <w:tcPr>
                  <w:tcW w:w="3909" w:type="pct"/>
                  <w:vAlign w:val="center"/>
                </w:tcPr>
                <w:p w14:paraId="1CA12FB5">
                  <w:pPr>
                    <w:snapToGrid w:val="0"/>
                    <w:spacing w:line="240" w:lineRule="auto"/>
                    <w:jc w:val="center"/>
                    <w:rPr>
                      <w:bCs/>
                      <w:sz w:val="21"/>
                      <w:szCs w:val="18"/>
                    </w:rPr>
                  </w:pPr>
                  <w:r>
                    <w:rPr>
                      <w:bCs/>
                      <w:sz w:val="21"/>
                      <w:szCs w:val="18"/>
                    </w:rPr>
                    <w:t>属于《江苏省生态空间管控区域规划》（苏政发</w:t>
                  </w:r>
                  <w:r>
                    <w:rPr>
                      <w:rFonts w:hint="eastAsia"/>
                      <w:bCs/>
                      <w:sz w:val="21"/>
                      <w:szCs w:val="18"/>
                      <w:lang w:eastAsia="zh-CN"/>
                    </w:rPr>
                    <w:t>〔2020〕1号</w:t>
                  </w:r>
                  <w:r>
                    <w:rPr>
                      <w:bCs/>
                      <w:sz w:val="21"/>
                      <w:szCs w:val="18"/>
                    </w:rPr>
                    <w:t>）及《江苏省国家级生态保护红线规划》（苏政发</w:t>
                  </w:r>
                  <w:r>
                    <w:rPr>
                      <w:rFonts w:hint="eastAsia"/>
                      <w:bCs/>
                      <w:sz w:val="21"/>
                      <w:szCs w:val="18"/>
                      <w:lang w:eastAsia="zh-CN"/>
                    </w:rPr>
                    <w:t>〔2018〕74号</w:t>
                  </w:r>
                  <w:r>
                    <w:rPr>
                      <w:bCs/>
                      <w:sz w:val="21"/>
                      <w:szCs w:val="18"/>
                    </w:rPr>
                    <w:t>）中规定的位于江苏省常州市生态红线管控区与保护主要生态功能无关的开发建设项目、位于江苏省常州市生态红线管控区内禁止从事的开发建设项目</w:t>
                  </w:r>
                </w:p>
              </w:tc>
              <w:tc>
                <w:tcPr>
                  <w:tcW w:w="702" w:type="pct"/>
                  <w:vAlign w:val="center"/>
                </w:tcPr>
                <w:p w14:paraId="67A2404D">
                  <w:pPr>
                    <w:snapToGrid w:val="0"/>
                    <w:spacing w:line="240" w:lineRule="auto"/>
                    <w:jc w:val="center"/>
                    <w:rPr>
                      <w:bCs/>
                      <w:sz w:val="21"/>
                      <w:szCs w:val="18"/>
                    </w:rPr>
                  </w:pPr>
                  <w:r>
                    <w:rPr>
                      <w:bCs/>
                      <w:sz w:val="21"/>
                      <w:szCs w:val="18"/>
                    </w:rPr>
                    <w:t>不属于</w:t>
                  </w:r>
                </w:p>
              </w:tc>
            </w:tr>
            <w:tr w14:paraId="6027B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481F47B3">
                  <w:pPr>
                    <w:snapToGrid w:val="0"/>
                    <w:spacing w:line="240" w:lineRule="auto"/>
                    <w:jc w:val="center"/>
                    <w:rPr>
                      <w:bCs/>
                      <w:sz w:val="21"/>
                      <w:szCs w:val="18"/>
                    </w:rPr>
                  </w:pPr>
                  <w:r>
                    <w:rPr>
                      <w:bCs/>
                      <w:sz w:val="21"/>
                      <w:szCs w:val="18"/>
                    </w:rPr>
                    <w:t>2</w:t>
                  </w:r>
                </w:p>
              </w:tc>
              <w:tc>
                <w:tcPr>
                  <w:tcW w:w="3909" w:type="pct"/>
                  <w:vAlign w:val="center"/>
                </w:tcPr>
                <w:p w14:paraId="1E733CC3">
                  <w:pPr>
                    <w:snapToGrid w:val="0"/>
                    <w:spacing w:line="240" w:lineRule="auto"/>
                    <w:jc w:val="center"/>
                    <w:rPr>
                      <w:bCs/>
                      <w:sz w:val="21"/>
                      <w:szCs w:val="18"/>
                    </w:rPr>
                  </w:pPr>
                  <w:r>
                    <w:rPr>
                      <w:bCs/>
                      <w:sz w:val="21"/>
                      <w:szCs w:val="18"/>
                    </w:rPr>
                    <w:t>属于《江苏省人民代表大会常务委员会关于加强饮用水源地保护的决定》中规定的位于饮用水源准保护区、二级保护区、一级保护区内禁止从事的开发建设项目</w:t>
                  </w:r>
                </w:p>
              </w:tc>
              <w:tc>
                <w:tcPr>
                  <w:tcW w:w="702" w:type="pct"/>
                  <w:vAlign w:val="center"/>
                </w:tcPr>
                <w:p w14:paraId="779D893B">
                  <w:pPr>
                    <w:snapToGrid w:val="0"/>
                    <w:spacing w:line="240" w:lineRule="auto"/>
                    <w:jc w:val="center"/>
                    <w:rPr>
                      <w:bCs/>
                      <w:sz w:val="21"/>
                      <w:szCs w:val="18"/>
                    </w:rPr>
                  </w:pPr>
                  <w:r>
                    <w:rPr>
                      <w:bCs/>
                      <w:sz w:val="21"/>
                      <w:szCs w:val="18"/>
                    </w:rPr>
                    <w:t>不属于</w:t>
                  </w:r>
                </w:p>
              </w:tc>
            </w:tr>
            <w:tr w14:paraId="7AB79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2B409A58">
                  <w:pPr>
                    <w:snapToGrid w:val="0"/>
                    <w:spacing w:line="240" w:lineRule="auto"/>
                    <w:jc w:val="center"/>
                    <w:rPr>
                      <w:bCs/>
                      <w:sz w:val="21"/>
                      <w:szCs w:val="18"/>
                    </w:rPr>
                  </w:pPr>
                  <w:r>
                    <w:rPr>
                      <w:bCs/>
                      <w:sz w:val="21"/>
                      <w:szCs w:val="18"/>
                    </w:rPr>
                    <w:t>3</w:t>
                  </w:r>
                </w:p>
              </w:tc>
              <w:tc>
                <w:tcPr>
                  <w:tcW w:w="3909" w:type="pct"/>
                  <w:vAlign w:val="center"/>
                </w:tcPr>
                <w:p w14:paraId="5C860CEF">
                  <w:pPr>
                    <w:snapToGrid w:val="0"/>
                    <w:spacing w:line="240" w:lineRule="auto"/>
                    <w:jc w:val="center"/>
                    <w:rPr>
                      <w:bCs/>
                      <w:sz w:val="21"/>
                      <w:szCs w:val="18"/>
                    </w:rPr>
                  </w:pPr>
                  <w:r>
                    <w:rPr>
                      <w:bCs/>
                      <w:sz w:val="21"/>
                      <w:szCs w:val="18"/>
                    </w:rPr>
                    <w:t>不符合城市总体规划、土地利用规划、环境保护规划的建设项目</w:t>
                  </w:r>
                </w:p>
              </w:tc>
              <w:tc>
                <w:tcPr>
                  <w:tcW w:w="702" w:type="pct"/>
                  <w:vAlign w:val="center"/>
                </w:tcPr>
                <w:p w14:paraId="3B0A206F">
                  <w:pPr>
                    <w:snapToGrid w:val="0"/>
                    <w:spacing w:line="240" w:lineRule="auto"/>
                    <w:jc w:val="center"/>
                    <w:rPr>
                      <w:bCs/>
                      <w:sz w:val="21"/>
                      <w:szCs w:val="18"/>
                    </w:rPr>
                  </w:pPr>
                  <w:r>
                    <w:rPr>
                      <w:bCs/>
                      <w:sz w:val="21"/>
                      <w:szCs w:val="18"/>
                    </w:rPr>
                    <w:t>不属于</w:t>
                  </w:r>
                </w:p>
              </w:tc>
            </w:tr>
            <w:tr w14:paraId="27CEC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67446EF7">
                  <w:pPr>
                    <w:snapToGrid w:val="0"/>
                    <w:spacing w:line="240" w:lineRule="auto"/>
                    <w:jc w:val="center"/>
                    <w:rPr>
                      <w:bCs/>
                      <w:sz w:val="21"/>
                      <w:szCs w:val="18"/>
                    </w:rPr>
                  </w:pPr>
                  <w:r>
                    <w:rPr>
                      <w:bCs/>
                      <w:sz w:val="21"/>
                      <w:szCs w:val="18"/>
                    </w:rPr>
                    <w:t>4</w:t>
                  </w:r>
                </w:p>
              </w:tc>
              <w:tc>
                <w:tcPr>
                  <w:tcW w:w="3909" w:type="pct"/>
                  <w:vAlign w:val="center"/>
                </w:tcPr>
                <w:p w14:paraId="7A946E8E">
                  <w:pPr>
                    <w:snapToGrid w:val="0"/>
                    <w:spacing w:line="240" w:lineRule="auto"/>
                    <w:jc w:val="center"/>
                    <w:rPr>
                      <w:bCs/>
                      <w:sz w:val="21"/>
                      <w:szCs w:val="18"/>
                    </w:rPr>
                  </w:pPr>
                  <w:r>
                    <w:rPr>
                      <w:kern w:val="0"/>
                      <w:sz w:val="21"/>
                      <w:szCs w:val="18"/>
                    </w:rPr>
                    <w:t>环境污染严重、污染物排放总量指标未落实的项目</w:t>
                  </w:r>
                </w:p>
              </w:tc>
              <w:tc>
                <w:tcPr>
                  <w:tcW w:w="702" w:type="pct"/>
                  <w:vAlign w:val="center"/>
                </w:tcPr>
                <w:p w14:paraId="0F14A4EE">
                  <w:pPr>
                    <w:snapToGrid w:val="0"/>
                    <w:spacing w:line="240" w:lineRule="auto"/>
                    <w:jc w:val="center"/>
                    <w:rPr>
                      <w:bCs/>
                      <w:sz w:val="21"/>
                      <w:szCs w:val="18"/>
                    </w:rPr>
                  </w:pPr>
                  <w:r>
                    <w:rPr>
                      <w:bCs/>
                      <w:sz w:val="21"/>
                      <w:szCs w:val="18"/>
                    </w:rPr>
                    <w:t>不属于</w:t>
                  </w:r>
                </w:p>
              </w:tc>
            </w:tr>
            <w:tr w14:paraId="54C61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34D5653E">
                  <w:pPr>
                    <w:snapToGrid w:val="0"/>
                    <w:spacing w:line="240" w:lineRule="auto"/>
                    <w:jc w:val="center"/>
                    <w:rPr>
                      <w:bCs/>
                      <w:sz w:val="21"/>
                      <w:szCs w:val="18"/>
                    </w:rPr>
                  </w:pPr>
                  <w:r>
                    <w:rPr>
                      <w:bCs/>
                      <w:sz w:val="21"/>
                      <w:szCs w:val="18"/>
                    </w:rPr>
                    <w:t>5</w:t>
                  </w:r>
                </w:p>
              </w:tc>
              <w:tc>
                <w:tcPr>
                  <w:tcW w:w="3909" w:type="pct"/>
                  <w:vAlign w:val="center"/>
                </w:tcPr>
                <w:p w14:paraId="66F5550D">
                  <w:pPr>
                    <w:snapToGrid w:val="0"/>
                    <w:spacing w:line="240" w:lineRule="auto"/>
                    <w:jc w:val="center"/>
                    <w:rPr>
                      <w:bCs/>
                      <w:sz w:val="21"/>
                      <w:szCs w:val="18"/>
                    </w:rPr>
                  </w:pPr>
                  <w:r>
                    <w:rPr>
                      <w:kern w:val="0"/>
                      <w:sz w:val="21"/>
                      <w:szCs w:val="18"/>
                    </w:rPr>
                    <w:t>国家、江苏省明确规定不得审批的建设项目</w:t>
                  </w:r>
                </w:p>
              </w:tc>
              <w:tc>
                <w:tcPr>
                  <w:tcW w:w="702" w:type="pct"/>
                  <w:vAlign w:val="center"/>
                </w:tcPr>
                <w:p w14:paraId="7DF8B513">
                  <w:pPr>
                    <w:snapToGrid w:val="0"/>
                    <w:spacing w:line="240" w:lineRule="auto"/>
                    <w:jc w:val="center"/>
                    <w:rPr>
                      <w:bCs/>
                      <w:sz w:val="21"/>
                      <w:szCs w:val="18"/>
                    </w:rPr>
                  </w:pPr>
                  <w:r>
                    <w:rPr>
                      <w:bCs/>
                      <w:sz w:val="21"/>
                      <w:szCs w:val="18"/>
                    </w:rPr>
                    <w:t>不属于</w:t>
                  </w:r>
                </w:p>
              </w:tc>
            </w:tr>
            <w:tr w14:paraId="10556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vAlign w:val="center"/>
                </w:tcPr>
                <w:p w14:paraId="71586EB6">
                  <w:pPr>
                    <w:snapToGrid w:val="0"/>
                    <w:spacing w:line="240" w:lineRule="auto"/>
                    <w:jc w:val="center"/>
                    <w:rPr>
                      <w:bCs/>
                      <w:sz w:val="21"/>
                      <w:szCs w:val="18"/>
                    </w:rPr>
                  </w:pPr>
                  <w:r>
                    <w:rPr>
                      <w:bCs/>
                      <w:sz w:val="21"/>
                      <w:szCs w:val="18"/>
                    </w:rPr>
                    <w:t>6</w:t>
                  </w:r>
                </w:p>
              </w:tc>
              <w:tc>
                <w:tcPr>
                  <w:tcW w:w="3909" w:type="pct"/>
                  <w:vAlign w:val="center"/>
                </w:tcPr>
                <w:p w14:paraId="78649726">
                  <w:pPr>
                    <w:snapToGrid w:val="0"/>
                    <w:spacing w:line="240" w:lineRule="auto"/>
                    <w:jc w:val="center"/>
                    <w:rPr>
                      <w:kern w:val="0"/>
                      <w:sz w:val="21"/>
                      <w:szCs w:val="18"/>
                    </w:rPr>
                  </w:pPr>
                  <w:r>
                    <w:rPr>
                      <w:kern w:val="0"/>
                      <w:sz w:val="21"/>
                      <w:szCs w:val="18"/>
                    </w:rPr>
                    <w:t>《市场准入负面清单（202</w:t>
                  </w:r>
                  <w:r>
                    <w:rPr>
                      <w:rFonts w:hint="eastAsia"/>
                      <w:kern w:val="0"/>
                      <w:sz w:val="21"/>
                      <w:szCs w:val="18"/>
                      <w:lang w:val="en-US" w:eastAsia="zh-CN"/>
                    </w:rPr>
                    <w:t>5</w:t>
                  </w:r>
                  <w:r>
                    <w:rPr>
                      <w:kern w:val="0"/>
                      <w:sz w:val="21"/>
                      <w:szCs w:val="18"/>
                    </w:rPr>
                    <w:t>年版）》中禁止准入类</w:t>
                  </w:r>
                </w:p>
              </w:tc>
              <w:tc>
                <w:tcPr>
                  <w:tcW w:w="702" w:type="pct"/>
                  <w:vAlign w:val="center"/>
                </w:tcPr>
                <w:p w14:paraId="75E40E8A">
                  <w:pPr>
                    <w:snapToGrid w:val="0"/>
                    <w:spacing w:line="240" w:lineRule="auto"/>
                    <w:jc w:val="center"/>
                    <w:rPr>
                      <w:bCs/>
                      <w:sz w:val="21"/>
                      <w:szCs w:val="18"/>
                    </w:rPr>
                  </w:pPr>
                  <w:r>
                    <w:rPr>
                      <w:bCs/>
                      <w:sz w:val="21"/>
                      <w:szCs w:val="18"/>
                    </w:rPr>
                    <w:t>不属于</w:t>
                  </w:r>
                </w:p>
              </w:tc>
            </w:tr>
          </w:tbl>
          <w:p w14:paraId="2F3AAB9C">
            <w:pPr>
              <w:autoSpaceDE w:val="0"/>
              <w:autoSpaceDN w:val="0"/>
              <w:adjustRightInd w:val="0"/>
              <w:ind w:firstLine="482" w:firstLineChars="200"/>
              <w:rPr>
                <w:rFonts w:ascii="仿宋" w:hAnsi="仿宋" w:cs="仿宋"/>
                <w:b/>
                <w:bCs/>
              </w:rPr>
            </w:pPr>
            <w:r>
              <w:rPr>
                <w:rFonts w:hint="eastAsia" w:ascii="仿宋" w:hAnsi="仿宋" w:cs="仿宋"/>
                <w:b/>
                <w:bCs/>
                <w:lang w:val="en-US" w:eastAsia="zh-CN"/>
              </w:rPr>
              <w:t>3、</w:t>
            </w:r>
            <w:r>
              <w:rPr>
                <w:b/>
                <w:bCs/>
              </w:rPr>
              <w:t>与《江苏省国土空间规划（2021-2035年）》</w:t>
            </w:r>
            <w:r>
              <w:rPr>
                <w:rFonts w:hint="eastAsia"/>
                <w:b/>
                <w:bCs/>
                <w:lang w:eastAsia="zh-CN"/>
              </w:rPr>
              <w:t>“</w:t>
            </w:r>
            <w:r>
              <w:rPr>
                <w:b/>
                <w:bCs/>
              </w:rPr>
              <w:t>三区三线</w:t>
            </w:r>
            <w:r>
              <w:rPr>
                <w:rFonts w:hint="eastAsia"/>
                <w:b/>
                <w:bCs/>
                <w:lang w:eastAsia="zh-CN"/>
              </w:rPr>
              <w:t>”</w:t>
            </w:r>
            <w:r>
              <w:rPr>
                <w:b/>
                <w:bCs/>
              </w:rPr>
              <w:t>的相符性分析</w:t>
            </w:r>
          </w:p>
          <w:p w14:paraId="1E9FACA5">
            <w:pPr>
              <w:tabs>
                <w:tab w:val="left" w:pos="960"/>
              </w:tabs>
              <w:spacing w:line="240" w:lineRule="auto"/>
              <w:jc w:val="center"/>
              <w:rPr>
                <w:b/>
                <w:bCs/>
                <w:spacing w:val="-4"/>
                <w:sz w:val="21"/>
                <w:szCs w:val="21"/>
              </w:rPr>
            </w:pPr>
            <w:r>
              <w:rPr>
                <w:b/>
                <w:bCs/>
                <w:spacing w:val="-4"/>
                <w:sz w:val="21"/>
                <w:szCs w:val="21"/>
              </w:rPr>
              <w:t>表1-</w:t>
            </w:r>
            <w:r>
              <w:rPr>
                <w:rFonts w:hint="eastAsia"/>
                <w:b/>
                <w:bCs/>
                <w:spacing w:val="-4"/>
                <w:sz w:val="21"/>
                <w:szCs w:val="21"/>
              </w:rPr>
              <w:t>6</w:t>
            </w:r>
            <w:r>
              <w:rPr>
                <w:b/>
                <w:bCs/>
                <w:spacing w:val="-4"/>
                <w:sz w:val="21"/>
                <w:szCs w:val="21"/>
              </w:rPr>
              <w:t xml:space="preserve">  </w:t>
            </w:r>
            <w:r>
              <w:rPr>
                <w:rFonts w:hint="eastAsia"/>
                <w:b/>
                <w:bCs/>
                <w:spacing w:val="-4"/>
                <w:sz w:val="21"/>
                <w:szCs w:val="21"/>
                <w:lang w:eastAsia="zh-CN"/>
              </w:rPr>
              <w:t>“</w:t>
            </w:r>
            <w:r>
              <w:rPr>
                <w:rFonts w:hint="eastAsia"/>
                <w:b/>
                <w:bCs/>
                <w:spacing w:val="-4"/>
                <w:sz w:val="21"/>
                <w:szCs w:val="21"/>
              </w:rPr>
              <w:t>三区三线</w:t>
            </w:r>
            <w:r>
              <w:rPr>
                <w:rFonts w:hint="eastAsia"/>
                <w:b/>
                <w:bCs/>
                <w:spacing w:val="-4"/>
                <w:sz w:val="21"/>
                <w:szCs w:val="21"/>
                <w:lang w:eastAsia="zh-CN"/>
              </w:rPr>
              <w:t>”</w:t>
            </w:r>
            <w:r>
              <w:rPr>
                <w:rFonts w:hint="eastAsia"/>
                <w:b/>
                <w:bCs/>
                <w:spacing w:val="-4"/>
                <w:sz w:val="21"/>
                <w:szCs w:val="21"/>
              </w:rPr>
              <w:t>相符性分析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4"/>
              <w:gridCol w:w="4596"/>
              <w:gridCol w:w="1428"/>
            </w:tblGrid>
            <w:tr w14:paraId="4C1A1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667A3A32">
                  <w:pPr>
                    <w:snapToGrid w:val="0"/>
                    <w:spacing w:line="240" w:lineRule="auto"/>
                    <w:jc w:val="center"/>
                    <w:rPr>
                      <w:b/>
                      <w:bCs/>
                      <w:sz w:val="21"/>
                      <w:szCs w:val="18"/>
                    </w:rPr>
                  </w:pPr>
                  <w:r>
                    <w:rPr>
                      <w:rFonts w:hint="eastAsia"/>
                      <w:b/>
                      <w:bCs/>
                      <w:sz w:val="21"/>
                      <w:szCs w:val="18"/>
                    </w:rPr>
                    <w:t>类别</w:t>
                  </w:r>
                </w:p>
              </w:tc>
              <w:tc>
                <w:tcPr>
                  <w:tcW w:w="3227" w:type="pct"/>
                  <w:vAlign w:val="center"/>
                </w:tcPr>
                <w:p w14:paraId="42B50FB4">
                  <w:pPr>
                    <w:snapToGrid w:val="0"/>
                    <w:spacing w:line="240" w:lineRule="auto"/>
                    <w:jc w:val="center"/>
                    <w:rPr>
                      <w:b/>
                      <w:bCs/>
                      <w:sz w:val="21"/>
                      <w:szCs w:val="18"/>
                    </w:rPr>
                  </w:pPr>
                  <w:r>
                    <w:rPr>
                      <w:b/>
                      <w:bCs/>
                      <w:sz w:val="21"/>
                      <w:szCs w:val="18"/>
                    </w:rPr>
                    <w:t>《江苏省国土空间规划（2021-2035年）》</w:t>
                  </w:r>
                </w:p>
              </w:tc>
              <w:tc>
                <w:tcPr>
                  <w:tcW w:w="1003" w:type="pct"/>
                  <w:vAlign w:val="center"/>
                </w:tcPr>
                <w:p w14:paraId="09944BE6">
                  <w:pPr>
                    <w:snapToGrid w:val="0"/>
                    <w:spacing w:line="240" w:lineRule="auto"/>
                    <w:jc w:val="center"/>
                    <w:rPr>
                      <w:b/>
                      <w:bCs/>
                      <w:sz w:val="21"/>
                      <w:szCs w:val="18"/>
                    </w:rPr>
                  </w:pPr>
                  <w:r>
                    <w:rPr>
                      <w:rFonts w:hint="eastAsia"/>
                      <w:b/>
                      <w:bCs/>
                      <w:sz w:val="21"/>
                      <w:szCs w:val="18"/>
                    </w:rPr>
                    <w:t>相符性分析</w:t>
                  </w:r>
                </w:p>
              </w:tc>
            </w:tr>
            <w:tr w14:paraId="0EC27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59B93EA1">
                  <w:pPr>
                    <w:snapToGrid w:val="0"/>
                    <w:spacing w:line="240" w:lineRule="auto"/>
                    <w:jc w:val="center"/>
                    <w:rPr>
                      <w:bCs/>
                      <w:sz w:val="21"/>
                      <w:szCs w:val="18"/>
                    </w:rPr>
                  </w:pPr>
                  <w:r>
                    <w:rPr>
                      <w:rFonts w:hint="eastAsia"/>
                      <w:bCs/>
                      <w:sz w:val="21"/>
                      <w:szCs w:val="18"/>
                    </w:rPr>
                    <w:t>农业空间</w:t>
                  </w:r>
                </w:p>
              </w:tc>
              <w:tc>
                <w:tcPr>
                  <w:tcW w:w="3227" w:type="pct"/>
                  <w:vAlign w:val="center"/>
                </w:tcPr>
                <w:p w14:paraId="4DEBB185">
                  <w:pPr>
                    <w:snapToGrid w:val="0"/>
                    <w:spacing w:line="240" w:lineRule="auto"/>
                    <w:jc w:val="left"/>
                    <w:rPr>
                      <w:bCs/>
                      <w:sz w:val="21"/>
                      <w:szCs w:val="18"/>
                    </w:rPr>
                  </w:pPr>
                  <w:r>
                    <w:rPr>
                      <w:rFonts w:hint="eastAsia"/>
                      <w:bCs/>
                      <w:sz w:val="21"/>
                      <w:szCs w:val="18"/>
                    </w:rPr>
                    <w:t>优先划定耕地与永久基本农田，保障粮食安全。采取</w:t>
                  </w:r>
                  <w:r>
                    <w:rPr>
                      <w:rFonts w:hint="eastAsia"/>
                      <w:bCs/>
                      <w:sz w:val="21"/>
                      <w:szCs w:val="18"/>
                      <w:lang w:eastAsia="zh-CN"/>
                    </w:rPr>
                    <w:t>“</w:t>
                  </w:r>
                  <w:r>
                    <w:rPr>
                      <w:rFonts w:hint="eastAsia"/>
                      <w:bCs/>
                      <w:sz w:val="21"/>
                      <w:szCs w:val="18"/>
                    </w:rPr>
                    <w:t>长牙齿</w:t>
                  </w:r>
                  <w:r>
                    <w:rPr>
                      <w:rFonts w:hint="eastAsia"/>
                      <w:bCs/>
                      <w:sz w:val="21"/>
                      <w:szCs w:val="18"/>
                      <w:lang w:eastAsia="zh-CN"/>
                    </w:rPr>
                    <w:t>”</w:t>
                  </w:r>
                  <w:r>
                    <w:rPr>
                      <w:rFonts w:hint="eastAsia"/>
                      <w:bCs/>
                      <w:sz w:val="21"/>
                      <w:szCs w:val="18"/>
                    </w:rPr>
                    <w:t>的硬措施落实最严格的耕地保护制度。深入实施</w:t>
                  </w:r>
                  <w:r>
                    <w:rPr>
                      <w:rFonts w:hint="eastAsia"/>
                      <w:bCs/>
                      <w:sz w:val="21"/>
                      <w:szCs w:val="18"/>
                      <w:lang w:eastAsia="zh-CN"/>
                    </w:rPr>
                    <w:t>“</w:t>
                  </w:r>
                  <w:r>
                    <w:rPr>
                      <w:rFonts w:hint="eastAsia"/>
                      <w:bCs/>
                      <w:sz w:val="21"/>
                      <w:szCs w:val="18"/>
                    </w:rPr>
                    <w:t>藏粮于地、藏粮于技</w:t>
                  </w:r>
                  <w:r>
                    <w:rPr>
                      <w:rFonts w:hint="eastAsia"/>
                      <w:bCs/>
                      <w:sz w:val="21"/>
                      <w:szCs w:val="18"/>
                      <w:lang w:eastAsia="zh-CN"/>
                    </w:rPr>
                    <w:t>”</w:t>
                  </w:r>
                  <w:r>
                    <w:rPr>
                      <w:rFonts w:hint="eastAsia"/>
                      <w:bCs/>
                      <w:sz w:val="21"/>
                      <w:szCs w:val="18"/>
                    </w:rPr>
                    <w:t>战略，确保现状耕地应划尽划、应保尽保，不断优化耕地布局，坚决遏制耕地</w:t>
                  </w:r>
                  <w:r>
                    <w:rPr>
                      <w:rFonts w:hint="eastAsia"/>
                      <w:bCs/>
                      <w:sz w:val="21"/>
                      <w:szCs w:val="18"/>
                      <w:lang w:eastAsia="zh-CN"/>
                    </w:rPr>
                    <w:t>“</w:t>
                  </w:r>
                  <w:r>
                    <w:rPr>
                      <w:rFonts w:hint="eastAsia"/>
                      <w:bCs/>
                      <w:sz w:val="21"/>
                      <w:szCs w:val="18"/>
                    </w:rPr>
                    <w:t>非农化</w:t>
                  </w:r>
                  <w:r>
                    <w:rPr>
                      <w:rFonts w:hint="eastAsia"/>
                      <w:bCs/>
                      <w:sz w:val="21"/>
                      <w:szCs w:val="18"/>
                      <w:lang w:eastAsia="zh-CN"/>
                    </w:rPr>
                    <w:t>”</w:t>
                  </w:r>
                  <w:r>
                    <w:rPr>
                      <w:rFonts w:hint="eastAsia"/>
                      <w:bCs/>
                      <w:sz w:val="21"/>
                      <w:szCs w:val="18"/>
                    </w:rPr>
                    <w:t>、严格管控</w:t>
                  </w:r>
                  <w:r>
                    <w:rPr>
                      <w:rFonts w:hint="eastAsia"/>
                      <w:bCs/>
                      <w:sz w:val="21"/>
                      <w:szCs w:val="18"/>
                      <w:lang w:eastAsia="zh-CN"/>
                    </w:rPr>
                    <w:t>“</w:t>
                  </w:r>
                  <w:r>
                    <w:rPr>
                      <w:rFonts w:hint="eastAsia"/>
                      <w:bCs/>
                      <w:sz w:val="21"/>
                      <w:szCs w:val="18"/>
                    </w:rPr>
                    <w:t>非粮化</w:t>
                  </w:r>
                  <w:r>
                    <w:rPr>
                      <w:rFonts w:hint="eastAsia"/>
                      <w:bCs/>
                      <w:sz w:val="21"/>
                      <w:szCs w:val="18"/>
                      <w:lang w:eastAsia="zh-CN"/>
                    </w:rPr>
                    <w:t>”</w:t>
                  </w:r>
                  <w:r>
                    <w:rPr>
                      <w:rFonts w:hint="eastAsia"/>
                      <w:bCs/>
                      <w:sz w:val="21"/>
                      <w:szCs w:val="18"/>
                    </w:rPr>
                    <w:t>。</w:t>
                  </w:r>
                </w:p>
              </w:tc>
              <w:tc>
                <w:tcPr>
                  <w:tcW w:w="1003" w:type="pct"/>
                  <w:vAlign w:val="center"/>
                </w:tcPr>
                <w:p w14:paraId="761EC97E">
                  <w:pPr>
                    <w:snapToGrid w:val="0"/>
                    <w:spacing w:line="240" w:lineRule="auto"/>
                    <w:jc w:val="center"/>
                    <w:rPr>
                      <w:rFonts w:hint="eastAsia" w:eastAsia="仿宋"/>
                      <w:bCs/>
                      <w:sz w:val="21"/>
                      <w:szCs w:val="18"/>
                      <w:lang w:eastAsia="zh-CN"/>
                    </w:rPr>
                  </w:pPr>
                  <w:r>
                    <w:rPr>
                      <w:rFonts w:hint="eastAsia"/>
                      <w:bCs/>
                      <w:sz w:val="21"/>
                      <w:szCs w:val="18"/>
                    </w:rPr>
                    <w:t>本项目不涉及永久基本农田。相符</w:t>
                  </w:r>
                  <w:r>
                    <w:rPr>
                      <w:rFonts w:hint="eastAsia"/>
                      <w:bCs/>
                      <w:sz w:val="21"/>
                      <w:szCs w:val="18"/>
                      <w:lang w:eastAsia="zh-CN"/>
                    </w:rPr>
                    <w:t>。</w:t>
                  </w:r>
                </w:p>
              </w:tc>
            </w:tr>
            <w:tr w14:paraId="7B635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7A208DAC">
                  <w:pPr>
                    <w:snapToGrid w:val="0"/>
                    <w:spacing w:line="240" w:lineRule="auto"/>
                    <w:jc w:val="center"/>
                    <w:rPr>
                      <w:bCs/>
                      <w:sz w:val="21"/>
                      <w:szCs w:val="18"/>
                    </w:rPr>
                  </w:pPr>
                  <w:r>
                    <w:rPr>
                      <w:rFonts w:hint="eastAsia"/>
                      <w:bCs/>
                      <w:sz w:val="21"/>
                      <w:szCs w:val="18"/>
                    </w:rPr>
                    <w:t>生态空间</w:t>
                  </w:r>
                </w:p>
              </w:tc>
              <w:tc>
                <w:tcPr>
                  <w:tcW w:w="3227" w:type="pct"/>
                  <w:vAlign w:val="center"/>
                </w:tcPr>
                <w:p w14:paraId="5C74884E">
                  <w:pPr>
                    <w:snapToGrid w:val="0"/>
                    <w:spacing w:line="240" w:lineRule="auto"/>
                    <w:jc w:val="left"/>
                    <w:rPr>
                      <w:bCs/>
                      <w:sz w:val="21"/>
                      <w:szCs w:val="18"/>
                    </w:rPr>
                  </w:pPr>
                  <w:r>
                    <w:rPr>
                      <w:rFonts w:hint="eastAsia"/>
                      <w:bCs/>
                      <w:sz w:val="21"/>
                      <w:szCs w:val="18"/>
                    </w:rPr>
                    <w:t>科学划定生态保护红线，筑牢生态安全屏障。优先将具有重要水源涵养、生物多样性维护、水土保持、海岸防护等功能的生态功能极重要区域，水土流失、海岸侵蚀等生态极敏感脆弱区域，以及其他经评估具有潜在重要生态价值的区域划入生态保护红线。</w:t>
                  </w:r>
                </w:p>
              </w:tc>
              <w:tc>
                <w:tcPr>
                  <w:tcW w:w="1003" w:type="pct"/>
                  <w:vAlign w:val="center"/>
                </w:tcPr>
                <w:p w14:paraId="3110FC3D">
                  <w:pPr>
                    <w:snapToGrid w:val="0"/>
                    <w:spacing w:line="240" w:lineRule="auto"/>
                    <w:jc w:val="center"/>
                    <w:rPr>
                      <w:bCs/>
                      <w:sz w:val="21"/>
                      <w:szCs w:val="18"/>
                    </w:rPr>
                  </w:pPr>
                  <w:r>
                    <w:rPr>
                      <w:rFonts w:hint="eastAsia"/>
                      <w:bCs/>
                      <w:sz w:val="21"/>
                      <w:szCs w:val="18"/>
                    </w:rPr>
                    <w:t>本项目不涉及生态功能区。相符。</w:t>
                  </w:r>
                </w:p>
              </w:tc>
            </w:tr>
            <w:tr w14:paraId="7955B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24C98E7C">
                  <w:pPr>
                    <w:snapToGrid w:val="0"/>
                    <w:spacing w:line="240" w:lineRule="auto"/>
                    <w:jc w:val="center"/>
                    <w:rPr>
                      <w:bCs/>
                      <w:sz w:val="21"/>
                      <w:szCs w:val="18"/>
                    </w:rPr>
                  </w:pPr>
                  <w:r>
                    <w:rPr>
                      <w:rFonts w:hint="eastAsia"/>
                      <w:bCs/>
                      <w:sz w:val="21"/>
                      <w:szCs w:val="18"/>
                    </w:rPr>
                    <w:t>城镇空间</w:t>
                  </w:r>
                </w:p>
              </w:tc>
              <w:tc>
                <w:tcPr>
                  <w:tcW w:w="3227" w:type="pct"/>
                  <w:vAlign w:val="center"/>
                </w:tcPr>
                <w:p w14:paraId="146910DB">
                  <w:pPr>
                    <w:snapToGrid w:val="0"/>
                    <w:spacing w:line="240" w:lineRule="auto"/>
                    <w:jc w:val="left"/>
                    <w:rPr>
                      <w:bCs/>
                      <w:sz w:val="21"/>
                      <w:szCs w:val="18"/>
                    </w:rPr>
                  </w:pPr>
                  <w:r>
                    <w:rPr>
                      <w:rFonts w:hint="eastAsia"/>
                      <w:bCs/>
                      <w:sz w:val="21"/>
                      <w:szCs w:val="18"/>
                    </w:rPr>
                    <w:t>合理划定城镇开发边界，控制城镇建设无序蔓延。坚持保护优先，节约集约、紧凑发展，基于自然地理格局和城市发展规律，结合实际划定城镇开发边界，以城镇开发边界引导都市圈地区形成多中心、组团式的城市空间形态，引导中小城市紧凑布局，防止城镇无序蔓延。</w:t>
                  </w:r>
                </w:p>
              </w:tc>
              <w:tc>
                <w:tcPr>
                  <w:tcW w:w="1003" w:type="pct"/>
                  <w:vAlign w:val="center"/>
                </w:tcPr>
                <w:p w14:paraId="57438151">
                  <w:pPr>
                    <w:snapToGrid w:val="0"/>
                    <w:spacing w:line="240" w:lineRule="auto"/>
                    <w:jc w:val="center"/>
                    <w:rPr>
                      <w:rFonts w:hint="eastAsia"/>
                      <w:bCs/>
                      <w:sz w:val="21"/>
                      <w:szCs w:val="18"/>
                    </w:rPr>
                  </w:pPr>
                  <w:r>
                    <w:rPr>
                      <w:rFonts w:hint="eastAsia"/>
                      <w:bCs/>
                      <w:sz w:val="21"/>
                      <w:szCs w:val="18"/>
                    </w:rPr>
                    <w:t>本项目</w:t>
                  </w:r>
                  <w:r>
                    <w:rPr>
                      <w:rFonts w:hint="eastAsia"/>
                      <w:bCs/>
                      <w:sz w:val="21"/>
                      <w:szCs w:val="18"/>
                      <w:lang w:val="en-US" w:eastAsia="zh-CN"/>
                    </w:rPr>
                    <w:t>不在</w:t>
                  </w:r>
                  <w:r>
                    <w:rPr>
                      <w:rFonts w:hint="eastAsia"/>
                      <w:bCs/>
                      <w:sz w:val="21"/>
                      <w:szCs w:val="18"/>
                    </w:rPr>
                    <w:t>生态红线保护区、永久基本农田保护区</w:t>
                  </w:r>
                  <w:r>
                    <w:rPr>
                      <w:rFonts w:hint="eastAsia"/>
                      <w:bCs/>
                      <w:sz w:val="21"/>
                      <w:szCs w:val="18"/>
                      <w:lang w:val="en-US" w:eastAsia="zh-CN"/>
                    </w:rPr>
                    <w:t>及城镇开发边界内</w:t>
                  </w:r>
                  <w:r>
                    <w:rPr>
                      <w:rFonts w:hint="eastAsia"/>
                      <w:bCs/>
                      <w:sz w:val="21"/>
                      <w:szCs w:val="18"/>
                    </w:rPr>
                    <w:t>。相符。</w:t>
                  </w:r>
                </w:p>
              </w:tc>
            </w:tr>
            <w:tr w14:paraId="62730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4F4CCAFE">
                  <w:pPr>
                    <w:snapToGrid w:val="0"/>
                    <w:spacing w:line="240" w:lineRule="auto"/>
                    <w:jc w:val="center"/>
                    <w:rPr>
                      <w:bCs/>
                      <w:sz w:val="21"/>
                      <w:szCs w:val="18"/>
                    </w:rPr>
                  </w:pPr>
                  <w:r>
                    <w:rPr>
                      <w:rFonts w:hint="eastAsia"/>
                      <w:bCs/>
                      <w:sz w:val="21"/>
                      <w:szCs w:val="18"/>
                    </w:rPr>
                    <w:t>耕地和永久基本农田保护红线</w:t>
                  </w:r>
                </w:p>
              </w:tc>
              <w:tc>
                <w:tcPr>
                  <w:tcW w:w="3227" w:type="pct"/>
                  <w:vAlign w:val="center"/>
                </w:tcPr>
                <w:p w14:paraId="0B359CEB">
                  <w:pPr>
                    <w:snapToGrid w:val="0"/>
                    <w:spacing w:line="240" w:lineRule="auto"/>
                    <w:jc w:val="left"/>
                    <w:rPr>
                      <w:bCs/>
                      <w:sz w:val="21"/>
                      <w:szCs w:val="18"/>
                    </w:rPr>
                  </w:pPr>
                  <w:r>
                    <w:rPr>
                      <w:rFonts w:hint="eastAsia"/>
                      <w:bCs/>
                      <w:sz w:val="21"/>
                      <w:szCs w:val="18"/>
                    </w:rPr>
                    <w:t>永久基本农田原则上应在纳入耕地保护目标的可以长期稳定利用耕地上划定。优先将符合要求的高标准农田划为永久基本农田。难以或不宜长期稳定利用的耕地一般不划入永久基本农田，但位于原永久基本农田范围内，且难以退耕的口粮田等特殊情况，经充分调查举证，允许继续保留。</w:t>
                  </w:r>
                </w:p>
              </w:tc>
              <w:tc>
                <w:tcPr>
                  <w:tcW w:w="1003" w:type="pct"/>
                  <w:vAlign w:val="center"/>
                </w:tcPr>
                <w:p w14:paraId="0CB9069D">
                  <w:pPr>
                    <w:snapToGrid w:val="0"/>
                    <w:spacing w:line="240" w:lineRule="auto"/>
                    <w:jc w:val="center"/>
                    <w:rPr>
                      <w:rFonts w:hint="eastAsia"/>
                      <w:bCs/>
                      <w:sz w:val="21"/>
                      <w:szCs w:val="18"/>
                    </w:rPr>
                  </w:pPr>
                  <w:r>
                    <w:rPr>
                      <w:rFonts w:hint="eastAsia"/>
                      <w:bCs/>
                      <w:sz w:val="21"/>
                      <w:szCs w:val="18"/>
                    </w:rPr>
                    <w:t>本项目不涉及耕地和永久基本农田。相符。</w:t>
                  </w:r>
                </w:p>
              </w:tc>
            </w:tr>
            <w:tr w14:paraId="50428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25547C23">
                  <w:pPr>
                    <w:snapToGrid w:val="0"/>
                    <w:spacing w:line="240" w:lineRule="auto"/>
                    <w:jc w:val="center"/>
                    <w:rPr>
                      <w:bCs/>
                      <w:sz w:val="21"/>
                      <w:szCs w:val="18"/>
                    </w:rPr>
                  </w:pPr>
                  <w:r>
                    <w:rPr>
                      <w:rFonts w:hint="eastAsia"/>
                      <w:bCs/>
                      <w:sz w:val="21"/>
                      <w:szCs w:val="18"/>
                    </w:rPr>
                    <w:t>生态保护红线</w:t>
                  </w:r>
                </w:p>
              </w:tc>
              <w:tc>
                <w:tcPr>
                  <w:tcW w:w="3227" w:type="pct"/>
                  <w:vAlign w:val="center"/>
                </w:tcPr>
                <w:p w14:paraId="3D9C977A">
                  <w:pPr>
                    <w:snapToGrid w:val="0"/>
                    <w:spacing w:line="240" w:lineRule="auto"/>
                    <w:jc w:val="left"/>
                    <w:rPr>
                      <w:bCs/>
                      <w:sz w:val="21"/>
                      <w:szCs w:val="18"/>
                    </w:rPr>
                  </w:pPr>
                  <w:r>
                    <w:rPr>
                      <w:rFonts w:hint="eastAsia"/>
                      <w:bCs/>
                      <w:sz w:val="21"/>
                      <w:szCs w:val="18"/>
                    </w:rPr>
                    <w:t>科学划定生态保护红线，筑牢生态安全屏障。优先将具有重要水源涵养、生物多样性维护、水土保持、海岸防护等功能的生态功能极重要区域，水土流失、海岸侵蚀等生态极敏感脆弱区域，以及其他经评估具有潜在重要生态价值的区域划入生态保护红线。</w:t>
                  </w:r>
                </w:p>
              </w:tc>
              <w:tc>
                <w:tcPr>
                  <w:tcW w:w="1003" w:type="pct"/>
                  <w:vAlign w:val="center"/>
                </w:tcPr>
                <w:p w14:paraId="5107FC73">
                  <w:pPr>
                    <w:snapToGrid w:val="0"/>
                    <w:spacing w:line="240" w:lineRule="auto"/>
                    <w:jc w:val="center"/>
                    <w:rPr>
                      <w:rFonts w:hint="eastAsia"/>
                      <w:bCs/>
                      <w:sz w:val="21"/>
                      <w:szCs w:val="18"/>
                    </w:rPr>
                  </w:pPr>
                  <w:r>
                    <w:rPr>
                      <w:rFonts w:hint="eastAsia"/>
                      <w:bCs/>
                      <w:sz w:val="21"/>
                      <w:szCs w:val="18"/>
                    </w:rPr>
                    <w:t>本项目位于</w:t>
                  </w:r>
                  <w:r>
                    <w:rPr>
                      <w:rFonts w:hint="eastAsia"/>
                      <w:bCs/>
                      <w:sz w:val="21"/>
                      <w:szCs w:val="18"/>
                      <w:lang w:eastAsia="zh-CN"/>
                    </w:rPr>
                    <w:t>常州经济开发区横山桥镇新安村委新芙路78号</w:t>
                  </w:r>
                  <w:r>
                    <w:rPr>
                      <w:rFonts w:hint="eastAsia"/>
                      <w:bCs/>
                      <w:sz w:val="21"/>
                      <w:szCs w:val="18"/>
                    </w:rPr>
                    <w:t>，不在生态保护红线内。相符。</w:t>
                  </w:r>
                </w:p>
              </w:tc>
            </w:tr>
            <w:tr w14:paraId="5D9D1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8" w:type="pct"/>
                  <w:vAlign w:val="center"/>
                </w:tcPr>
                <w:p w14:paraId="3AE4FED7">
                  <w:pPr>
                    <w:snapToGrid w:val="0"/>
                    <w:spacing w:line="240" w:lineRule="auto"/>
                    <w:jc w:val="center"/>
                    <w:rPr>
                      <w:bCs/>
                      <w:sz w:val="21"/>
                      <w:szCs w:val="18"/>
                    </w:rPr>
                  </w:pPr>
                  <w:r>
                    <w:rPr>
                      <w:rFonts w:hint="eastAsia"/>
                      <w:bCs/>
                      <w:sz w:val="21"/>
                      <w:szCs w:val="18"/>
                    </w:rPr>
                    <w:t>城镇开发边界</w:t>
                  </w:r>
                </w:p>
              </w:tc>
              <w:tc>
                <w:tcPr>
                  <w:tcW w:w="3227" w:type="pct"/>
                  <w:vAlign w:val="center"/>
                </w:tcPr>
                <w:p w14:paraId="1BDF51C2">
                  <w:pPr>
                    <w:snapToGrid w:val="0"/>
                    <w:spacing w:line="240" w:lineRule="auto"/>
                    <w:jc w:val="left"/>
                    <w:rPr>
                      <w:bCs/>
                      <w:sz w:val="21"/>
                      <w:szCs w:val="18"/>
                    </w:rPr>
                  </w:pPr>
                  <w:r>
                    <w:rPr>
                      <w:rFonts w:hint="eastAsia"/>
                      <w:bCs/>
                      <w:sz w:val="21"/>
                      <w:szCs w:val="18"/>
                    </w:rPr>
                    <w:t>现状建成区、规划集中连片的城镇建设区、城中村和城边村、依法合规设立的各类开发区、国家和省级市级政府确定的重大建设项目用地等应划入城镇集中建设区。</w:t>
                  </w:r>
                </w:p>
              </w:tc>
              <w:tc>
                <w:tcPr>
                  <w:tcW w:w="1003" w:type="pct"/>
                  <w:vAlign w:val="center"/>
                </w:tcPr>
                <w:p w14:paraId="07E2EAA0">
                  <w:pPr>
                    <w:snapToGrid w:val="0"/>
                    <w:spacing w:line="240" w:lineRule="auto"/>
                    <w:jc w:val="center"/>
                    <w:rPr>
                      <w:rFonts w:hint="eastAsia"/>
                      <w:bCs/>
                      <w:sz w:val="21"/>
                      <w:szCs w:val="18"/>
                    </w:rPr>
                  </w:pPr>
                  <w:r>
                    <w:rPr>
                      <w:rFonts w:hint="eastAsia"/>
                      <w:bCs/>
                      <w:sz w:val="21"/>
                      <w:szCs w:val="18"/>
                    </w:rPr>
                    <w:t>本项目</w:t>
                  </w:r>
                  <w:r>
                    <w:rPr>
                      <w:rFonts w:hint="eastAsia"/>
                      <w:bCs/>
                      <w:sz w:val="21"/>
                      <w:szCs w:val="18"/>
                      <w:lang w:val="en-US" w:eastAsia="zh-CN"/>
                    </w:rPr>
                    <w:t>属于城镇发展区</w:t>
                  </w:r>
                  <w:r>
                    <w:rPr>
                      <w:rFonts w:hint="eastAsia"/>
                      <w:bCs/>
                      <w:sz w:val="21"/>
                      <w:szCs w:val="18"/>
                    </w:rPr>
                    <w:t>。相符。</w:t>
                  </w:r>
                </w:p>
              </w:tc>
            </w:tr>
          </w:tbl>
          <w:p w14:paraId="631C1955">
            <w:pPr>
              <w:ind w:firstLine="480" w:firstLineChars="200"/>
            </w:pPr>
            <w:r>
              <w:rPr>
                <w:rFonts w:hint="eastAsia"/>
              </w:rPr>
              <w:t>综上，本项目符合《</w:t>
            </w:r>
            <w:r>
              <w:t>江苏省国土空间规划（2021-2035年）</w:t>
            </w:r>
            <w:r>
              <w:rPr>
                <w:rFonts w:hint="eastAsia"/>
              </w:rPr>
              <w:t>》</w:t>
            </w:r>
            <w:r>
              <w:rPr>
                <w:rFonts w:hint="eastAsia"/>
                <w:lang w:eastAsia="zh-CN"/>
              </w:rPr>
              <w:t>“</w:t>
            </w:r>
            <w:r>
              <w:rPr>
                <w:rFonts w:hint="eastAsia"/>
              </w:rPr>
              <w:t>三区三线</w:t>
            </w:r>
            <w:r>
              <w:rPr>
                <w:rFonts w:hint="eastAsia"/>
                <w:lang w:eastAsia="zh-CN"/>
              </w:rPr>
              <w:t>”</w:t>
            </w:r>
            <w:r>
              <w:rPr>
                <w:rFonts w:hint="eastAsia"/>
              </w:rPr>
              <w:t>相关要求。</w:t>
            </w:r>
          </w:p>
          <w:p w14:paraId="3A89D5F4">
            <w:pPr>
              <w:autoSpaceDE w:val="0"/>
              <w:autoSpaceDN w:val="0"/>
              <w:adjustRightInd w:val="0"/>
              <w:ind w:firstLine="482" w:firstLineChars="200"/>
              <w:rPr>
                <w:rFonts w:ascii="仿宋" w:hAnsi="仿宋" w:cs="仿宋"/>
                <w:b/>
                <w:bCs/>
              </w:rPr>
            </w:pPr>
            <w:r>
              <w:rPr>
                <w:rFonts w:hint="eastAsia" w:ascii="仿宋" w:hAnsi="仿宋" w:cs="仿宋"/>
                <w:b/>
                <w:bCs/>
                <w:lang w:val="en-US" w:eastAsia="zh-CN"/>
              </w:rPr>
              <w:t>4、</w:t>
            </w:r>
            <w:r>
              <w:rPr>
                <w:rFonts w:hint="eastAsia" w:ascii="仿宋" w:hAnsi="仿宋" w:cs="仿宋"/>
                <w:b/>
                <w:bCs/>
              </w:rPr>
              <w:t>与</w:t>
            </w:r>
            <w:r>
              <w:rPr>
                <w:b/>
                <w:bCs/>
              </w:rPr>
              <w:t>《常州市国土空间总体规划（2021-2035年）》相符</w:t>
            </w:r>
            <w:r>
              <w:rPr>
                <w:rFonts w:hint="eastAsia" w:ascii="仿宋" w:hAnsi="仿宋" w:cs="仿宋"/>
                <w:b/>
                <w:bCs/>
              </w:rPr>
              <w:t>性分析</w:t>
            </w:r>
          </w:p>
          <w:p w14:paraId="098EAE7E">
            <w:pPr>
              <w:ind w:firstLine="480" w:firstLineChars="200"/>
            </w:pPr>
            <w:r>
              <w:rPr>
                <w:rFonts w:hint="eastAsia"/>
              </w:rPr>
              <w:t>根据《常州市国土空间总体规划（</w:t>
            </w:r>
            <w:r>
              <w:t>2021</w:t>
            </w:r>
            <w:r>
              <w:rPr>
                <w:rFonts w:hint="eastAsia"/>
              </w:rPr>
              <w:t>-</w:t>
            </w:r>
            <w:r>
              <w:t>2035</w:t>
            </w:r>
            <w:r>
              <w:rPr>
                <w:rFonts w:hint="eastAsia"/>
              </w:rPr>
              <w:t>年）》：严格落实耕地占补平衡，坚决制止耕地</w:t>
            </w:r>
            <w:r>
              <w:rPr>
                <w:rFonts w:hint="eastAsia"/>
                <w:lang w:eastAsia="zh-CN"/>
              </w:rPr>
              <w:t>“</w:t>
            </w:r>
            <w:r>
              <w:rPr>
                <w:rFonts w:hint="eastAsia"/>
              </w:rPr>
              <w:t>非农化</w:t>
            </w:r>
            <w:r>
              <w:rPr>
                <w:rFonts w:hint="eastAsia"/>
                <w:lang w:eastAsia="zh-CN"/>
              </w:rPr>
              <w:t>”</w:t>
            </w:r>
            <w:r>
              <w:rPr>
                <w:rFonts w:hint="eastAsia"/>
              </w:rPr>
              <w:t>，防止耕地</w:t>
            </w:r>
            <w:r>
              <w:rPr>
                <w:rFonts w:hint="eastAsia"/>
                <w:lang w:eastAsia="zh-CN"/>
              </w:rPr>
              <w:t>“</w:t>
            </w:r>
            <w:r>
              <w:rPr>
                <w:rFonts w:hint="eastAsia"/>
              </w:rPr>
              <w:t>非粮化</w:t>
            </w:r>
            <w:r>
              <w:rPr>
                <w:rFonts w:hint="eastAsia"/>
                <w:lang w:eastAsia="zh-CN"/>
              </w:rPr>
              <w:t>”</w:t>
            </w:r>
            <w:r>
              <w:rPr>
                <w:rFonts w:hint="eastAsia"/>
              </w:rPr>
              <w:t>，有序恢复耕地。严格保护林地、湿地等生态用地，拓展造林绿化空间和水源涵养空间。保障交通、水利、能源、环保等基础设施用地，实施城乡建设用地增减挂钩和生态修复，推动村庄建设用地减量化，优化城乡建设用地结构。保障乡村振兴的建设用地、农业基础设施建设用地、农业设施用地等需求。永久基本农田保护区、生态保护红线区根据国家、省关于永久基本农田、生态保护红线的法律法规政策实施严格保护。城镇发展区（城镇开发边界）实行</w:t>
            </w:r>
            <w:r>
              <w:rPr>
                <w:rFonts w:hint="eastAsia"/>
                <w:lang w:eastAsia="zh-CN"/>
              </w:rPr>
              <w:t>“</w:t>
            </w:r>
            <w:r>
              <w:rPr>
                <w:rFonts w:hint="eastAsia"/>
              </w:rPr>
              <w:t>详细规划</w:t>
            </w:r>
            <w:r>
              <w:t>+</w:t>
            </w:r>
            <w:r>
              <w:rPr>
                <w:rFonts w:hint="eastAsia"/>
              </w:rPr>
              <w:t>规划许可</w:t>
            </w:r>
            <w:r>
              <w:rPr>
                <w:rFonts w:hint="eastAsia"/>
                <w:lang w:eastAsia="zh-CN"/>
              </w:rPr>
              <w:t>”</w:t>
            </w:r>
            <w:r>
              <w:rPr>
                <w:rFonts w:hint="eastAsia"/>
              </w:rPr>
              <w:t>的管制方式。乡村发展区实行</w:t>
            </w:r>
            <w:r>
              <w:rPr>
                <w:rFonts w:hint="eastAsia"/>
                <w:lang w:eastAsia="zh-CN"/>
              </w:rPr>
              <w:t>“</w:t>
            </w:r>
            <w:r>
              <w:rPr>
                <w:rFonts w:hint="eastAsia"/>
              </w:rPr>
              <w:t>详细规划</w:t>
            </w:r>
            <w:r>
              <w:t>+</w:t>
            </w:r>
            <w:r>
              <w:rPr>
                <w:rFonts w:hint="eastAsia"/>
              </w:rPr>
              <w:t>规划许可</w:t>
            </w:r>
            <w:r>
              <w:rPr>
                <w:rFonts w:hint="eastAsia"/>
                <w:lang w:eastAsia="zh-CN"/>
              </w:rPr>
              <w:t>”</w:t>
            </w:r>
            <w:r>
              <w:rPr>
                <w:rFonts w:hint="eastAsia"/>
              </w:rPr>
              <w:t>和</w:t>
            </w:r>
            <w:r>
              <w:rPr>
                <w:rFonts w:hint="eastAsia"/>
                <w:lang w:eastAsia="zh-CN"/>
              </w:rPr>
              <w:t>“</w:t>
            </w:r>
            <w:r>
              <w:rPr>
                <w:rFonts w:hint="eastAsia"/>
              </w:rPr>
              <w:t>约束指标</w:t>
            </w:r>
            <w:r>
              <w:t>+</w:t>
            </w:r>
            <w:r>
              <w:rPr>
                <w:rFonts w:hint="eastAsia"/>
              </w:rPr>
              <w:t>分区准入</w:t>
            </w:r>
            <w:r>
              <w:rPr>
                <w:rFonts w:hint="eastAsia"/>
                <w:lang w:eastAsia="zh-CN"/>
              </w:rPr>
              <w:t>”</w:t>
            </w:r>
            <w:r>
              <w:rPr>
                <w:rFonts w:hint="eastAsia"/>
              </w:rPr>
              <w:t>的管制方式。</w:t>
            </w:r>
          </w:p>
          <w:p w14:paraId="7304BD3A">
            <w:pPr>
              <w:ind w:firstLine="480" w:firstLineChars="200"/>
            </w:pPr>
            <w:r>
              <w:rPr>
                <w:rFonts w:hint="eastAsia"/>
              </w:rPr>
              <w:t>对照常州市国土空间规划分区图，本项目位于</w:t>
            </w:r>
            <w:r>
              <w:rPr>
                <w:rFonts w:hint="eastAsia"/>
                <w:lang w:eastAsia="zh-CN"/>
              </w:rPr>
              <w:t>常州经济开发区横山桥镇新安村委新芙路78号</w:t>
            </w:r>
            <w:r>
              <w:rPr>
                <w:rFonts w:hint="eastAsia"/>
              </w:rPr>
              <w:t>，用地性质为工业用地，不</w:t>
            </w:r>
            <w:r>
              <w:rPr>
                <w:rFonts w:hint="eastAsia"/>
                <w:lang w:val="en-US" w:eastAsia="zh-CN"/>
              </w:rPr>
              <w:t>在</w:t>
            </w:r>
            <w:r>
              <w:rPr>
                <w:rFonts w:hint="eastAsia"/>
              </w:rPr>
              <w:t>生态红线保护区、永久基本农田保护区</w:t>
            </w:r>
            <w:r>
              <w:rPr>
                <w:rFonts w:hint="eastAsia"/>
                <w:lang w:val="en-US" w:eastAsia="zh-CN"/>
              </w:rPr>
              <w:t>及城镇开发边界内</w:t>
            </w:r>
            <w:r>
              <w:rPr>
                <w:rFonts w:hint="eastAsia"/>
              </w:rPr>
              <w:t>。故本项目符合常州市国土空间规划</w:t>
            </w:r>
            <w:r>
              <w:rPr>
                <w:rFonts w:hint="eastAsia"/>
                <w:lang w:eastAsia="zh-CN"/>
              </w:rPr>
              <w:t>“</w:t>
            </w:r>
            <w:r>
              <w:rPr>
                <w:rFonts w:hint="eastAsia"/>
              </w:rPr>
              <w:t>三区三线</w:t>
            </w:r>
            <w:r>
              <w:rPr>
                <w:rFonts w:hint="eastAsia"/>
                <w:lang w:eastAsia="zh-CN"/>
              </w:rPr>
              <w:t>”</w:t>
            </w:r>
            <w:r>
              <w:rPr>
                <w:rFonts w:hint="eastAsia"/>
              </w:rPr>
              <w:t>要求。</w:t>
            </w:r>
          </w:p>
          <w:p w14:paraId="3A60B641">
            <w:pPr>
              <w:numPr>
                <w:ilvl w:val="0"/>
                <w:numId w:val="4"/>
              </w:numPr>
              <w:autoSpaceDE w:val="0"/>
              <w:autoSpaceDN w:val="0"/>
              <w:adjustRightInd w:val="0"/>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与相关生态文件相符性分析</w:t>
            </w:r>
          </w:p>
          <w:p w14:paraId="13B9C7CB">
            <w:pPr>
              <w:tabs>
                <w:tab w:val="left" w:pos="960"/>
              </w:tabs>
              <w:spacing w:line="240" w:lineRule="auto"/>
              <w:jc w:val="center"/>
              <w:rPr>
                <w:b/>
                <w:bCs/>
                <w:spacing w:val="-4"/>
                <w:sz w:val="21"/>
                <w:szCs w:val="21"/>
              </w:rPr>
            </w:pPr>
            <w:r>
              <w:rPr>
                <w:b/>
                <w:bCs/>
                <w:spacing w:val="-4"/>
                <w:sz w:val="21"/>
                <w:szCs w:val="21"/>
              </w:rPr>
              <w:t>表1-</w:t>
            </w:r>
            <w:r>
              <w:rPr>
                <w:rFonts w:hint="eastAsia"/>
                <w:b/>
                <w:bCs/>
                <w:spacing w:val="-4"/>
                <w:sz w:val="21"/>
                <w:szCs w:val="21"/>
              </w:rPr>
              <w:t>7</w:t>
            </w:r>
            <w:r>
              <w:rPr>
                <w:b/>
                <w:bCs/>
                <w:spacing w:val="-4"/>
                <w:sz w:val="21"/>
                <w:szCs w:val="21"/>
              </w:rPr>
              <w:t xml:space="preserve">  相关环保法规相符性</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6"/>
              <w:gridCol w:w="259"/>
              <w:gridCol w:w="8"/>
              <w:gridCol w:w="52"/>
              <w:gridCol w:w="3750"/>
              <w:gridCol w:w="427"/>
              <w:gridCol w:w="2032"/>
            </w:tblGrid>
            <w:tr w14:paraId="448D2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57E7B019">
                  <w:pPr>
                    <w:snapToGrid w:val="0"/>
                    <w:spacing w:line="240" w:lineRule="auto"/>
                    <w:jc w:val="center"/>
                    <w:rPr>
                      <w:b/>
                      <w:sz w:val="21"/>
                      <w:szCs w:val="21"/>
                    </w:rPr>
                  </w:pPr>
                  <w:r>
                    <w:rPr>
                      <w:b/>
                      <w:sz w:val="21"/>
                      <w:szCs w:val="21"/>
                    </w:rPr>
                    <w:t>条款</w:t>
                  </w:r>
                </w:p>
              </w:tc>
              <w:tc>
                <w:tcPr>
                  <w:tcW w:w="2979" w:type="pct"/>
                  <w:gridSpan w:val="4"/>
                  <w:vAlign w:val="center"/>
                </w:tcPr>
                <w:p w14:paraId="37B05897">
                  <w:pPr>
                    <w:snapToGrid w:val="0"/>
                    <w:spacing w:line="240" w:lineRule="auto"/>
                    <w:jc w:val="center"/>
                    <w:rPr>
                      <w:b/>
                      <w:sz w:val="21"/>
                      <w:szCs w:val="21"/>
                    </w:rPr>
                  </w:pPr>
                  <w:r>
                    <w:rPr>
                      <w:b/>
                      <w:sz w:val="21"/>
                      <w:szCs w:val="21"/>
                    </w:rPr>
                    <w:t>内容</w:t>
                  </w:r>
                </w:p>
              </w:tc>
              <w:tc>
                <w:tcPr>
                  <w:tcW w:w="1426" w:type="pct"/>
                  <w:vAlign w:val="center"/>
                </w:tcPr>
                <w:p w14:paraId="2CDD6A36">
                  <w:pPr>
                    <w:snapToGrid w:val="0"/>
                    <w:spacing w:line="240" w:lineRule="auto"/>
                    <w:jc w:val="center"/>
                    <w:rPr>
                      <w:b/>
                      <w:sz w:val="21"/>
                      <w:szCs w:val="21"/>
                    </w:rPr>
                  </w:pPr>
                  <w:r>
                    <w:rPr>
                      <w:b/>
                      <w:sz w:val="21"/>
                      <w:szCs w:val="21"/>
                    </w:rPr>
                    <w:t>对照分析</w:t>
                  </w:r>
                </w:p>
              </w:tc>
            </w:tr>
            <w:tr w14:paraId="1316F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53142ED5">
                  <w:pPr>
                    <w:snapToGrid w:val="0"/>
                    <w:spacing w:line="240" w:lineRule="auto"/>
                    <w:jc w:val="center"/>
                    <w:rPr>
                      <w:b/>
                      <w:sz w:val="21"/>
                      <w:szCs w:val="21"/>
                    </w:rPr>
                  </w:pPr>
                  <w:r>
                    <w:rPr>
                      <w:b/>
                      <w:sz w:val="21"/>
                      <w:szCs w:val="21"/>
                    </w:rPr>
                    <w:t>关于印发《</w:t>
                  </w:r>
                  <w:r>
                    <w:rPr>
                      <w:rFonts w:hint="eastAsia"/>
                      <w:b/>
                      <w:sz w:val="21"/>
                      <w:szCs w:val="21"/>
                      <w:lang w:eastAsia="zh-CN"/>
                    </w:rPr>
                    <w:t>“</w:t>
                  </w:r>
                  <w:r>
                    <w:rPr>
                      <w:b/>
                      <w:sz w:val="21"/>
                      <w:szCs w:val="21"/>
                    </w:rPr>
                    <w:t>十四五</w:t>
                  </w:r>
                  <w:r>
                    <w:rPr>
                      <w:rFonts w:hint="eastAsia"/>
                      <w:b/>
                      <w:sz w:val="21"/>
                      <w:szCs w:val="21"/>
                      <w:lang w:eastAsia="zh-CN"/>
                    </w:rPr>
                    <w:t>”</w:t>
                  </w:r>
                  <w:r>
                    <w:rPr>
                      <w:b/>
                      <w:sz w:val="21"/>
                      <w:szCs w:val="21"/>
                    </w:rPr>
                    <w:t>噪声污染防治行动计划》的通知</w:t>
                  </w:r>
                  <w:r>
                    <w:rPr>
                      <w:rFonts w:hint="eastAsia"/>
                      <w:b/>
                      <w:sz w:val="21"/>
                      <w:szCs w:val="21"/>
                    </w:rPr>
                    <w:t>（</w:t>
                  </w:r>
                  <w:r>
                    <w:rPr>
                      <w:b/>
                      <w:sz w:val="21"/>
                      <w:szCs w:val="21"/>
                    </w:rPr>
                    <w:t>环大气</w:t>
                  </w:r>
                  <w:r>
                    <w:rPr>
                      <w:rFonts w:hint="eastAsia"/>
                      <w:b/>
                      <w:sz w:val="21"/>
                      <w:szCs w:val="21"/>
                      <w:lang w:eastAsia="zh-CN"/>
                    </w:rPr>
                    <w:t>〔2023〕1号</w:t>
                  </w:r>
                  <w:r>
                    <w:rPr>
                      <w:rFonts w:hint="eastAsia"/>
                      <w:b/>
                      <w:sz w:val="21"/>
                      <w:szCs w:val="21"/>
                    </w:rPr>
                    <w:t>）</w:t>
                  </w:r>
                </w:p>
              </w:tc>
            </w:tr>
            <w:tr w14:paraId="2D5E2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39F394BD">
                  <w:pPr>
                    <w:spacing w:line="240" w:lineRule="auto"/>
                    <w:jc w:val="center"/>
                    <w:rPr>
                      <w:bCs/>
                      <w:sz w:val="21"/>
                      <w:szCs w:val="21"/>
                    </w:rPr>
                  </w:pPr>
                  <w:r>
                    <w:rPr>
                      <w:rFonts w:hint="eastAsia"/>
                      <w:bCs/>
                      <w:sz w:val="21"/>
                      <w:szCs w:val="21"/>
                    </w:rPr>
                    <w:t>第十一条</w:t>
                  </w:r>
                </w:p>
              </w:tc>
              <w:tc>
                <w:tcPr>
                  <w:tcW w:w="2979" w:type="pct"/>
                  <w:gridSpan w:val="4"/>
                  <w:vAlign w:val="center"/>
                </w:tcPr>
                <w:p w14:paraId="481D953F">
                  <w:pPr>
                    <w:spacing w:line="240" w:lineRule="auto"/>
                    <w:ind w:firstLine="420" w:firstLineChars="200"/>
                    <w:jc w:val="left"/>
                    <w:rPr>
                      <w:bCs/>
                      <w:sz w:val="21"/>
                      <w:szCs w:val="21"/>
                    </w:rPr>
                  </w:pPr>
                  <w:r>
                    <w:rPr>
                      <w:rFonts w:hint="eastAsia"/>
                      <w:bCs/>
                      <w:sz w:val="21"/>
                      <w:szCs w:val="21"/>
                    </w:rPr>
                    <w:t>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tc>
              <w:tc>
                <w:tcPr>
                  <w:tcW w:w="1426" w:type="pct"/>
                  <w:vAlign w:val="center"/>
                </w:tcPr>
                <w:p w14:paraId="3CA52C4C">
                  <w:pPr>
                    <w:snapToGrid w:val="0"/>
                    <w:spacing w:line="240" w:lineRule="auto"/>
                    <w:jc w:val="center"/>
                    <w:rPr>
                      <w:bCs/>
                      <w:sz w:val="21"/>
                      <w:szCs w:val="21"/>
                    </w:rPr>
                  </w:pPr>
                  <w:r>
                    <w:rPr>
                      <w:rFonts w:hint="eastAsia"/>
                      <w:bCs/>
                      <w:sz w:val="21"/>
                      <w:szCs w:val="21"/>
                    </w:rPr>
                    <w:t>本项目按照《工业企业噪声控制设计规范》对生产车间内主要噪声源合理布局，同时采取隔声减振等降噪</w:t>
                  </w:r>
                  <w:r>
                    <w:rPr>
                      <w:bCs/>
                      <w:sz w:val="21"/>
                      <w:szCs w:val="21"/>
                    </w:rPr>
                    <w:t>，与文件相符</w:t>
                  </w:r>
                  <w:r>
                    <w:rPr>
                      <w:rFonts w:hint="eastAsia"/>
                      <w:bCs/>
                      <w:sz w:val="21"/>
                      <w:szCs w:val="21"/>
                    </w:rPr>
                    <w:t>。</w:t>
                  </w:r>
                </w:p>
              </w:tc>
            </w:tr>
            <w:tr w14:paraId="18FDB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1BB22AF3">
                  <w:pPr>
                    <w:snapToGrid w:val="0"/>
                    <w:spacing w:line="240" w:lineRule="auto"/>
                    <w:jc w:val="center"/>
                    <w:rPr>
                      <w:rFonts w:eastAsia="微软雅黑"/>
                      <w:bCs/>
                      <w:sz w:val="21"/>
                      <w:szCs w:val="21"/>
                    </w:rPr>
                  </w:pPr>
                  <w:r>
                    <w:rPr>
                      <w:b/>
                      <w:sz w:val="21"/>
                      <w:szCs w:val="21"/>
                    </w:rPr>
                    <w:t>关于印发《深入打好重污染天气消除、臭氧污染防治和柴油货车污染治理攻坚战行动方案》的通知</w:t>
                  </w:r>
                  <w:r>
                    <w:rPr>
                      <w:rFonts w:hint="eastAsia"/>
                      <w:b/>
                      <w:sz w:val="21"/>
                      <w:szCs w:val="21"/>
                    </w:rPr>
                    <w:t>（</w:t>
                  </w:r>
                  <w:r>
                    <w:rPr>
                      <w:b/>
                      <w:sz w:val="21"/>
                      <w:szCs w:val="21"/>
                    </w:rPr>
                    <w:t>环大气</w:t>
                  </w:r>
                  <w:r>
                    <w:rPr>
                      <w:rFonts w:hint="eastAsia"/>
                      <w:b/>
                      <w:sz w:val="21"/>
                      <w:szCs w:val="21"/>
                      <w:lang w:eastAsia="zh-CN"/>
                    </w:rPr>
                    <w:t>〔2022〕68号</w:t>
                  </w:r>
                  <w:r>
                    <w:rPr>
                      <w:rFonts w:hint="eastAsia"/>
                      <w:b/>
                      <w:sz w:val="21"/>
                      <w:szCs w:val="21"/>
                    </w:rPr>
                    <w:t>）</w:t>
                  </w:r>
                </w:p>
              </w:tc>
            </w:tr>
            <w:tr w14:paraId="6EC8D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17E36746">
                  <w:pPr>
                    <w:spacing w:line="240" w:lineRule="auto"/>
                    <w:jc w:val="center"/>
                    <w:rPr>
                      <w:bCs/>
                      <w:sz w:val="21"/>
                      <w:szCs w:val="21"/>
                    </w:rPr>
                  </w:pPr>
                  <w:r>
                    <w:rPr>
                      <w:rFonts w:hint="eastAsia"/>
                      <w:bCs/>
                      <w:sz w:val="21"/>
                      <w:szCs w:val="21"/>
                    </w:rPr>
                    <w:t>1</w:t>
                  </w:r>
                </w:p>
              </w:tc>
              <w:tc>
                <w:tcPr>
                  <w:tcW w:w="2979" w:type="pct"/>
                  <w:gridSpan w:val="4"/>
                  <w:vAlign w:val="center"/>
                </w:tcPr>
                <w:p w14:paraId="0BE951F8">
                  <w:pPr>
                    <w:spacing w:line="240" w:lineRule="auto"/>
                    <w:ind w:firstLine="420" w:firstLineChars="200"/>
                    <w:jc w:val="left"/>
                    <w:rPr>
                      <w:bCs/>
                      <w:sz w:val="21"/>
                      <w:szCs w:val="21"/>
                    </w:rPr>
                  </w:pPr>
                  <w:r>
                    <w:rPr>
                      <w:rFonts w:hint="eastAsia"/>
                      <w:bCs/>
                      <w:sz w:val="21"/>
                      <w:szCs w:val="21"/>
                    </w:rPr>
                    <w:t>推动产业结构和布局优化调整。坚决遏制高耗能、高排放、低水平项目盲目发展，严格落实国家产业规划、产业政策、</w:t>
                  </w:r>
                  <w:r>
                    <w:rPr>
                      <w:rFonts w:hint="eastAsia"/>
                      <w:bCs/>
                      <w:sz w:val="21"/>
                      <w:szCs w:val="21"/>
                      <w:lang w:eastAsia="zh-CN"/>
                    </w:rPr>
                    <w:t>“</w:t>
                  </w:r>
                  <w:r>
                    <w:rPr>
                      <w:rFonts w:hint="eastAsia"/>
                      <w:bCs/>
                      <w:sz w:val="21"/>
                      <w:szCs w:val="21"/>
                    </w:rPr>
                    <w:t>三线一单</w:t>
                  </w:r>
                  <w:r>
                    <w:rPr>
                      <w:rFonts w:hint="eastAsia"/>
                      <w:bCs/>
                      <w:sz w:val="21"/>
                      <w:szCs w:val="21"/>
                      <w:lang w:eastAsia="zh-CN"/>
                    </w:rPr>
                    <w:t>”</w:t>
                  </w:r>
                  <w:r>
                    <w:rPr>
                      <w:rFonts w:hint="eastAsia"/>
                      <w:bCs/>
                      <w:sz w:val="21"/>
                      <w:szCs w:val="21"/>
                    </w:rPr>
                    <w:t>、规划环评，以及产能置换、煤炭消费减量替代、区域污染物削减等要求，坚决叫停不符合要求的高耗能、高排放、低水平项目。依法依规退出重点行业落后产能，修订《产业结构调整指导目录》，将大气污染物排放强度高、治理难度大的工艺和装备纳入淘汰类或限制类名单。推行钢铁、焦化、烧结一体化布局，有序推动长流程炼钢转型为电炉短流程炼钢。持续推动常态化水泥错峰生产。</w:t>
                  </w:r>
                </w:p>
              </w:tc>
              <w:tc>
                <w:tcPr>
                  <w:tcW w:w="1426" w:type="pct"/>
                  <w:vAlign w:val="center"/>
                </w:tcPr>
                <w:p w14:paraId="5AB30527">
                  <w:pPr>
                    <w:snapToGrid w:val="0"/>
                    <w:spacing w:line="240" w:lineRule="auto"/>
                    <w:jc w:val="center"/>
                    <w:rPr>
                      <w:bCs/>
                      <w:sz w:val="21"/>
                      <w:szCs w:val="21"/>
                    </w:rPr>
                  </w:pPr>
                  <w:r>
                    <w:rPr>
                      <w:rFonts w:hint="eastAsia"/>
                      <w:bCs/>
                      <w:sz w:val="21"/>
                      <w:szCs w:val="21"/>
                    </w:rPr>
                    <w:t>本项目不属于高耗能、高排放、低水平项目，符合国产产业规划、政策、三线一单等要求，不属于各类政策中禁止类项目</w:t>
                  </w:r>
                  <w:r>
                    <w:rPr>
                      <w:bCs/>
                      <w:sz w:val="21"/>
                      <w:szCs w:val="21"/>
                    </w:rPr>
                    <w:t>，与文件相符</w:t>
                  </w:r>
                  <w:r>
                    <w:rPr>
                      <w:rFonts w:hint="eastAsia"/>
                      <w:bCs/>
                      <w:sz w:val="21"/>
                      <w:szCs w:val="21"/>
                    </w:rPr>
                    <w:t>。</w:t>
                  </w:r>
                </w:p>
              </w:tc>
            </w:tr>
            <w:tr w14:paraId="7EA9D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602833C6">
                  <w:pPr>
                    <w:spacing w:line="240" w:lineRule="auto"/>
                    <w:jc w:val="center"/>
                    <w:rPr>
                      <w:bCs/>
                      <w:sz w:val="21"/>
                      <w:szCs w:val="21"/>
                    </w:rPr>
                  </w:pPr>
                  <w:r>
                    <w:rPr>
                      <w:rFonts w:hint="eastAsia"/>
                      <w:bCs/>
                      <w:sz w:val="21"/>
                      <w:szCs w:val="21"/>
                    </w:rPr>
                    <w:t>2</w:t>
                  </w:r>
                </w:p>
              </w:tc>
              <w:tc>
                <w:tcPr>
                  <w:tcW w:w="2979" w:type="pct"/>
                  <w:gridSpan w:val="4"/>
                  <w:vAlign w:val="center"/>
                </w:tcPr>
                <w:p w14:paraId="61C42BC9">
                  <w:pPr>
                    <w:spacing w:line="240" w:lineRule="auto"/>
                    <w:ind w:firstLine="420" w:firstLineChars="200"/>
                    <w:jc w:val="left"/>
                    <w:rPr>
                      <w:bCs/>
                      <w:sz w:val="21"/>
                      <w:szCs w:val="21"/>
                    </w:rPr>
                  </w:pPr>
                  <w:r>
                    <w:rPr>
                      <w:rFonts w:hint="eastAsia"/>
                      <w:bCs/>
                      <w:sz w:val="21"/>
                      <w:szCs w:val="21"/>
                    </w:rPr>
                    <w:t>推动能源绿色低碳转型。大力发展新能源和清洁能源，非化石能源逐步成为能源消费增量主体。严控煤炭消费增长，重点区域继续实施煤炭消费总量控制，推动煤炭清洁高效利用。将确保群众安全过冬、温暖过冬放在首位，宜电则电、宜气则气、宜煤则煤、宜热则热，因地制宜稳妥推进北方地区清洁取暖，有序实施民用和农业散煤替代，在推进过程中要坚持以供定需、以气定改、先立后破、不立不破。着力整合供热资源，加快供热区域热网互联互通，充分释放燃煤电厂、工业余热等供热能力，发展长输供热项目，淘汰管网覆盖范围内的燃煤锅炉和散煤。实施工业炉窑清洁能源替代，大力推进电能替代煤炭，在不影响民生用气稳定、已落实合同气源的前提下，稳妥有序引导以气代煤。</w:t>
                  </w:r>
                </w:p>
              </w:tc>
              <w:tc>
                <w:tcPr>
                  <w:tcW w:w="1426" w:type="pct"/>
                  <w:vAlign w:val="center"/>
                </w:tcPr>
                <w:p w14:paraId="6DE91CBE">
                  <w:pPr>
                    <w:snapToGrid w:val="0"/>
                    <w:spacing w:line="240" w:lineRule="auto"/>
                    <w:jc w:val="center"/>
                    <w:rPr>
                      <w:bCs/>
                      <w:sz w:val="21"/>
                      <w:szCs w:val="21"/>
                    </w:rPr>
                  </w:pPr>
                  <w:r>
                    <w:rPr>
                      <w:rFonts w:hint="eastAsia"/>
                      <w:bCs/>
                      <w:sz w:val="21"/>
                      <w:szCs w:val="21"/>
                    </w:rPr>
                    <w:t>本项目使用</w:t>
                  </w:r>
                  <w:r>
                    <w:rPr>
                      <w:rFonts w:hint="eastAsia"/>
                      <w:bCs/>
                      <w:sz w:val="21"/>
                      <w:szCs w:val="21"/>
                      <w:lang w:val="en-US" w:eastAsia="zh-CN"/>
                    </w:rPr>
                    <w:t>水、</w:t>
                  </w:r>
                  <w:r>
                    <w:rPr>
                      <w:rFonts w:hint="eastAsia"/>
                      <w:bCs/>
                      <w:sz w:val="21"/>
                      <w:szCs w:val="21"/>
                    </w:rPr>
                    <w:t>电</w:t>
                  </w:r>
                  <w:r>
                    <w:rPr>
                      <w:rFonts w:hint="eastAsia"/>
                      <w:bCs/>
                      <w:sz w:val="21"/>
                      <w:szCs w:val="21"/>
                      <w:lang w:eastAsia="zh-CN"/>
                    </w:rPr>
                    <w:t>、</w:t>
                  </w:r>
                  <w:r>
                    <w:rPr>
                      <w:rFonts w:hint="eastAsia"/>
                      <w:bCs/>
                      <w:sz w:val="21"/>
                      <w:szCs w:val="21"/>
                      <w:lang w:val="en-US" w:eastAsia="zh-CN"/>
                    </w:rPr>
                    <w:t>天然气</w:t>
                  </w:r>
                  <w:r>
                    <w:rPr>
                      <w:rFonts w:hint="eastAsia"/>
                      <w:bCs/>
                      <w:sz w:val="21"/>
                      <w:szCs w:val="21"/>
                    </w:rPr>
                    <w:t>，均属于清洁能源</w:t>
                  </w:r>
                  <w:r>
                    <w:rPr>
                      <w:bCs/>
                      <w:sz w:val="21"/>
                      <w:szCs w:val="21"/>
                    </w:rPr>
                    <w:t>，与文件相符</w:t>
                  </w:r>
                  <w:r>
                    <w:rPr>
                      <w:rFonts w:hint="eastAsia"/>
                      <w:bCs/>
                      <w:sz w:val="21"/>
                      <w:szCs w:val="21"/>
                    </w:rPr>
                    <w:t>。</w:t>
                  </w:r>
                </w:p>
              </w:tc>
            </w:tr>
            <w:tr w14:paraId="4E2D8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0BDB50D">
                  <w:pPr>
                    <w:snapToGrid w:val="0"/>
                    <w:spacing w:line="240" w:lineRule="auto"/>
                    <w:jc w:val="center"/>
                    <w:rPr>
                      <w:b/>
                      <w:sz w:val="21"/>
                      <w:szCs w:val="21"/>
                    </w:rPr>
                  </w:pPr>
                  <w:r>
                    <w:rPr>
                      <w:b/>
                      <w:sz w:val="21"/>
                      <w:szCs w:val="21"/>
                    </w:rPr>
                    <w:t>关于加强生态保护红线管理的通知（试行）（自然资发</w:t>
                  </w:r>
                  <w:r>
                    <w:rPr>
                      <w:rFonts w:hint="eastAsia"/>
                      <w:b/>
                      <w:sz w:val="21"/>
                      <w:szCs w:val="21"/>
                      <w:lang w:eastAsia="zh-CN"/>
                    </w:rPr>
                    <w:t>〔2022〕142号</w:t>
                  </w:r>
                  <w:r>
                    <w:rPr>
                      <w:b/>
                      <w:sz w:val="21"/>
                      <w:szCs w:val="21"/>
                    </w:rPr>
                    <w:t>）</w:t>
                  </w:r>
                </w:p>
              </w:tc>
            </w:tr>
            <w:tr w14:paraId="15095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Merge w:val="restart"/>
                  <w:vAlign w:val="center"/>
                </w:tcPr>
                <w:p w14:paraId="2C73A6AC">
                  <w:pPr>
                    <w:snapToGrid w:val="0"/>
                    <w:spacing w:line="240" w:lineRule="auto"/>
                    <w:jc w:val="center"/>
                    <w:rPr>
                      <w:b/>
                      <w:sz w:val="21"/>
                      <w:szCs w:val="21"/>
                    </w:rPr>
                  </w:pPr>
                  <w:r>
                    <w:rPr>
                      <w:bCs/>
                      <w:sz w:val="21"/>
                      <w:szCs w:val="21"/>
                    </w:rPr>
                    <w:t>一、加强人为活动管控</w:t>
                  </w:r>
                </w:p>
              </w:tc>
              <w:tc>
                <w:tcPr>
                  <w:tcW w:w="2979" w:type="pct"/>
                  <w:gridSpan w:val="4"/>
                  <w:vAlign w:val="center"/>
                </w:tcPr>
                <w:p w14:paraId="0528665E">
                  <w:pPr>
                    <w:spacing w:line="240" w:lineRule="auto"/>
                    <w:ind w:firstLine="420" w:firstLineChars="200"/>
                    <w:jc w:val="left"/>
                    <w:rPr>
                      <w:b/>
                      <w:sz w:val="21"/>
                      <w:szCs w:val="21"/>
                    </w:rPr>
                  </w:pPr>
                  <w:r>
                    <w:rPr>
                      <w:bCs/>
                      <w:sz w:val="21"/>
                      <w:szCs w:val="21"/>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tc>
              <w:tc>
                <w:tcPr>
                  <w:tcW w:w="1426" w:type="pct"/>
                  <w:vMerge w:val="restart"/>
                  <w:vAlign w:val="center"/>
                </w:tcPr>
                <w:p w14:paraId="551A8201">
                  <w:pPr>
                    <w:snapToGrid w:val="0"/>
                    <w:spacing w:line="240" w:lineRule="auto"/>
                    <w:jc w:val="center"/>
                    <w:rPr>
                      <w:b/>
                      <w:sz w:val="21"/>
                      <w:szCs w:val="21"/>
                    </w:rPr>
                  </w:pPr>
                  <w:r>
                    <w:rPr>
                      <w:bCs/>
                      <w:sz w:val="21"/>
                      <w:szCs w:val="21"/>
                    </w:rPr>
                    <w:t>本项目不在生态保护红线范围内，与文件相符</w:t>
                  </w:r>
                  <w:r>
                    <w:rPr>
                      <w:rFonts w:hint="eastAsia"/>
                      <w:bCs/>
                      <w:sz w:val="21"/>
                      <w:szCs w:val="21"/>
                    </w:rPr>
                    <w:t>。</w:t>
                  </w:r>
                </w:p>
              </w:tc>
            </w:tr>
            <w:tr w14:paraId="0C05B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Merge w:val="continue"/>
                  <w:vAlign w:val="center"/>
                </w:tcPr>
                <w:p w14:paraId="5BB602AB">
                  <w:pPr>
                    <w:snapToGrid w:val="0"/>
                    <w:spacing w:line="240" w:lineRule="auto"/>
                    <w:jc w:val="center"/>
                    <w:rPr>
                      <w:b/>
                      <w:sz w:val="21"/>
                      <w:szCs w:val="21"/>
                    </w:rPr>
                  </w:pPr>
                </w:p>
              </w:tc>
              <w:tc>
                <w:tcPr>
                  <w:tcW w:w="2979" w:type="pct"/>
                  <w:gridSpan w:val="4"/>
                  <w:vAlign w:val="center"/>
                </w:tcPr>
                <w:p w14:paraId="344C3084">
                  <w:pPr>
                    <w:spacing w:line="240" w:lineRule="auto"/>
                    <w:ind w:firstLine="420" w:firstLineChars="200"/>
                    <w:jc w:val="left"/>
                    <w:rPr>
                      <w:b/>
                      <w:sz w:val="21"/>
                      <w:szCs w:val="21"/>
                    </w:rPr>
                  </w:pPr>
                  <w:r>
                    <w:rPr>
                      <w:bCs/>
                      <w:sz w:val="21"/>
                      <w:szCs w:val="21"/>
                    </w:rPr>
                    <w:t>（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w:t>
                  </w:r>
                </w:p>
              </w:tc>
              <w:tc>
                <w:tcPr>
                  <w:tcW w:w="1426" w:type="pct"/>
                  <w:vMerge w:val="continue"/>
                  <w:vAlign w:val="center"/>
                </w:tcPr>
                <w:p w14:paraId="398E3283">
                  <w:pPr>
                    <w:snapToGrid w:val="0"/>
                    <w:spacing w:line="240" w:lineRule="auto"/>
                    <w:jc w:val="center"/>
                    <w:rPr>
                      <w:b/>
                      <w:sz w:val="21"/>
                      <w:szCs w:val="21"/>
                    </w:rPr>
                  </w:pPr>
                </w:p>
              </w:tc>
            </w:tr>
            <w:tr w14:paraId="30AA9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Merge w:val="continue"/>
                  <w:vAlign w:val="center"/>
                </w:tcPr>
                <w:p w14:paraId="51D7C537">
                  <w:pPr>
                    <w:snapToGrid w:val="0"/>
                    <w:spacing w:line="240" w:lineRule="auto"/>
                    <w:jc w:val="center"/>
                    <w:rPr>
                      <w:b/>
                      <w:sz w:val="21"/>
                      <w:szCs w:val="21"/>
                    </w:rPr>
                  </w:pPr>
                </w:p>
              </w:tc>
              <w:tc>
                <w:tcPr>
                  <w:tcW w:w="2979" w:type="pct"/>
                  <w:gridSpan w:val="4"/>
                  <w:vAlign w:val="center"/>
                </w:tcPr>
                <w:p w14:paraId="6F05A6FB">
                  <w:pPr>
                    <w:spacing w:line="240" w:lineRule="auto"/>
                    <w:ind w:firstLine="420" w:firstLineChars="200"/>
                    <w:jc w:val="left"/>
                    <w:rPr>
                      <w:b/>
                      <w:sz w:val="21"/>
                      <w:szCs w:val="21"/>
                    </w:rPr>
                  </w:pPr>
                  <w:r>
                    <w:rPr>
                      <w:bCs/>
                      <w:sz w:val="21"/>
                      <w:szCs w:val="21"/>
                    </w:rPr>
                    <w:t>（三）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w:t>
                  </w:r>
                </w:p>
              </w:tc>
              <w:tc>
                <w:tcPr>
                  <w:tcW w:w="1426" w:type="pct"/>
                  <w:vMerge w:val="continue"/>
                  <w:vAlign w:val="center"/>
                </w:tcPr>
                <w:p w14:paraId="7D928314">
                  <w:pPr>
                    <w:snapToGrid w:val="0"/>
                    <w:spacing w:line="240" w:lineRule="auto"/>
                    <w:jc w:val="center"/>
                    <w:rPr>
                      <w:b/>
                      <w:sz w:val="21"/>
                      <w:szCs w:val="21"/>
                    </w:rPr>
                  </w:pPr>
                </w:p>
              </w:tc>
            </w:tr>
            <w:tr w14:paraId="47B84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03274BE">
                  <w:pPr>
                    <w:snapToGrid w:val="0"/>
                    <w:spacing w:line="240" w:lineRule="auto"/>
                    <w:jc w:val="center"/>
                    <w:rPr>
                      <w:b/>
                      <w:sz w:val="21"/>
                      <w:szCs w:val="21"/>
                    </w:rPr>
                  </w:pPr>
                  <w:r>
                    <w:rPr>
                      <w:b/>
                      <w:sz w:val="21"/>
                      <w:szCs w:val="21"/>
                    </w:rPr>
                    <w:t>《常州市人民政府关于印发大运河常州段核心监控区国土空间管控实施细则的通知》（常政发</w:t>
                  </w:r>
                  <w:r>
                    <w:rPr>
                      <w:rFonts w:hint="eastAsia"/>
                      <w:b/>
                      <w:sz w:val="21"/>
                      <w:szCs w:val="21"/>
                      <w:lang w:eastAsia="zh-CN"/>
                    </w:rPr>
                    <w:t>〔2022〕73号</w:t>
                  </w:r>
                  <w:r>
                    <w:rPr>
                      <w:b/>
                      <w:sz w:val="21"/>
                      <w:szCs w:val="21"/>
                    </w:rPr>
                    <w:t>）</w:t>
                  </w:r>
                </w:p>
              </w:tc>
            </w:tr>
            <w:tr w14:paraId="51D2B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507933EE">
                  <w:pPr>
                    <w:snapToGrid w:val="0"/>
                    <w:spacing w:line="240" w:lineRule="auto"/>
                    <w:jc w:val="center"/>
                    <w:rPr>
                      <w:b/>
                      <w:sz w:val="21"/>
                      <w:szCs w:val="21"/>
                    </w:rPr>
                  </w:pPr>
                  <w:r>
                    <w:rPr>
                      <w:bCs/>
                      <w:sz w:val="21"/>
                      <w:szCs w:val="21"/>
                    </w:rPr>
                    <w:t>第一章 第三条</w:t>
                  </w:r>
                </w:p>
              </w:tc>
              <w:tc>
                <w:tcPr>
                  <w:tcW w:w="2979" w:type="pct"/>
                  <w:gridSpan w:val="4"/>
                  <w:vAlign w:val="center"/>
                </w:tcPr>
                <w:p w14:paraId="6064100F">
                  <w:pPr>
                    <w:spacing w:line="240" w:lineRule="auto"/>
                    <w:ind w:firstLine="420" w:firstLineChars="200"/>
                    <w:jc w:val="left"/>
                    <w:rPr>
                      <w:bCs/>
                      <w:sz w:val="21"/>
                      <w:szCs w:val="21"/>
                    </w:rPr>
                  </w:pPr>
                  <w:r>
                    <w:rPr>
                      <w:bCs/>
                      <w:sz w:val="21"/>
                      <w:szCs w:val="21"/>
                    </w:rPr>
                    <w:t>本细则所称核心监控区，是指大运河常州段主河道（老运河段）两岸各2千米的范围。</w:t>
                  </w:r>
                </w:p>
              </w:tc>
              <w:tc>
                <w:tcPr>
                  <w:tcW w:w="1426" w:type="pct"/>
                  <w:vMerge w:val="restart"/>
                  <w:vAlign w:val="center"/>
                </w:tcPr>
                <w:p w14:paraId="3ECD76A8">
                  <w:pPr>
                    <w:snapToGrid w:val="0"/>
                    <w:spacing w:line="240" w:lineRule="auto"/>
                    <w:jc w:val="center"/>
                    <w:rPr>
                      <w:b/>
                      <w:sz w:val="21"/>
                      <w:szCs w:val="21"/>
                    </w:rPr>
                  </w:pPr>
                  <w:r>
                    <w:rPr>
                      <w:bCs/>
                      <w:sz w:val="21"/>
                      <w:szCs w:val="21"/>
                    </w:rPr>
                    <w:t>本项目位于</w:t>
                  </w:r>
                  <w:r>
                    <w:rPr>
                      <w:rFonts w:hint="eastAsia"/>
                      <w:bCs/>
                      <w:sz w:val="21"/>
                      <w:szCs w:val="21"/>
                      <w:lang w:eastAsia="zh-CN"/>
                    </w:rPr>
                    <w:t>常州经济开发区横山桥镇新安村委新芙路78号</w:t>
                  </w:r>
                  <w:r>
                    <w:rPr>
                      <w:bCs/>
                      <w:sz w:val="21"/>
                      <w:szCs w:val="21"/>
                    </w:rPr>
                    <w:t>，</w:t>
                  </w:r>
                  <w:r>
                    <w:rPr>
                      <w:rFonts w:hint="eastAsia"/>
                      <w:bCs/>
                      <w:sz w:val="21"/>
                      <w:szCs w:val="21"/>
                    </w:rPr>
                    <w:t>距离大运河常州段主河道（老运河</w:t>
                  </w:r>
                  <w:r>
                    <w:rPr>
                      <w:bCs/>
                      <w:sz w:val="21"/>
                      <w:szCs w:val="21"/>
                    </w:rPr>
                    <w:t>段</w:t>
                  </w:r>
                  <w:r>
                    <w:rPr>
                      <w:rFonts w:hint="eastAsia"/>
                      <w:bCs/>
                      <w:sz w:val="21"/>
                      <w:szCs w:val="21"/>
                    </w:rPr>
                    <w:t>）</w:t>
                  </w:r>
                  <w:r>
                    <w:rPr>
                      <w:rFonts w:hint="eastAsia"/>
                      <w:bCs/>
                      <w:sz w:val="21"/>
                      <w:szCs w:val="21"/>
                      <w:lang w:val="en-US" w:eastAsia="zh-CN"/>
                    </w:rPr>
                    <w:t>8.46</w:t>
                  </w:r>
                  <w:r>
                    <w:rPr>
                      <w:rFonts w:hint="eastAsia"/>
                      <w:bCs/>
                      <w:sz w:val="21"/>
                      <w:szCs w:val="21"/>
                    </w:rPr>
                    <w:t>km，</w:t>
                  </w:r>
                  <w:r>
                    <w:rPr>
                      <w:bCs/>
                      <w:sz w:val="21"/>
                      <w:szCs w:val="21"/>
                    </w:rPr>
                    <w:t>不属于文件规定的核心监控区内。</w:t>
                  </w:r>
                </w:p>
              </w:tc>
            </w:tr>
            <w:tr w14:paraId="379F9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5C714E2F">
                  <w:pPr>
                    <w:snapToGrid w:val="0"/>
                    <w:spacing w:line="240" w:lineRule="auto"/>
                    <w:jc w:val="center"/>
                    <w:rPr>
                      <w:b/>
                      <w:sz w:val="21"/>
                      <w:szCs w:val="21"/>
                    </w:rPr>
                  </w:pPr>
                  <w:r>
                    <w:rPr>
                      <w:bCs/>
                      <w:sz w:val="21"/>
                      <w:szCs w:val="21"/>
                    </w:rPr>
                    <w:t>第二章 第九条</w:t>
                  </w:r>
                </w:p>
              </w:tc>
              <w:tc>
                <w:tcPr>
                  <w:tcW w:w="2979" w:type="pct"/>
                  <w:gridSpan w:val="4"/>
                  <w:vAlign w:val="center"/>
                </w:tcPr>
                <w:p w14:paraId="0558DACB">
                  <w:pPr>
                    <w:spacing w:line="240" w:lineRule="auto"/>
                    <w:ind w:firstLine="420" w:firstLineChars="200"/>
                    <w:jc w:val="left"/>
                    <w:rPr>
                      <w:bCs/>
                      <w:sz w:val="21"/>
                      <w:szCs w:val="21"/>
                    </w:rPr>
                  </w:pPr>
                  <w:r>
                    <w:rPr>
                      <w:bCs/>
                      <w:sz w:val="21"/>
                      <w:szCs w:val="21"/>
                    </w:rPr>
                    <w:t>滨河生态空间是指大运河常州段主河道（老运河段）两岸各1千米范围内的除建成区（城市、建制镇）外的区域。滨河生态空间主要位于大运河常州段核心监控区的西、东两端，涉及新北区和常州经济开发区。</w:t>
                  </w:r>
                </w:p>
              </w:tc>
              <w:tc>
                <w:tcPr>
                  <w:tcW w:w="1426" w:type="pct"/>
                  <w:vMerge w:val="continue"/>
                  <w:vAlign w:val="center"/>
                </w:tcPr>
                <w:p w14:paraId="4ABF5B64">
                  <w:pPr>
                    <w:snapToGrid w:val="0"/>
                    <w:spacing w:line="240" w:lineRule="auto"/>
                    <w:jc w:val="center"/>
                    <w:rPr>
                      <w:b/>
                      <w:sz w:val="21"/>
                      <w:szCs w:val="21"/>
                    </w:rPr>
                  </w:pPr>
                </w:p>
              </w:tc>
            </w:tr>
            <w:tr w14:paraId="33D90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150979D2">
                  <w:pPr>
                    <w:snapToGrid w:val="0"/>
                    <w:spacing w:line="240" w:lineRule="auto"/>
                    <w:jc w:val="center"/>
                    <w:rPr>
                      <w:b/>
                      <w:sz w:val="21"/>
                      <w:szCs w:val="21"/>
                    </w:rPr>
                  </w:pPr>
                  <w:r>
                    <w:rPr>
                      <w:bCs/>
                      <w:sz w:val="21"/>
                      <w:szCs w:val="21"/>
                    </w:rPr>
                    <w:t>第二章 第十条</w:t>
                  </w:r>
                </w:p>
              </w:tc>
              <w:tc>
                <w:tcPr>
                  <w:tcW w:w="2979" w:type="pct"/>
                  <w:gridSpan w:val="4"/>
                  <w:vAlign w:val="center"/>
                </w:tcPr>
                <w:p w14:paraId="7A9FC096">
                  <w:pPr>
                    <w:spacing w:line="240" w:lineRule="auto"/>
                    <w:ind w:firstLine="420" w:firstLineChars="200"/>
                    <w:jc w:val="left"/>
                    <w:rPr>
                      <w:bCs/>
                      <w:sz w:val="21"/>
                      <w:szCs w:val="21"/>
                    </w:rPr>
                  </w:pPr>
                  <w:r>
                    <w:rPr>
                      <w:bCs/>
                      <w:sz w:val="21"/>
                      <w:szCs w:val="21"/>
                    </w:rPr>
                    <w:t>核心监控区其他区域是指核心监控区范围内，除建成区（城市、建制镇）、滨河生态空间外的所有区域。核心监控区其他区域主要位于大运河常州段核心监控区的西、东两端，涉及新北区和常州经济开发区。</w:t>
                  </w:r>
                </w:p>
              </w:tc>
              <w:tc>
                <w:tcPr>
                  <w:tcW w:w="1426" w:type="pct"/>
                  <w:vMerge w:val="continue"/>
                  <w:vAlign w:val="center"/>
                </w:tcPr>
                <w:p w14:paraId="34E543B1">
                  <w:pPr>
                    <w:snapToGrid w:val="0"/>
                    <w:spacing w:line="240" w:lineRule="auto"/>
                    <w:jc w:val="center"/>
                    <w:rPr>
                      <w:b/>
                      <w:sz w:val="21"/>
                      <w:szCs w:val="21"/>
                    </w:rPr>
                  </w:pPr>
                </w:p>
              </w:tc>
            </w:tr>
            <w:tr w14:paraId="38A26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EC22F65">
                  <w:pPr>
                    <w:snapToGrid w:val="0"/>
                    <w:spacing w:line="240" w:lineRule="auto"/>
                    <w:jc w:val="center"/>
                    <w:rPr>
                      <w:b/>
                      <w:sz w:val="21"/>
                      <w:szCs w:val="21"/>
                    </w:rPr>
                  </w:pPr>
                  <w:r>
                    <w:rPr>
                      <w:b/>
                      <w:bCs/>
                      <w:sz w:val="21"/>
                      <w:szCs w:val="21"/>
                    </w:rPr>
                    <w:t>江苏省太湖水污染防治条例</w:t>
                  </w:r>
                  <w:r>
                    <w:rPr>
                      <w:rFonts w:hint="eastAsia"/>
                      <w:b/>
                      <w:bCs/>
                      <w:sz w:val="21"/>
                      <w:szCs w:val="21"/>
                    </w:rPr>
                    <w:t>（2021年）</w:t>
                  </w:r>
                </w:p>
              </w:tc>
            </w:tr>
            <w:tr w14:paraId="17340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529341FA">
                  <w:pPr>
                    <w:snapToGrid w:val="0"/>
                    <w:spacing w:line="240" w:lineRule="auto"/>
                    <w:jc w:val="center"/>
                    <w:rPr>
                      <w:bCs/>
                      <w:sz w:val="21"/>
                      <w:szCs w:val="21"/>
                    </w:rPr>
                  </w:pPr>
                  <w:r>
                    <w:rPr>
                      <w:bCs/>
                      <w:sz w:val="21"/>
                      <w:szCs w:val="21"/>
                    </w:rPr>
                    <w:t>第四十三条</w:t>
                  </w:r>
                </w:p>
              </w:tc>
              <w:tc>
                <w:tcPr>
                  <w:tcW w:w="2979" w:type="pct"/>
                  <w:gridSpan w:val="4"/>
                  <w:vAlign w:val="center"/>
                </w:tcPr>
                <w:p w14:paraId="192CD6EA">
                  <w:pPr>
                    <w:snapToGrid w:val="0"/>
                    <w:spacing w:line="240" w:lineRule="auto"/>
                    <w:ind w:firstLine="420" w:firstLineChars="200"/>
                    <w:jc w:val="left"/>
                    <w:rPr>
                      <w:bCs/>
                      <w:sz w:val="21"/>
                      <w:szCs w:val="21"/>
                    </w:rPr>
                  </w:pPr>
                  <w:r>
                    <w:rPr>
                      <w:bCs/>
                      <w:sz w:val="21"/>
                      <w:szCs w:val="21"/>
                    </w:rPr>
                    <w:t>太湖流域一、二、三级保护区禁止下列行为：</w:t>
                  </w:r>
                </w:p>
                <w:p w14:paraId="7117D556">
                  <w:pPr>
                    <w:snapToGrid w:val="0"/>
                    <w:spacing w:line="240" w:lineRule="auto"/>
                    <w:ind w:firstLine="420" w:firstLineChars="200"/>
                    <w:jc w:val="left"/>
                    <w:rPr>
                      <w:bCs/>
                      <w:sz w:val="21"/>
                      <w:szCs w:val="21"/>
                    </w:rPr>
                  </w:pPr>
                  <w:r>
                    <w:rPr>
                      <w:bCs/>
                      <w:sz w:val="21"/>
                      <w:szCs w:val="21"/>
                    </w:rPr>
                    <w:t>（一）新建、改建、扩建化学制浆造纸、制革、酿造、染料、印染、电镀以及其他排放含磷、氮等污染物的企业和项目，城镇污水集中处理等环境基础设施项目和第四十六条规定的情形除外；</w:t>
                  </w:r>
                </w:p>
                <w:p w14:paraId="29A84824">
                  <w:pPr>
                    <w:snapToGrid w:val="0"/>
                    <w:spacing w:line="240" w:lineRule="auto"/>
                    <w:ind w:firstLine="420" w:firstLineChars="200"/>
                    <w:jc w:val="left"/>
                    <w:rPr>
                      <w:bCs/>
                      <w:sz w:val="21"/>
                      <w:szCs w:val="21"/>
                    </w:rPr>
                  </w:pPr>
                  <w:r>
                    <w:rPr>
                      <w:bCs/>
                      <w:sz w:val="21"/>
                      <w:szCs w:val="21"/>
                    </w:rPr>
                    <w:t>（二）销售、使用含磷洗涤用品；</w:t>
                  </w:r>
                </w:p>
                <w:p w14:paraId="11345F40">
                  <w:pPr>
                    <w:snapToGrid w:val="0"/>
                    <w:spacing w:line="240" w:lineRule="auto"/>
                    <w:ind w:firstLine="420" w:firstLineChars="200"/>
                    <w:jc w:val="left"/>
                    <w:rPr>
                      <w:bCs/>
                      <w:sz w:val="21"/>
                      <w:szCs w:val="21"/>
                    </w:rPr>
                  </w:pPr>
                  <w:r>
                    <w:rPr>
                      <w:bCs/>
                      <w:sz w:val="21"/>
                      <w:szCs w:val="21"/>
                    </w:rPr>
                    <w:t>（三）向水体排放或者倾倒油类、酸液、碱液、剧毒废渣废液、含放射性废渣废液、含病原体污水、工业废渣以及其他废弃物；</w:t>
                  </w:r>
                </w:p>
                <w:p w14:paraId="193C7D84">
                  <w:pPr>
                    <w:snapToGrid w:val="0"/>
                    <w:spacing w:line="240" w:lineRule="auto"/>
                    <w:ind w:firstLine="420" w:firstLineChars="200"/>
                    <w:jc w:val="left"/>
                    <w:rPr>
                      <w:bCs/>
                      <w:sz w:val="21"/>
                      <w:szCs w:val="21"/>
                    </w:rPr>
                  </w:pPr>
                  <w:r>
                    <w:rPr>
                      <w:bCs/>
                      <w:sz w:val="21"/>
                      <w:szCs w:val="21"/>
                    </w:rPr>
                    <w:t>（四）在水体清洗装贮过油类或者有毒有害污染物的车辆、船舶和容器等；</w:t>
                  </w:r>
                </w:p>
                <w:p w14:paraId="6A036914">
                  <w:pPr>
                    <w:snapToGrid w:val="0"/>
                    <w:spacing w:line="240" w:lineRule="auto"/>
                    <w:ind w:firstLine="420" w:firstLineChars="200"/>
                    <w:jc w:val="left"/>
                    <w:rPr>
                      <w:bCs/>
                      <w:sz w:val="21"/>
                      <w:szCs w:val="21"/>
                    </w:rPr>
                  </w:pPr>
                  <w:r>
                    <w:rPr>
                      <w:bCs/>
                      <w:sz w:val="21"/>
                      <w:szCs w:val="21"/>
                    </w:rPr>
                    <w:t>（五）使用农药等有毒物毒杀水生生物；</w:t>
                  </w:r>
                </w:p>
                <w:p w14:paraId="53A0C683">
                  <w:pPr>
                    <w:snapToGrid w:val="0"/>
                    <w:spacing w:line="240" w:lineRule="auto"/>
                    <w:ind w:firstLine="420" w:firstLineChars="200"/>
                    <w:jc w:val="left"/>
                    <w:rPr>
                      <w:bCs/>
                      <w:sz w:val="21"/>
                      <w:szCs w:val="21"/>
                    </w:rPr>
                  </w:pPr>
                  <w:r>
                    <w:rPr>
                      <w:bCs/>
                      <w:sz w:val="21"/>
                      <w:szCs w:val="21"/>
                    </w:rPr>
                    <w:t>（六）向水体直接排放人畜粪便、倾倒垃圾；</w:t>
                  </w:r>
                </w:p>
                <w:p w14:paraId="0C22BAA7">
                  <w:pPr>
                    <w:snapToGrid w:val="0"/>
                    <w:spacing w:line="240" w:lineRule="auto"/>
                    <w:ind w:firstLine="420" w:firstLineChars="200"/>
                    <w:jc w:val="left"/>
                    <w:rPr>
                      <w:bCs/>
                      <w:sz w:val="21"/>
                      <w:szCs w:val="21"/>
                    </w:rPr>
                  </w:pPr>
                  <w:r>
                    <w:rPr>
                      <w:bCs/>
                      <w:sz w:val="21"/>
                      <w:szCs w:val="21"/>
                    </w:rPr>
                    <w:t>（七）围湖造地；</w:t>
                  </w:r>
                </w:p>
                <w:p w14:paraId="211AF526">
                  <w:pPr>
                    <w:snapToGrid w:val="0"/>
                    <w:spacing w:line="240" w:lineRule="auto"/>
                    <w:ind w:firstLine="420" w:firstLineChars="200"/>
                    <w:jc w:val="left"/>
                    <w:rPr>
                      <w:bCs/>
                      <w:sz w:val="21"/>
                      <w:szCs w:val="21"/>
                    </w:rPr>
                  </w:pPr>
                  <w:r>
                    <w:rPr>
                      <w:bCs/>
                      <w:sz w:val="21"/>
                      <w:szCs w:val="21"/>
                    </w:rPr>
                    <w:t>（八）违法开山采石，或者进行破坏林木、植被、水生生物的活动；</w:t>
                  </w:r>
                </w:p>
                <w:p w14:paraId="2E389EF0">
                  <w:pPr>
                    <w:snapToGrid w:val="0"/>
                    <w:spacing w:line="240" w:lineRule="auto"/>
                    <w:ind w:firstLine="420" w:firstLineChars="200"/>
                    <w:jc w:val="left"/>
                    <w:rPr>
                      <w:sz w:val="21"/>
                      <w:szCs w:val="21"/>
                    </w:rPr>
                  </w:pPr>
                  <w:r>
                    <w:rPr>
                      <w:bCs/>
                      <w:sz w:val="21"/>
                      <w:szCs w:val="21"/>
                    </w:rPr>
                    <w:t>（九）法律、法规禁止的其他行为。</w:t>
                  </w:r>
                </w:p>
              </w:tc>
              <w:tc>
                <w:tcPr>
                  <w:tcW w:w="1426" w:type="pct"/>
                  <w:vMerge w:val="restart"/>
                  <w:vAlign w:val="center"/>
                </w:tcPr>
                <w:p w14:paraId="12922D71">
                  <w:pPr>
                    <w:snapToGrid w:val="0"/>
                    <w:spacing w:line="240" w:lineRule="auto"/>
                    <w:jc w:val="center"/>
                    <w:rPr>
                      <w:sz w:val="21"/>
                      <w:szCs w:val="21"/>
                    </w:rPr>
                  </w:pPr>
                  <w:r>
                    <w:rPr>
                      <w:bCs/>
                      <w:sz w:val="21"/>
                      <w:szCs w:val="21"/>
                    </w:rPr>
                    <w:t>根据《省政府办公厅关于公布江苏省太湖流域三级保护区范围的通知》（苏政办发</w:t>
                  </w:r>
                  <w:r>
                    <w:rPr>
                      <w:rFonts w:hint="eastAsia"/>
                      <w:bCs/>
                      <w:sz w:val="21"/>
                      <w:szCs w:val="21"/>
                      <w:lang w:eastAsia="zh-CN"/>
                    </w:rPr>
                    <w:t>〔2012〕221号</w:t>
                  </w:r>
                  <w:r>
                    <w:rPr>
                      <w:bCs/>
                      <w:sz w:val="21"/>
                      <w:szCs w:val="21"/>
                    </w:rPr>
                    <w:t>），本项目所在地属于太湖流域三级保护区，本项目不排放含氮、磷的工业废水，生活污水排入市政污水管网，接管</w:t>
                  </w:r>
                  <w:r>
                    <w:rPr>
                      <w:rFonts w:hint="eastAsia"/>
                      <w:bCs/>
                      <w:sz w:val="21"/>
                      <w:szCs w:val="21"/>
                    </w:rPr>
                    <w:t>至</w:t>
                  </w:r>
                  <w:r>
                    <w:rPr>
                      <w:bCs/>
                      <w:sz w:val="21"/>
                      <w:szCs w:val="21"/>
                    </w:rPr>
                    <w:t>污水处理厂集中处理，不单独设置排污口，不属于《江苏省太湖水污染防治条例》第四十三条规定的太湖流域一、二、三级保护区禁止的行为。</w:t>
                  </w:r>
                </w:p>
              </w:tc>
            </w:tr>
            <w:tr w14:paraId="61190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71CC5FC8">
                  <w:pPr>
                    <w:snapToGrid w:val="0"/>
                    <w:spacing w:line="240" w:lineRule="auto"/>
                    <w:jc w:val="center"/>
                    <w:rPr>
                      <w:bCs/>
                      <w:sz w:val="21"/>
                      <w:szCs w:val="21"/>
                    </w:rPr>
                  </w:pPr>
                  <w:r>
                    <w:rPr>
                      <w:rFonts w:hint="eastAsia"/>
                      <w:bCs/>
                      <w:sz w:val="21"/>
                      <w:szCs w:val="21"/>
                    </w:rPr>
                    <w:t>第四十六条</w:t>
                  </w:r>
                </w:p>
              </w:tc>
              <w:tc>
                <w:tcPr>
                  <w:tcW w:w="2979" w:type="pct"/>
                  <w:gridSpan w:val="4"/>
                  <w:vAlign w:val="center"/>
                </w:tcPr>
                <w:p w14:paraId="0600D1E8">
                  <w:pPr>
                    <w:snapToGrid w:val="0"/>
                    <w:spacing w:line="240" w:lineRule="auto"/>
                    <w:ind w:firstLine="420" w:firstLineChars="200"/>
                    <w:jc w:val="left"/>
                    <w:rPr>
                      <w:bCs/>
                      <w:sz w:val="21"/>
                      <w:szCs w:val="21"/>
                    </w:rPr>
                  </w:pPr>
                  <w:r>
                    <w:rPr>
                      <w:rFonts w:hint="eastAsia"/>
                      <w:bCs/>
                      <w:sz w:val="21"/>
                      <w:szCs w:val="21"/>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p>
              </w:tc>
              <w:tc>
                <w:tcPr>
                  <w:tcW w:w="1426" w:type="pct"/>
                  <w:vMerge w:val="continue"/>
                  <w:vAlign w:val="center"/>
                </w:tcPr>
                <w:p w14:paraId="7537450D">
                  <w:pPr>
                    <w:snapToGrid w:val="0"/>
                    <w:spacing w:line="240" w:lineRule="auto"/>
                    <w:ind w:firstLine="420" w:firstLineChars="200"/>
                    <w:jc w:val="left"/>
                    <w:rPr>
                      <w:bCs/>
                      <w:sz w:val="21"/>
                      <w:szCs w:val="21"/>
                    </w:rPr>
                  </w:pPr>
                </w:p>
              </w:tc>
            </w:tr>
            <w:tr w14:paraId="17EEA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1CE92CC9">
                  <w:pPr>
                    <w:snapToGrid w:val="0"/>
                    <w:spacing w:line="240" w:lineRule="auto"/>
                    <w:jc w:val="center"/>
                    <w:rPr>
                      <w:b/>
                      <w:bCs/>
                      <w:sz w:val="21"/>
                      <w:szCs w:val="21"/>
                    </w:rPr>
                  </w:pPr>
                  <w:r>
                    <w:rPr>
                      <w:b/>
                      <w:sz w:val="21"/>
                      <w:szCs w:val="21"/>
                    </w:rPr>
                    <w:t>太湖流域管理条例</w:t>
                  </w:r>
                </w:p>
              </w:tc>
            </w:tr>
            <w:tr w14:paraId="17052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4195E3AE">
                  <w:pPr>
                    <w:snapToGrid w:val="0"/>
                    <w:spacing w:line="240" w:lineRule="auto"/>
                    <w:jc w:val="center"/>
                    <w:rPr>
                      <w:bCs/>
                      <w:sz w:val="21"/>
                      <w:szCs w:val="21"/>
                    </w:rPr>
                  </w:pPr>
                  <w:r>
                    <w:rPr>
                      <w:bCs/>
                      <w:sz w:val="21"/>
                      <w:szCs w:val="21"/>
                    </w:rPr>
                    <w:t>第二十八条</w:t>
                  </w:r>
                </w:p>
              </w:tc>
              <w:tc>
                <w:tcPr>
                  <w:tcW w:w="2979" w:type="pct"/>
                  <w:gridSpan w:val="4"/>
                  <w:vAlign w:val="center"/>
                </w:tcPr>
                <w:p w14:paraId="6DB34D04">
                  <w:pPr>
                    <w:snapToGrid w:val="0"/>
                    <w:spacing w:line="240" w:lineRule="auto"/>
                    <w:ind w:firstLine="420" w:firstLineChars="200"/>
                    <w:jc w:val="left"/>
                    <w:rPr>
                      <w:bCs/>
                      <w:sz w:val="21"/>
                      <w:szCs w:val="21"/>
                    </w:rPr>
                  </w:pPr>
                  <w:r>
                    <w:rPr>
                      <w:bCs/>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3951CF7D">
                  <w:pPr>
                    <w:snapToGrid w:val="0"/>
                    <w:spacing w:line="240" w:lineRule="auto"/>
                    <w:ind w:firstLine="420" w:firstLineChars="200"/>
                    <w:jc w:val="left"/>
                    <w:rPr>
                      <w:bCs/>
                      <w:sz w:val="21"/>
                      <w:szCs w:val="21"/>
                    </w:rPr>
                  </w:pPr>
                  <w:r>
                    <w:rPr>
                      <w:bCs/>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585205E7">
                  <w:pPr>
                    <w:snapToGrid w:val="0"/>
                    <w:spacing w:line="240" w:lineRule="auto"/>
                    <w:ind w:firstLine="420" w:firstLineChars="200"/>
                    <w:jc w:val="left"/>
                    <w:rPr>
                      <w:sz w:val="21"/>
                      <w:szCs w:val="21"/>
                    </w:rPr>
                  </w:pPr>
                  <w:r>
                    <w:rPr>
                      <w:bCs/>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426" w:type="pct"/>
                  <w:vMerge w:val="restart"/>
                  <w:vAlign w:val="center"/>
                </w:tcPr>
                <w:p w14:paraId="50319FB7">
                  <w:pPr>
                    <w:snapToGrid w:val="0"/>
                    <w:spacing w:line="240" w:lineRule="auto"/>
                    <w:jc w:val="center"/>
                    <w:rPr>
                      <w:sz w:val="21"/>
                      <w:szCs w:val="21"/>
                    </w:rPr>
                  </w:pPr>
                  <w:r>
                    <w:rPr>
                      <w:bCs/>
                      <w:sz w:val="21"/>
                      <w:szCs w:val="21"/>
                    </w:rPr>
                    <w:t>本项目不属于条款中所示的范围内，本项目不属于化工、医药及水产养殖项目，不新建排污口，不属于</w:t>
                  </w:r>
                  <w:r>
                    <w:rPr>
                      <w:sz w:val="21"/>
                      <w:szCs w:val="21"/>
                    </w:rPr>
                    <w:t>《太湖流域管理条例》</w:t>
                  </w:r>
                  <w:r>
                    <w:rPr>
                      <w:bCs/>
                      <w:sz w:val="21"/>
                      <w:szCs w:val="21"/>
                    </w:rPr>
                    <w:t>第二十八条、第二十九条，第三十条规定的禁止的行为。</w:t>
                  </w:r>
                </w:p>
              </w:tc>
            </w:tr>
            <w:tr w14:paraId="31597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3C34E135">
                  <w:pPr>
                    <w:snapToGrid w:val="0"/>
                    <w:spacing w:line="240" w:lineRule="auto"/>
                    <w:jc w:val="center"/>
                    <w:rPr>
                      <w:bCs/>
                      <w:sz w:val="21"/>
                      <w:szCs w:val="21"/>
                    </w:rPr>
                  </w:pPr>
                  <w:r>
                    <w:rPr>
                      <w:bCs/>
                      <w:sz w:val="21"/>
                      <w:szCs w:val="21"/>
                    </w:rPr>
                    <w:t>第二十九条</w:t>
                  </w:r>
                </w:p>
              </w:tc>
              <w:tc>
                <w:tcPr>
                  <w:tcW w:w="2979" w:type="pct"/>
                  <w:gridSpan w:val="4"/>
                  <w:vAlign w:val="center"/>
                </w:tcPr>
                <w:p w14:paraId="122269A6">
                  <w:pPr>
                    <w:snapToGrid w:val="0"/>
                    <w:spacing w:line="240" w:lineRule="auto"/>
                    <w:ind w:firstLine="420" w:firstLineChars="200"/>
                    <w:jc w:val="left"/>
                    <w:rPr>
                      <w:bCs/>
                      <w:sz w:val="21"/>
                      <w:szCs w:val="21"/>
                    </w:rPr>
                  </w:pPr>
                  <w:r>
                    <w:rPr>
                      <w:bCs/>
                      <w:sz w:val="21"/>
                      <w:szCs w:val="21"/>
                    </w:rPr>
                    <w:t>新孟河、望虞河以外的其他主要入太湖河道，自河口1万m上溯至5万m河道岸线内及其岸线两侧各1000m范围内，禁止下列行为：</w:t>
                  </w:r>
                </w:p>
                <w:p w14:paraId="2A9F176D">
                  <w:pPr>
                    <w:snapToGrid w:val="0"/>
                    <w:spacing w:line="240" w:lineRule="auto"/>
                    <w:ind w:firstLine="420" w:firstLineChars="200"/>
                    <w:jc w:val="left"/>
                    <w:rPr>
                      <w:bCs/>
                      <w:sz w:val="21"/>
                      <w:szCs w:val="21"/>
                    </w:rPr>
                  </w:pPr>
                  <w:r>
                    <w:rPr>
                      <w:bCs/>
                      <w:sz w:val="21"/>
                      <w:szCs w:val="21"/>
                    </w:rPr>
                    <w:t>（一）新建、扩建化工、医药生产项目；</w:t>
                  </w:r>
                </w:p>
                <w:p w14:paraId="7B3919A5">
                  <w:pPr>
                    <w:snapToGrid w:val="0"/>
                    <w:spacing w:line="240" w:lineRule="auto"/>
                    <w:ind w:firstLine="420" w:firstLineChars="200"/>
                    <w:jc w:val="left"/>
                    <w:rPr>
                      <w:bCs/>
                      <w:sz w:val="21"/>
                      <w:szCs w:val="21"/>
                    </w:rPr>
                  </w:pPr>
                  <w:r>
                    <w:rPr>
                      <w:bCs/>
                      <w:sz w:val="21"/>
                      <w:szCs w:val="21"/>
                    </w:rPr>
                    <w:t>（二）新建、扩建污水集中处理设施排污口以外的排污口；</w:t>
                  </w:r>
                </w:p>
                <w:p w14:paraId="6CDB0D43">
                  <w:pPr>
                    <w:snapToGrid w:val="0"/>
                    <w:spacing w:line="240" w:lineRule="auto"/>
                    <w:ind w:firstLine="420" w:firstLineChars="200"/>
                    <w:jc w:val="left"/>
                    <w:rPr>
                      <w:bCs/>
                      <w:sz w:val="21"/>
                      <w:szCs w:val="21"/>
                    </w:rPr>
                  </w:pPr>
                  <w:r>
                    <w:rPr>
                      <w:bCs/>
                      <w:sz w:val="21"/>
                      <w:szCs w:val="21"/>
                    </w:rPr>
                    <w:t>（三）扩大水产养殖规模。</w:t>
                  </w:r>
                </w:p>
              </w:tc>
              <w:tc>
                <w:tcPr>
                  <w:tcW w:w="1426" w:type="pct"/>
                  <w:vMerge w:val="continue"/>
                  <w:vAlign w:val="center"/>
                </w:tcPr>
                <w:p w14:paraId="5883C622">
                  <w:pPr>
                    <w:snapToGrid w:val="0"/>
                    <w:spacing w:line="240" w:lineRule="auto"/>
                    <w:jc w:val="center"/>
                    <w:rPr>
                      <w:bCs/>
                      <w:sz w:val="21"/>
                      <w:szCs w:val="21"/>
                    </w:rPr>
                  </w:pPr>
                </w:p>
              </w:tc>
            </w:tr>
            <w:tr w14:paraId="248BC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41CE2651">
                  <w:pPr>
                    <w:snapToGrid w:val="0"/>
                    <w:spacing w:line="240" w:lineRule="auto"/>
                    <w:jc w:val="center"/>
                    <w:rPr>
                      <w:bCs/>
                      <w:sz w:val="21"/>
                      <w:szCs w:val="21"/>
                    </w:rPr>
                  </w:pPr>
                  <w:r>
                    <w:rPr>
                      <w:bCs/>
                      <w:sz w:val="21"/>
                      <w:szCs w:val="21"/>
                    </w:rPr>
                    <w:t>第三十条</w:t>
                  </w:r>
                </w:p>
              </w:tc>
              <w:tc>
                <w:tcPr>
                  <w:tcW w:w="2979" w:type="pct"/>
                  <w:gridSpan w:val="4"/>
                  <w:vAlign w:val="center"/>
                </w:tcPr>
                <w:p w14:paraId="701E3E44">
                  <w:pPr>
                    <w:snapToGrid w:val="0"/>
                    <w:spacing w:line="240" w:lineRule="auto"/>
                    <w:ind w:firstLine="420" w:firstLineChars="200"/>
                    <w:jc w:val="left"/>
                    <w:rPr>
                      <w:bCs/>
                      <w:sz w:val="21"/>
                      <w:szCs w:val="21"/>
                    </w:rPr>
                  </w:pPr>
                  <w:r>
                    <w:rPr>
                      <w:bCs/>
                      <w:sz w:val="21"/>
                      <w:szCs w:val="21"/>
                    </w:rPr>
                    <w:t>太湖岸线内和岸线周边5000m范围内，淀山湖岸线内和岸线周边2000m范围内，太浦河、新孟河、望虞河岸线内和岸线两侧各1000m范围内，其他主要入太湖河道自河口上溯至1万m河道岸线内及其岸线两侧各1000m范围内，禁止下列行为：</w:t>
                  </w:r>
                </w:p>
                <w:p w14:paraId="1E8EAFCF">
                  <w:pPr>
                    <w:snapToGrid w:val="0"/>
                    <w:spacing w:line="240" w:lineRule="auto"/>
                    <w:ind w:firstLine="420" w:firstLineChars="200"/>
                    <w:jc w:val="left"/>
                    <w:rPr>
                      <w:bCs/>
                      <w:sz w:val="21"/>
                      <w:szCs w:val="21"/>
                    </w:rPr>
                  </w:pPr>
                  <w:r>
                    <w:rPr>
                      <w:bCs/>
                      <w:sz w:val="21"/>
                      <w:szCs w:val="21"/>
                    </w:rPr>
                    <w:t>（一）设置剧毒物质、危险化学品的贮存、输送设施和废物回收场、垃圾场；</w:t>
                  </w:r>
                </w:p>
                <w:p w14:paraId="4989CD5E">
                  <w:pPr>
                    <w:snapToGrid w:val="0"/>
                    <w:spacing w:line="240" w:lineRule="auto"/>
                    <w:ind w:firstLine="420" w:firstLineChars="200"/>
                    <w:jc w:val="left"/>
                    <w:rPr>
                      <w:bCs/>
                      <w:sz w:val="21"/>
                      <w:szCs w:val="21"/>
                    </w:rPr>
                  </w:pPr>
                  <w:r>
                    <w:rPr>
                      <w:bCs/>
                      <w:sz w:val="21"/>
                      <w:szCs w:val="21"/>
                    </w:rPr>
                    <w:t>（二）设置水上餐饮经营设施；</w:t>
                  </w:r>
                </w:p>
                <w:p w14:paraId="03C870EC">
                  <w:pPr>
                    <w:snapToGrid w:val="0"/>
                    <w:spacing w:line="240" w:lineRule="auto"/>
                    <w:ind w:firstLine="420" w:firstLineChars="200"/>
                    <w:jc w:val="left"/>
                    <w:rPr>
                      <w:bCs/>
                      <w:sz w:val="21"/>
                      <w:szCs w:val="21"/>
                    </w:rPr>
                  </w:pPr>
                  <w:r>
                    <w:rPr>
                      <w:bCs/>
                      <w:sz w:val="21"/>
                      <w:szCs w:val="21"/>
                    </w:rPr>
                    <w:t>（三）新建、扩建高尔夫球场；</w:t>
                  </w:r>
                </w:p>
                <w:p w14:paraId="4C6396F1">
                  <w:pPr>
                    <w:snapToGrid w:val="0"/>
                    <w:spacing w:line="240" w:lineRule="auto"/>
                    <w:ind w:firstLine="420" w:firstLineChars="200"/>
                    <w:jc w:val="left"/>
                    <w:rPr>
                      <w:bCs/>
                      <w:sz w:val="21"/>
                      <w:szCs w:val="21"/>
                    </w:rPr>
                  </w:pPr>
                  <w:r>
                    <w:rPr>
                      <w:bCs/>
                      <w:sz w:val="21"/>
                      <w:szCs w:val="21"/>
                    </w:rPr>
                    <w:t>（四）新建、扩建畜禽养殖场；</w:t>
                  </w:r>
                </w:p>
                <w:p w14:paraId="252E362D">
                  <w:pPr>
                    <w:snapToGrid w:val="0"/>
                    <w:spacing w:line="240" w:lineRule="auto"/>
                    <w:ind w:firstLine="420" w:firstLineChars="200"/>
                    <w:jc w:val="left"/>
                    <w:rPr>
                      <w:bCs/>
                      <w:sz w:val="21"/>
                      <w:szCs w:val="21"/>
                    </w:rPr>
                  </w:pPr>
                  <w:r>
                    <w:rPr>
                      <w:bCs/>
                      <w:sz w:val="21"/>
                      <w:szCs w:val="21"/>
                    </w:rPr>
                    <w:t>（五）新建、扩建向水体排放污染物的建设项目；</w:t>
                  </w:r>
                </w:p>
                <w:p w14:paraId="0254D477">
                  <w:pPr>
                    <w:snapToGrid w:val="0"/>
                    <w:spacing w:line="240" w:lineRule="auto"/>
                    <w:ind w:firstLine="420" w:firstLineChars="200"/>
                    <w:jc w:val="left"/>
                    <w:rPr>
                      <w:bCs/>
                      <w:sz w:val="21"/>
                      <w:szCs w:val="21"/>
                    </w:rPr>
                  </w:pPr>
                  <w:r>
                    <w:rPr>
                      <w:bCs/>
                      <w:sz w:val="21"/>
                      <w:szCs w:val="21"/>
                    </w:rPr>
                    <w:t>（六）本条例第二十九条规定的行为。</w:t>
                  </w:r>
                </w:p>
                <w:p w14:paraId="5D64007E">
                  <w:pPr>
                    <w:snapToGrid w:val="0"/>
                    <w:spacing w:line="240" w:lineRule="auto"/>
                    <w:ind w:firstLine="420" w:firstLineChars="200"/>
                    <w:jc w:val="left"/>
                    <w:rPr>
                      <w:bCs/>
                      <w:sz w:val="21"/>
                      <w:szCs w:val="21"/>
                    </w:rPr>
                  </w:pPr>
                  <w:r>
                    <w:rPr>
                      <w:bCs/>
                      <w:sz w:val="21"/>
                      <w:szCs w:val="21"/>
                    </w:rPr>
                    <w:t>已经设置前款第一项、第二项规定设施的，当地县级人民政府应当责令拆除或者关闭。</w:t>
                  </w:r>
                </w:p>
              </w:tc>
              <w:tc>
                <w:tcPr>
                  <w:tcW w:w="1426" w:type="pct"/>
                  <w:vMerge w:val="continue"/>
                  <w:vAlign w:val="center"/>
                </w:tcPr>
                <w:p w14:paraId="5B0CAB3E">
                  <w:pPr>
                    <w:snapToGrid w:val="0"/>
                    <w:spacing w:line="240" w:lineRule="auto"/>
                    <w:jc w:val="center"/>
                    <w:rPr>
                      <w:bCs/>
                      <w:sz w:val="21"/>
                      <w:szCs w:val="21"/>
                    </w:rPr>
                  </w:pPr>
                </w:p>
              </w:tc>
            </w:tr>
            <w:tr w14:paraId="0B671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8A9EC04">
                  <w:pPr>
                    <w:snapToGrid w:val="0"/>
                    <w:spacing w:line="240" w:lineRule="auto"/>
                    <w:jc w:val="center"/>
                    <w:rPr>
                      <w:bCs/>
                      <w:sz w:val="21"/>
                      <w:szCs w:val="21"/>
                    </w:rPr>
                  </w:pPr>
                  <w:r>
                    <w:rPr>
                      <w:b/>
                      <w:bCs/>
                      <w:sz w:val="21"/>
                      <w:szCs w:val="21"/>
                    </w:rPr>
                    <w:t>江苏省水污染防治条例（</w:t>
                  </w:r>
                  <w:r>
                    <w:rPr>
                      <w:b/>
                      <w:sz w:val="21"/>
                      <w:szCs w:val="21"/>
                      <w:shd w:val="clear" w:color="auto" w:fill="FFFFFF"/>
                    </w:rPr>
                    <w:t>江苏省人大常委会公告第48号</w:t>
                  </w:r>
                  <w:r>
                    <w:rPr>
                      <w:b/>
                      <w:bCs/>
                      <w:sz w:val="21"/>
                      <w:szCs w:val="21"/>
                    </w:rPr>
                    <w:t>）</w:t>
                  </w:r>
                </w:p>
              </w:tc>
            </w:tr>
            <w:tr w14:paraId="2A0F3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1" w:type="pct"/>
                  <w:vAlign w:val="center"/>
                </w:tcPr>
                <w:p w14:paraId="509B3C35">
                  <w:pPr>
                    <w:snapToGrid w:val="0"/>
                    <w:spacing w:line="240" w:lineRule="auto"/>
                    <w:jc w:val="center"/>
                    <w:rPr>
                      <w:bCs/>
                      <w:sz w:val="21"/>
                      <w:szCs w:val="21"/>
                    </w:rPr>
                  </w:pPr>
                  <w:r>
                    <w:rPr>
                      <w:sz w:val="21"/>
                      <w:szCs w:val="21"/>
                      <w:shd w:val="clear" w:color="auto" w:fill="FFFFFF"/>
                    </w:rPr>
                    <w:t>第二十三条</w:t>
                  </w:r>
                </w:p>
              </w:tc>
              <w:tc>
                <w:tcPr>
                  <w:tcW w:w="3161" w:type="pct"/>
                  <w:gridSpan w:val="5"/>
                  <w:vAlign w:val="center"/>
                </w:tcPr>
                <w:p w14:paraId="788A9169">
                  <w:pPr>
                    <w:snapToGrid w:val="0"/>
                    <w:spacing w:line="240" w:lineRule="auto"/>
                    <w:ind w:firstLine="420" w:firstLineChars="200"/>
                    <w:jc w:val="left"/>
                    <w:rPr>
                      <w:bCs/>
                      <w:sz w:val="21"/>
                      <w:szCs w:val="21"/>
                    </w:rPr>
                  </w:pPr>
                  <w:r>
                    <w:rPr>
                      <w:sz w:val="21"/>
                      <w:szCs w:val="21"/>
                      <w:shd w:val="clear" w:color="auto" w:fill="FFFFFF"/>
                    </w:rPr>
                    <w:t>禁止工业企业、宾馆、餐饮、洗涤等企业事业单位以及个人使用各类含磷洗涤用品。</w:t>
                  </w:r>
                </w:p>
              </w:tc>
              <w:tc>
                <w:tcPr>
                  <w:tcW w:w="1426" w:type="pct"/>
                  <w:vMerge w:val="restart"/>
                  <w:vAlign w:val="center"/>
                </w:tcPr>
                <w:p w14:paraId="07475EFF">
                  <w:pPr>
                    <w:snapToGrid w:val="0"/>
                    <w:spacing w:line="240" w:lineRule="auto"/>
                    <w:jc w:val="center"/>
                    <w:rPr>
                      <w:bCs/>
                      <w:sz w:val="21"/>
                      <w:szCs w:val="21"/>
                    </w:rPr>
                  </w:pPr>
                  <w:r>
                    <w:rPr>
                      <w:bCs/>
                      <w:sz w:val="21"/>
                      <w:szCs w:val="21"/>
                    </w:rPr>
                    <w:t>本项目不使用含磷洗涤用品，不涉及工业废水排放，厂区内已实行</w:t>
                  </w:r>
                  <w:r>
                    <w:rPr>
                      <w:rFonts w:hint="eastAsia" w:ascii="仿宋" w:hAnsi="仿宋" w:cs="仿宋"/>
                      <w:bCs/>
                      <w:sz w:val="21"/>
                      <w:szCs w:val="21"/>
                      <w:lang w:eastAsia="zh-CN"/>
                    </w:rPr>
                    <w:t>“</w:t>
                  </w:r>
                  <w:r>
                    <w:rPr>
                      <w:rFonts w:hint="eastAsia" w:ascii="仿宋" w:hAnsi="仿宋" w:cs="仿宋"/>
                      <w:bCs/>
                      <w:sz w:val="21"/>
                      <w:szCs w:val="21"/>
                    </w:rPr>
                    <w:t>雨污分流、清污分流</w:t>
                  </w:r>
                  <w:r>
                    <w:rPr>
                      <w:rFonts w:hint="eastAsia" w:ascii="仿宋" w:hAnsi="仿宋" w:cs="仿宋"/>
                      <w:bCs/>
                      <w:sz w:val="21"/>
                      <w:szCs w:val="21"/>
                      <w:lang w:eastAsia="zh-CN"/>
                    </w:rPr>
                    <w:t>”</w:t>
                  </w:r>
                  <w:r>
                    <w:rPr>
                      <w:bCs/>
                      <w:sz w:val="21"/>
                      <w:szCs w:val="21"/>
                    </w:rPr>
                    <w:t>，在</w:t>
                  </w:r>
                  <w:r>
                    <w:rPr>
                      <w:rFonts w:hint="eastAsia"/>
                      <w:bCs/>
                      <w:sz w:val="21"/>
                      <w:szCs w:val="21"/>
                    </w:rPr>
                    <w:t>雨水排放口、生活污水</w:t>
                  </w:r>
                  <w:r>
                    <w:rPr>
                      <w:bCs/>
                      <w:sz w:val="21"/>
                      <w:szCs w:val="21"/>
                    </w:rPr>
                    <w:t>接管口设置标识牌。</w:t>
                  </w:r>
                  <w:r>
                    <w:rPr>
                      <w:rFonts w:hint="eastAsia"/>
                      <w:bCs/>
                      <w:sz w:val="21"/>
                      <w:szCs w:val="21"/>
                    </w:rPr>
                    <w:t>本公司不属于化工、电镀企业，不对初期雨水进行收集处理。</w:t>
                  </w:r>
                </w:p>
              </w:tc>
            </w:tr>
            <w:tr w14:paraId="38937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1" w:type="pct"/>
                  <w:vAlign w:val="center"/>
                </w:tcPr>
                <w:p w14:paraId="574407A1">
                  <w:pPr>
                    <w:snapToGrid w:val="0"/>
                    <w:spacing w:line="240" w:lineRule="auto"/>
                    <w:jc w:val="center"/>
                    <w:rPr>
                      <w:bCs/>
                      <w:sz w:val="21"/>
                      <w:szCs w:val="21"/>
                    </w:rPr>
                  </w:pPr>
                  <w:r>
                    <w:rPr>
                      <w:sz w:val="21"/>
                      <w:szCs w:val="21"/>
                      <w:shd w:val="clear" w:color="auto" w:fill="FFFFFF"/>
                    </w:rPr>
                    <w:t>第二十六条</w:t>
                  </w:r>
                </w:p>
              </w:tc>
              <w:tc>
                <w:tcPr>
                  <w:tcW w:w="3161" w:type="pct"/>
                  <w:gridSpan w:val="5"/>
                  <w:vAlign w:val="center"/>
                </w:tcPr>
                <w:p w14:paraId="321E3849">
                  <w:pPr>
                    <w:snapToGrid w:val="0"/>
                    <w:spacing w:line="240" w:lineRule="auto"/>
                    <w:ind w:firstLine="420" w:firstLineChars="200"/>
                    <w:jc w:val="left"/>
                    <w:rPr>
                      <w:sz w:val="21"/>
                      <w:szCs w:val="21"/>
                      <w:shd w:val="clear" w:color="auto" w:fill="FFFFFF"/>
                    </w:rPr>
                  </w:pPr>
                  <w:r>
                    <w:rPr>
                      <w:sz w:val="21"/>
                      <w:szCs w:val="21"/>
                      <w:shd w:val="clear" w:color="auto" w:fill="FFFFFF"/>
                    </w:rPr>
                    <w:t>向污水集中处理设施排放工业废水的，应当按照国家和省有关规定进行预处理，符合国家、省有关标准和污水集中处理设施的接纳要求。污水集中处理设施尾水，可以采取生态净化等方式处理后排放。</w:t>
                  </w:r>
                </w:p>
                <w:p w14:paraId="15E3D168">
                  <w:pPr>
                    <w:snapToGrid w:val="0"/>
                    <w:spacing w:line="240" w:lineRule="auto"/>
                    <w:ind w:firstLine="420" w:firstLineChars="200"/>
                    <w:jc w:val="left"/>
                    <w:rPr>
                      <w:bCs/>
                      <w:sz w:val="21"/>
                      <w:szCs w:val="21"/>
                    </w:rPr>
                  </w:pPr>
                  <w:r>
                    <w:rPr>
                      <w:sz w:val="21"/>
                      <w:szCs w:val="21"/>
                      <w:shd w:val="clear" w:color="auto" w:fill="FFFFFF"/>
                    </w:rPr>
                    <w:t>实行工业废水与生活污水分质处理，对不符合城镇污水集中处理设施接纳要求的工业废水，限期退出城镇污水管网。</w:t>
                  </w:r>
                </w:p>
              </w:tc>
              <w:tc>
                <w:tcPr>
                  <w:tcW w:w="1426" w:type="pct"/>
                  <w:vMerge w:val="continue"/>
                  <w:vAlign w:val="center"/>
                </w:tcPr>
                <w:p w14:paraId="0DA5EC46">
                  <w:pPr>
                    <w:widowControl/>
                    <w:spacing w:line="240" w:lineRule="auto"/>
                    <w:jc w:val="left"/>
                    <w:rPr>
                      <w:bCs/>
                      <w:sz w:val="21"/>
                      <w:szCs w:val="21"/>
                    </w:rPr>
                  </w:pPr>
                </w:p>
              </w:tc>
            </w:tr>
            <w:tr w14:paraId="630AD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1" w:type="pct"/>
                  <w:vAlign w:val="center"/>
                </w:tcPr>
                <w:p w14:paraId="636FA32B">
                  <w:pPr>
                    <w:snapToGrid w:val="0"/>
                    <w:spacing w:line="240" w:lineRule="auto"/>
                    <w:jc w:val="center"/>
                    <w:rPr>
                      <w:bCs/>
                      <w:sz w:val="21"/>
                      <w:szCs w:val="21"/>
                    </w:rPr>
                  </w:pPr>
                  <w:r>
                    <w:rPr>
                      <w:sz w:val="21"/>
                      <w:szCs w:val="21"/>
                      <w:shd w:val="clear" w:color="auto" w:fill="FFFFFF"/>
                    </w:rPr>
                    <w:t>第二十九条</w:t>
                  </w:r>
                </w:p>
              </w:tc>
              <w:tc>
                <w:tcPr>
                  <w:tcW w:w="3161" w:type="pct"/>
                  <w:gridSpan w:val="5"/>
                  <w:vAlign w:val="center"/>
                </w:tcPr>
                <w:p w14:paraId="60520D92">
                  <w:pPr>
                    <w:snapToGrid w:val="0"/>
                    <w:spacing w:line="240" w:lineRule="auto"/>
                    <w:ind w:firstLine="420" w:firstLineChars="200"/>
                    <w:jc w:val="left"/>
                    <w:rPr>
                      <w:sz w:val="21"/>
                      <w:szCs w:val="21"/>
                      <w:shd w:val="clear" w:color="auto" w:fill="FFFFFF"/>
                    </w:rPr>
                  </w:pPr>
                  <w:r>
                    <w:rPr>
                      <w:sz w:val="21"/>
                      <w:szCs w:val="21"/>
                      <w:shd w:val="clear" w:color="auto" w:fill="FFFFFF"/>
                    </w:rPr>
                    <w:t>排放工业废水的工业企业应当逐步实行雨污分流、清污分流。化工、电镀等企业应当将初期雨水收集处理，不得直接排放。</w:t>
                  </w:r>
                </w:p>
                <w:p w14:paraId="28CAACA6">
                  <w:pPr>
                    <w:snapToGrid w:val="0"/>
                    <w:spacing w:line="240" w:lineRule="auto"/>
                    <w:ind w:firstLine="420" w:firstLineChars="200"/>
                    <w:jc w:val="left"/>
                    <w:rPr>
                      <w:bCs/>
                      <w:sz w:val="21"/>
                      <w:szCs w:val="21"/>
                    </w:rPr>
                  </w:pPr>
                  <w:r>
                    <w:rPr>
                      <w:sz w:val="21"/>
                      <w:szCs w:val="21"/>
                      <w:shd w:val="clear" w:color="auto" w:fill="FFFFFF"/>
                    </w:rPr>
                    <w:t>实施雨污分流、清污分流的工业企业应当按照有关规定标识雨水管、清下水管、污水管的走向，在雨水、污水排放口或者接管口设置标识牌。</w:t>
                  </w:r>
                </w:p>
              </w:tc>
              <w:tc>
                <w:tcPr>
                  <w:tcW w:w="1426" w:type="pct"/>
                  <w:vMerge w:val="continue"/>
                  <w:vAlign w:val="center"/>
                </w:tcPr>
                <w:p w14:paraId="1807641C">
                  <w:pPr>
                    <w:widowControl/>
                    <w:spacing w:line="240" w:lineRule="auto"/>
                    <w:jc w:val="left"/>
                    <w:rPr>
                      <w:bCs/>
                      <w:sz w:val="21"/>
                      <w:szCs w:val="21"/>
                    </w:rPr>
                  </w:pPr>
                </w:p>
              </w:tc>
            </w:tr>
            <w:tr w14:paraId="045E4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5C1FE36">
                  <w:pPr>
                    <w:widowControl/>
                    <w:spacing w:line="240" w:lineRule="auto"/>
                    <w:jc w:val="center"/>
                    <w:rPr>
                      <w:bCs/>
                      <w:sz w:val="21"/>
                      <w:szCs w:val="21"/>
                    </w:rPr>
                  </w:pPr>
                  <w:r>
                    <w:rPr>
                      <w:b/>
                      <w:sz w:val="21"/>
                      <w:szCs w:val="21"/>
                    </w:rPr>
                    <w:t>国家发展改革委等部门《关于印发太湖流域水环境综合治理总体方案的通知》（发改地区</w:t>
                  </w:r>
                  <w:r>
                    <w:rPr>
                      <w:rFonts w:hint="eastAsia"/>
                      <w:b/>
                      <w:sz w:val="21"/>
                      <w:szCs w:val="21"/>
                      <w:lang w:eastAsia="zh-CN"/>
                    </w:rPr>
                    <w:t>〔2022〕959号</w:t>
                  </w:r>
                  <w:r>
                    <w:rPr>
                      <w:b/>
                      <w:sz w:val="21"/>
                      <w:szCs w:val="21"/>
                    </w:rPr>
                    <w:t>）</w:t>
                  </w:r>
                </w:p>
              </w:tc>
            </w:tr>
            <w:tr w14:paraId="2DFEE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1" w:type="pct"/>
                  <w:vAlign w:val="center"/>
                </w:tcPr>
                <w:p w14:paraId="322D4513">
                  <w:pPr>
                    <w:snapToGrid w:val="0"/>
                    <w:spacing w:line="240" w:lineRule="auto"/>
                    <w:jc w:val="center"/>
                    <w:rPr>
                      <w:sz w:val="21"/>
                      <w:szCs w:val="21"/>
                      <w:shd w:val="clear" w:color="auto" w:fill="FFFFFF"/>
                    </w:rPr>
                  </w:pPr>
                  <w:r>
                    <w:rPr>
                      <w:sz w:val="21"/>
                      <w:szCs w:val="21"/>
                      <w:shd w:val="clear" w:color="auto" w:fill="FFFFFF"/>
                    </w:rPr>
                    <w:t>第三章 第一节 深化工业污染治理</w:t>
                  </w:r>
                </w:p>
              </w:tc>
              <w:tc>
                <w:tcPr>
                  <w:tcW w:w="3161" w:type="pct"/>
                  <w:gridSpan w:val="5"/>
                  <w:vAlign w:val="center"/>
                </w:tcPr>
                <w:p w14:paraId="335A5A0B">
                  <w:pPr>
                    <w:snapToGrid w:val="0"/>
                    <w:spacing w:line="240" w:lineRule="auto"/>
                    <w:ind w:firstLine="420" w:firstLineChars="200"/>
                    <w:jc w:val="left"/>
                    <w:rPr>
                      <w:sz w:val="21"/>
                      <w:szCs w:val="21"/>
                      <w:shd w:val="clear" w:color="auto" w:fill="FFFFFF"/>
                    </w:rPr>
                  </w:pPr>
                  <w:r>
                    <w:rPr>
                      <w:sz w:val="21"/>
                      <w:szCs w:val="21"/>
                      <w:shd w:val="clear" w:color="auto" w:fill="FFFFFF"/>
                    </w:rPr>
                    <w:t>督促企业依法持证排污、按证排污，严格落实总磷许可排放浓度和许可排放量要求。持续强化涉水行业污染整治，基于水生态环境质量改善需要，大力推进印染、化工、造纸、钢铁、电镀、食品</w:t>
                  </w:r>
                  <w:r>
                    <w:rPr>
                      <w:rFonts w:hint="eastAsia"/>
                      <w:sz w:val="21"/>
                      <w:szCs w:val="21"/>
                      <w:shd w:val="clear" w:color="auto" w:fill="FFFFFF"/>
                    </w:rPr>
                    <w:t>（</w:t>
                  </w:r>
                  <w:r>
                    <w:rPr>
                      <w:sz w:val="21"/>
                      <w:szCs w:val="21"/>
                      <w:shd w:val="clear" w:color="auto" w:fill="FFFFFF"/>
                    </w:rPr>
                    <w:t>啤酒、味精</w:t>
                  </w:r>
                  <w:r>
                    <w:rPr>
                      <w:rFonts w:hint="eastAsia"/>
                      <w:sz w:val="21"/>
                      <w:szCs w:val="21"/>
                      <w:shd w:val="clear" w:color="auto" w:fill="FFFFFF"/>
                    </w:rPr>
                    <w:t>）</w:t>
                  </w:r>
                  <w:r>
                    <w:rPr>
                      <w:sz w:val="21"/>
                      <w:szCs w:val="21"/>
                      <w:shd w:val="clear" w:color="auto" w:fill="FFFFFF"/>
                    </w:rPr>
                    <w:t>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tc>
              <w:tc>
                <w:tcPr>
                  <w:tcW w:w="1426" w:type="pct"/>
                  <w:vAlign w:val="center"/>
                </w:tcPr>
                <w:p w14:paraId="15BF93DB">
                  <w:pPr>
                    <w:widowControl/>
                    <w:spacing w:line="240" w:lineRule="auto"/>
                    <w:jc w:val="left"/>
                    <w:rPr>
                      <w:bCs/>
                      <w:sz w:val="21"/>
                      <w:szCs w:val="21"/>
                    </w:rPr>
                  </w:pPr>
                  <w:r>
                    <w:rPr>
                      <w:bCs/>
                      <w:sz w:val="21"/>
                      <w:szCs w:val="21"/>
                    </w:rPr>
                    <w:t>本项目无生产废水排放</w:t>
                  </w:r>
                  <w:r>
                    <w:rPr>
                      <w:rFonts w:hint="eastAsia"/>
                      <w:bCs/>
                      <w:sz w:val="21"/>
                      <w:szCs w:val="21"/>
                    </w:rPr>
                    <w:t>，</w:t>
                  </w:r>
                  <w:r>
                    <w:rPr>
                      <w:bCs/>
                      <w:sz w:val="21"/>
                      <w:szCs w:val="21"/>
                    </w:rPr>
                    <w:t>生活污水接管至</w:t>
                  </w:r>
                  <w:r>
                    <w:rPr>
                      <w:rFonts w:hint="eastAsia"/>
                      <w:bCs/>
                      <w:sz w:val="21"/>
                      <w:szCs w:val="21"/>
                    </w:rPr>
                    <w:t>常州东方横山水处理有限公司</w:t>
                  </w:r>
                  <w:r>
                    <w:rPr>
                      <w:bCs/>
                      <w:sz w:val="21"/>
                      <w:szCs w:val="21"/>
                    </w:rPr>
                    <w:t>处理，与文件相符。</w:t>
                  </w:r>
                  <w:r>
                    <w:rPr>
                      <w:rFonts w:hint="eastAsia"/>
                      <w:bCs/>
                      <w:sz w:val="21"/>
                      <w:szCs w:val="21"/>
                    </w:rPr>
                    <w:t>本公司不属于化工企业，不位于化工园区，不对初期雨水进行收集处理。</w:t>
                  </w:r>
                </w:p>
              </w:tc>
            </w:tr>
            <w:tr w14:paraId="58DFB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1" w:type="pct"/>
                  <w:vAlign w:val="center"/>
                </w:tcPr>
                <w:p w14:paraId="0317AE40">
                  <w:pPr>
                    <w:snapToGrid w:val="0"/>
                    <w:spacing w:line="240" w:lineRule="auto"/>
                    <w:jc w:val="center"/>
                    <w:rPr>
                      <w:sz w:val="21"/>
                      <w:szCs w:val="21"/>
                      <w:shd w:val="clear" w:color="auto" w:fill="FFFFFF"/>
                    </w:rPr>
                  </w:pPr>
                  <w:r>
                    <w:rPr>
                      <w:sz w:val="21"/>
                      <w:szCs w:val="21"/>
                      <w:shd w:val="clear" w:color="auto" w:fill="FFFFFF"/>
                    </w:rPr>
                    <w:t>第六章 第一节 引导产业合理布局</w:t>
                  </w:r>
                </w:p>
              </w:tc>
              <w:tc>
                <w:tcPr>
                  <w:tcW w:w="3161" w:type="pct"/>
                  <w:gridSpan w:val="5"/>
                  <w:vAlign w:val="center"/>
                </w:tcPr>
                <w:p w14:paraId="5AF13F3A">
                  <w:pPr>
                    <w:snapToGrid w:val="0"/>
                    <w:spacing w:line="240" w:lineRule="auto"/>
                    <w:ind w:firstLine="420" w:firstLineChars="200"/>
                    <w:jc w:val="left"/>
                    <w:rPr>
                      <w:sz w:val="21"/>
                      <w:szCs w:val="21"/>
                      <w:shd w:val="clear" w:color="auto" w:fill="FFFFFF"/>
                    </w:rPr>
                  </w:pPr>
                  <w:r>
                    <w:rPr>
                      <w:sz w:val="21"/>
                      <w:szCs w:val="21"/>
                      <w:shd w:val="clear" w:color="auto" w:fill="FFFFFF"/>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w:t>
                  </w:r>
                </w:p>
                <w:p w14:paraId="1F3E5564">
                  <w:pPr>
                    <w:snapToGrid w:val="0"/>
                    <w:spacing w:line="240" w:lineRule="auto"/>
                    <w:ind w:firstLine="420" w:firstLineChars="200"/>
                    <w:jc w:val="left"/>
                    <w:rPr>
                      <w:sz w:val="21"/>
                      <w:szCs w:val="21"/>
                      <w:shd w:val="clear" w:color="auto" w:fill="FFFFFF"/>
                    </w:rPr>
                  </w:pPr>
                  <w:r>
                    <w:rPr>
                      <w:sz w:val="21"/>
                      <w:szCs w:val="21"/>
                      <w:shd w:val="clear" w:color="auto" w:fill="FFFFFF"/>
                    </w:rPr>
                    <w:t>环太湖地区重点布局总部经济、研发设计、高端制造、销售等产业链环节，大力发展创新经济、服务经济、绿色经济，打造具有全球竞争力的产业创新高地。全面拓展沿太湖科技研发创新带，高水平规划建设太湖科学城、</w:t>
                  </w:r>
                  <w:r>
                    <w:rPr>
                      <w:rFonts w:hint="eastAsia"/>
                      <w:sz w:val="21"/>
                      <w:szCs w:val="21"/>
                      <w:shd w:val="clear" w:color="auto" w:fill="FFFFFF"/>
                      <w:lang w:eastAsia="zh-CN"/>
                    </w:rPr>
                    <w:t>“</w:t>
                  </w:r>
                  <w:r>
                    <w:rPr>
                      <w:sz w:val="21"/>
                      <w:szCs w:val="21"/>
                      <w:shd w:val="clear" w:color="auto" w:fill="FFFFFF"/>
                    </w:rPr>
                    <w:t>两湖</w:t>
                  </w:r>
                  <w:r>
                    <w:rPr>
                      <w:rFonts w:hint="eastAsia"/>
                      <w:sz w:val="21"/>
                      <w:szCs w:val="21"/>
                      <w:shd w:val="clear" w:color="auto" w:fill="FFFFFF"/>
                      <w:lang w:eastAsia="zh-CN"/>
                    </w:rPr>
                    <w:t>”</w:t>
                  </w:r>
                  <w:r>
                    <w:rPr>
                      <w:sz w:val="21"/>
                      <w:szCs w:val="21"/>
                      <w:shd w:val="clear" w:color="auto" w:fill="FFFFFF"/>
                    </w:rPr>
                    <w:t>创新区。引进产业应符合</w:t>
                  </w:r>
                  <w:r>
                    <w:rPr>
                      <w:rFonts w:hint="eastAsia"/>
                      <w:sz w:val="21"/>
                      <w:szCs w:val="21"/>
                      <w:shd w:val="clear" w:color="auto" w:fill="FFFFFF"/>
                      <w:lang w:eastAsia="zh-CN"/>
                    </w:rPr>
                    <w:t>“</w:t>
                  </w:r>
                  <w:r>
                    <w:rPr>
                      <w:sz w:val="21"/>
                      <w:szCs w:val="21"/>
                      <w:shd w:val="clear" w:color="auto" w:fill="FFFFFF"/>
                    </w:rPr>
                    <w:t>三线一单</w:t>
                  </w:r>
                  <w:r>
                    <w:rPr>
                      <w:rFonts w:hint="eastAsia"/>
                      <w:sz w:val="21"/>
                      <w:szCs w:val="21"/>
                      <w:shd w:val="clear" w:color="auto" w:fill="FFFFFF"/>
                      <w:lang w:eastAsia="zh-CN"/>
                    </w:rPr>
                    <w:t>”</w:t>
                  </w:r>
                  <w:r>
                    <w:rPr>
                      <w:sz w:val="21"/>
                      <w:szCs w:val="21"/>
                      <w:shd w:val="clear" w:color="auto" w:fill="FFFFFF"/>
                    </w:rPr>
                    <w:t>管控要求、相关规划和环境影响评价要求，符合区域主导生态功能，鼓励工业企业项目采用国际国内行业先进的生产工艺与装备，提高污染物排放控制水平。</w:t>
                  </w:r>
                </w:p>
              </w:tc>
              <w:tc>
                <w:tcPr>
                  <w:tcW w:w="1426" w:type="pct"/>
                  <w:vAlign w:val="center"/>
                </w:tcPr>
                <w:p w14:paraId="115AE6CD">
                  <w:pPr>
                    <w:widowControl/>
                    <w:spacing w:line="240" w:lineRule="auto"/>
                    <w:rPr>
                      <w:bCs/>
                      <w:sz w:val="21"/>
                      <w:szCs w:val="21"/>
                    </w:rPr>
                  </w:pPr>
                  <w:r>
                    <w:rPr>
                      <w:bCs/>
                      <w:sz w:val="21"/>
                      <w:szCs w:val="21"/>
                    </w:rPr>
                    <w:t>本项目</w:t>
                  </w:r>
                  <w:r>
                    <w:rPr>
                      <w:rFonts w:hint="eastAsia"/>
                      <w:bCs/>
                      <w:sz w:val="21"/>
                      <w:szCs w:val="21"/>
                    </w:rPr>
                    <w:t>从事</w:t>
                  </w:r>
                  <w:r>
                    <w:rPr>
                      <w:rFonts w:hint="eastAsia"/>
                      <w:bCs/>
                      <w:sz w:val="21"/>
                      <w:szCs w:val="21"/>
                      <w:lang w:eastAsia="zh-CN"/>
                    </w:rPr>
                    <w:t>铝制零部件</w:t>
                  </w:r>
                  <w:r>
                    <w:rPr>
                      <w:rFonts w:hint="eastAsia"/>
                      <w:bCs/>
                      <w:sz w:val="21"/>
                      <w:szCs w:val="21"/>
                    </w:rPr>
                    <w:t>制造</w:t>
                  </w:r>
                  <w:r>
                    <w:rPr>
                      <w:bCs/>
                      <w:sz w:val="21"/>
                      <w:szCs w:val="21"/>
                    </w:rPr>
                    <w:t>，不属于</w:t>
                  </w:r>
                  <w:r>
                    <w:rPr>
                      <w:sz w:val="21"/>
                      <w:szCs w:val="21"/>
                      <w:shd w:val="clear" w:color="auto" w:fill="FFFFFF"/>
                    </w:rPr>
                    <w:t>国家和本地产业结构调整目录明确的限制类、淘汰类工艺、装备、产品与项目</w:t>
                  </w:r>
                  <w:r>
                    <w:rPr>
                      <w:rFonts w:hint="eastAsia"/>
                      <w:sz w:val="21"/>
                      <w:szCs w:val="21"/>
                      <w:shd w:val="clear" w:color="auto" w:fill="FFFFFF"/>
                    </w:rPr>
                    <w:t>，不在</w:t>
                  </w:r>
                  <w:r>
                    <w:rPr>
                      <w:sz w:val="21"/>
                      <w:szCs w:val="21"/>
                      <w:shd w:val="clear" w:color="auto" w:fill="FFFFFF"/>
                    </w:rPr>
                    <w:t>太湖流域等重要饮用水水源地300米范围内</w:t>
                  </w:r>
                  <w:r>
                    <w:rPr>
                      <w:rFonts w:hint="eastAsia"/>
                      <w:sz w:val="21"/>
                      <w:szCs w:val="21"/>
                      <w:shd w:val="clear" w:color="auto" w:fill="FFFFFF"/>
                    </w:rPr>
                    <w:t>，符合</w:t>
                  </w:r>
                  <w:r>
                    <w:rPr>
                      <w:rFonts w:hint="eastAsia"/>
                      <w:sz w:val="21"/>
                      <w:szCs w:val="21"/>
                      <w:shd w:val="clear" w:color="auto" w:fill="FFFFFF"/>
                      <w:lang w:eastAsia="zh-CN"/>
                    </w:rPr>
                    <w:t>“</w:t>
                  </w:r>
                  <w:r>
                    <w:rPr>
                      <w:sz w:val="21"/>
                      <w:szCs w:val="21"/>
                      <w:shd w:val="clear" w:color="auto" w:fill="FFFFFF"/>
                    </w:rPr>
                    <w:t>三线一单</w:t>
                  </w:r>
                  <w:r>
                    <w:rPr>
                      <w:rFonts w:hint="eastAsia"/>
                      <w:sz w:val="21"/>
                      <w:szCs w:val="21"/>
                      <w:shd w:val="clear" w:color="auto" w:fill="FFFFFF"/>
                      <w:lang w:eastAsia="zh-CN"/>
                    </w:rPr>
                    <w:t>”</w:t>
                  </w:r>
                  <w:r>
                    <w:rPr>
                      <w:sz w:val="21"/>
                      <w:szCs w:val="21"/>
                      <w:shd w:val="clear" w:color="auto" w:fill="FFFFFF"/>
                    </w:rPr>
                    <w:t>管控要求、相关规划和环境影响评价要求</w:t>
                  </w:r>
                  <w:r>
                    <w:rPr>
                      <w:bCs/>
                      <w:sz w:val="21"/>
                      <w:szCs w:val="21"/>
                    </w:rPr>
                    <w:t>。</w:t>
                  </w:r>
                  <w:r>
                    <w:rPr>
                      <w:rFonts w:hint="eastAsia"/>
                      <w:bCs/>
                      <w:sz w:val="21"/>
                      <w:szCs w:val="21"/>
                    </w:rPr>
                    <w:t>相符。</w:t>
                  </w:r>
                </w:p>
              </w:tc>
            </w:tr>
            <w:tr w14:paraId="17C6E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0D6E9994">
                  <w:pPr>
                    <w:tabs>
                      <w:tab w:val="left" w:pos="2160"/>
                    </w:tabs>
                    <w:snapToGrid w:val="0"/>
                    <w:spacing w:line="240" w:lineRule="auto"/>
                    <w:jc w:val="center"/>
                    <w:rPr>
                      <w:sz w:val="21"/>
                      <w:szCs w:val="21"/>
                    </w:rPr>
                  </w:pPr>
                  <w:r>
                    <w:rPr>
                      <w:b/>
                      <w:sz w:val="21"/>
                      <w:szCs w:val="21"/>
                    </w:rPr>
                    <w:t>长江经济带发展负面清单指南（试行，2022年版）</w:t>
                  </w:r>
                  <w:r>
                    <w:rPr>
                      <w:rFonts w:hint="eastAsia"/>
                      <w:b/>
                      <w:sz w:val="21"/>
                      <w:szCs w:val="21"/>
                    </w:rPr>
                    <w:t>江苏省实施细则</w:t>
                  </w:r>
                </w:p>
              </w:tc>
            </w:tr>
            <w:tr w14:paraId="601F1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790B0C20">
                  <w:pPr>
                    <w:keepLines/>
                    <w:tabs>
                      <w:tab w:val="left" w:pos="2160"/>
                    </w:tabs>
                    <w:snapToGrid w:val="0"/>
                    <w:spacing w:line="240" w:lineRule="auto"/>
                    <w:ind w:firstLine="420" w:firstLineChars="200"/>
                    <w:jc w:val="left"/>
                    <w:rPr>
                      <w:sz w:val="21"/>
                      <w:szCs w:val="21"/>
                    </w:rPr>
                  </w:pPr>
                  <w:r>
                    <w:rPr>
                      <w:rFonts w:hint="eastAsia"/>
                      <w:sz w:val="21"/>
                      <w:szCs w:val="21"/>
                    </w:rPr>
                    <w:t>/</w:t>
                  </w:r>
                </w:p>
              </w:tc>
              <w:tc>
                <w:tcPr>
                  <w:tcW w:w="2979" w:type="pct"/>
                  <w:gridSpan w:val="4"/>
                  <w:vAlign w:val="center"/>
                </w:tcPr>
                <w:p w14:paraId="1B03F3FB">
                  <w:pPr>
                    <w:keepLines/>
                    <w:tabs>
                      <w:tab w:val="left" w:pos="2160"/>
                    </w:tabs>
                    <w:snapToGrid w:val="0"/>
                    <w:spacing w:line="240" w:lineRule="auto"/>
                    <w:ind w:firstLine="420" w:firstLineChars="200"/>
                    <w:rPr>
                      <w:sz w:val="21"/>
                      <w:szCs w:val="21"/>
                    </w:rPr>
                  </w:pPr>
                  <w:r>
                    <w:rPr>
                      <w:sz w:val="21"/>
                      <w:szCs w:val="21"/>
                    </w:rPr>
                    <w:t>1.</w:t>
                  </w:r>
                  <w:r>
                    <w:rPr>
                      <w:rFonts w:hint="eastAsia"/>
                      <w:sz w:val="21"/>
                      <w:szCs w:val="21"/>
                    </w:rPr>
                    <w:t>禁止建设不符合全国和省级港口布局规划以及港口总体规划的码头项目，禁止建设不符合《长江干线过江通道布局规划》的过长江通道项目。</w:t>
                  </w:r>
                </w:p>
                <w:p w14:paraId="1793DC12">
                  <w:pPr>
                    <w:keepLines/>
                    <w:tabs>
                      <w:tab w:val="left" w:pos="2160"/>
                    </w:tabs>
                    <w:snapToGrid w:val="0"/>
                    <w:spacing w:line="240" w:lineRule="auto"/>
                    <w:ind w:firstLine="420" w:firstLineChars="200"/>
                    <w:rPr>
                      <w:sz w:val="21"/>
                      <w:szCs w:val="21"/>
                    </w:rPr>
                  </w:pPr>
                  <w:r>
                    <w:rPr>
                      <w:sz w:val="21"/>
                      <w:szCs w:val="21"/>
                    </w:rPr>
                    <w:t>2.</w:t>
                  </w:r>
                  <w:r>
                    <w:rPr>
                      <w:rFonts w:hint="eastAsia"/>
                      <w:sz w:val="21"/>
                      <w:szCs w:val="21"/>
                    </w:rPr>
                    <w:t>禁止在自然保护区核心区、缓冲区的岸线和河段范围内投资建设旅游和生产经营项目。禁止在风景名胜区核心景区的岸线和河段范围内投资建设与风景名胜资源保护无关的项目。</w:t>
                  </w:r>
                </w:p>
                <w:p w14:paraId="0B0CB4E4">
                  <w:pPr>
                    <w:keepLines/>
                    <w:tabs>
                      <w:tab w:val="left" w:pos="2160"/>
                    </w:tabs>
                    <w:snapToGrid w:val="0"/>
                    <w:spacing w:line="240" w:lineRule="auto"/>
                    <w:ind w:firstLine="420" w:firstLineChars="200"/>
                    <w:rPr>
                      <w:sz w:val="21"/>
                      <w:szCs w:val="21"/>
                    </w:rPr>
                  </w:pPr>
                  <w:r>
                    <w:rPr>
                      <w:sz w:val="21"/>
                      <w:szCs w:val="21"/>
                    </w:rPr>
                    <w:t>3.</w:t>
                  </w:r>
                  <w:r>
                    <w:rPr>
                      <w:rFonts w:hint="eastAsia"/>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p w14:paraId="20F341BF">
                  <w:pPr>
                    <w:keepLines/>
                    <w:tabs>
                      <w:tab w:val="left" w:pos="2160"/>
                    </w:tabs>
                    <w:snapToGrid w:val="0"/>
                    <w:spacing w:line="240" w:lineRule="auto"/>
                    <w:ind w:firstLine="420" w:firstLineChars="200"/>
                    <w:rPr>
                      <w:sz w:val="21"/>
                      <w:szCs w:val="21"/>
                    </w:rPr>
                  </w:pPr>
                  <w:r>
                    <w:rPr>
                      <w:sz w:val="21"/>
                      <w:szCs w:val="21"/>
                    </w:rPr>
                    <w:t>4.</w:t>
                  </w:r>
                  <w:r>
                    <w:rPr>
                      <w:rFonts w:hint="eastAsia"/>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p w14:paraId="0F2F489E">
                  <w:pPr>
                    <w:keepLines/>
                    <w:tabs>
                      <w:tab w:val="left" w:pos="2160"/>
                    </w:tabs>
                    <w:snapToGrid w:val="0"/>
                    <w:spacing w:line="240" w:lineRule="auto"/>
                    <w:ind w:firstLine="420" w:firstLineChars="200"/>
                    <w:rPr>
                      <w:sz w:val="21"/>
                      <w:szCs w:val="21"/>
                    </w:rPr>
                  </w:pPr>
                  <w:r>
                    <w:rPr>
                      <w:sz w:val="21"/>
                      <w:szCs w:val="21"/>
                    </w:rPr>
                    <w:t>5.</w:t>
                  </w:r>
                  <w:r>
                    <w:rPr>
                      <w:rFonts w:hint="eastAsia"/>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14:paraId="4BFF2BB5">
                  <w:pPr>
                    <w:keepLines/>
                    <w:tabs>
                      <w:tab w:val="left" w:pos="2160"/>
                    </w:tabs>
                    <w:snapToGrid w:val="0"/>
                    <w:spacing w:line="240" w:lineRule="auto"/>
                    <w:ind w:firstLine="420" w:firstLineChars="200"/>
                    <w:rPr>
                      <w:sz w:val="21"/>
                      <w:szCs w:val="21"/>
                    </w:rPr>
                  </w:pPr>
                  <w:r>
                    <w:rPr>
                      <w:sz w:val="21"/>
                      <w:szCs w:val="21"/>
                    </w:rPr>
                    <w:t>6.</w:t>
                  </w:r>
                  <w:r>
                    <w:rPr>
                      <w:rFonts w:hint="eastAsia"/>
                      <w:sz w:val="21"/>
                      <w:szCs w:val="21"/>
                    </w:rPr>
                    <w:t>禁止未经许可在长江干支流及湖泊新设、改设或扩大排污口。</w:t>
                  </w:r>
                </w:p>
                <w:p w14:paraId="45083F73">
                  <w:pPr>
                    <w:keepLines/>
                    <w:tabs>
                      <w:tab w:val="left" w:pos="2160"/>
                    </w:tabs>
                    <w:snapToGrid w:val="0"/>
                    <w:spacing w:line="240" w:lineRule="auto"/>
                    <w:ind w:firstLine="420" w:firstLineChars="200"/>
                    <w:rPr>
                      <w:sz w:val="21"/>
                      <w:szCs w:val="21"/>
                    </w:rPr>
                  </w:pPr>
                  <w:r>
                    <w:rPr>
                      <w:sz w:val="21"/>
                      <w:szCs w:val="21"/>
                    </w:rPr>
                    <w:t>7.</w:t>
                  </w:r>
                  <w:r>
                    <w:rPr>
                      <w:rFonts w:hint="eastAsia"/>
                      <w:sz w:val="21"/>
                      <w:szCs w:val="21"/>
                    </w:rPr>
                    <w:t>禁止在</w:t>
                  </w:r>
                  <w:r>
                    <w:rPr>
                      <w:rFonts w:hint="eastAsia" w:ascii="仿宋" w:hAnsi="仿宋" w:cs="仿宋"/>
                      <w:sz w:val="21"/>
                      <w:szCs w:val="21"/>
                      <w:lang w:eastAsia="zh-CN"/>
                    </w:rPr>
                    <w:t>“</w:t>
                  </w:r>
                  <w:r>
                    <w:rPr>
                      <w:rFonts w:hint="eastAsia" w:ascii="仿宋" w:hAnsi="仿宋" w:cs="仿宋"/>
                      <w:sz w:val="21"/>
                      <w:szCs w:val="21"/>
                    </w:rPr>
                    <w:t>一江一口两湖七河</w:t>
                  </w:r>
                  <w:r>
                    <w:rPr>
                      <w:rFonts w:hint="eastAsia" w:ascii="仿宋" w:hAnsi="仿宋" w:cs="仿宋"/>
                      <w:sz w:val="21"/>
                      <w:szCs w:val="21"/>
                      <w:lang w:eastAsia="zh-CN"/>
                    </w:rPr>
                    <w:t>”</w:t>
                  </w:r>
                  <w:r>
                    <w:rPr>
                      <w:rFonts w:hint="eastAsia"/>
                      <w:sz w:val="21"/>
                      <w:szCs w:val="21"/>
                    </w:rPr>
                    <w:t>和</w:t>
                  </w:r>
                  <w:r>
                    <w:rPr>
                      <w:sz w:val="21"/>
                      <w:szCs w:val="21"/>
                    </w:rPr>
                    <w:t>332</w:t>
                  </w:r>
                  <w:r>
                    <w:rPr>
                      <w:rFonts w:hint="eastAsia"/>
                      <w:sz w:val="21"/>
                      <w:szCs w:val="21"/>
                    </w:rPr>
                    <w:t>个水生生物保护区开展生产性捕捞。</w:t>
                  </w:r>
                </w:p>
                <w:p w14:paraId="2606540A">
                  <w:pPr>
                    <w:keepLines/>
                    <w:tabs>
                      <w:tab w:val="left" w:pos="2160"/>
                    </w:tabs>
                    <w:snapToGrid w:val="0"/>
                    <w:spacing w:line="240" w:lineRule="auto"/>
                    <w:ind w:firstLine="420" w:firstLineChars="200"/>
                    <w:rPr>
                      <w:sz w:val="21"/>
                      <w:szCs w:val="21"/>
                    </w:rPr>
                  </w:pPr>
                  <w:r>
                    <w:rPr>
                      <w:rFonts w:hint="eastAsia"/>
                      <w:sz w:val="21"/>
                      <w:szCs w:val="21"/>
                    </w:rPr>
                    <w:t>8.</w:t>
                  </w:r>
                  <w:r>
                    <w:rPr>
                      <w:sz w:val="21"/>
                      <w:szCs w:val="21"/>
                    </w:rPr>
                    <w:t>禁止在距离长江干支流岸线一公里范围内新建、扩建化工园区和化工项目。长江干支流一公里按照长江干支流岸线边界</w:t>
                  </w:r>
                  <w:r>
                    <w:rPr>
                      <w:rFonts w:hint="eastAsia"/>
                      <w:sz w:val="21"/>
                      <w:szCs w:val="21"/>
                    </w:rPr>
                    <w:t>（</w:t>
                  </w:r>
                  <w:r>
                    <w:rPr>
                      <w:sz w:val="21"/>
                      <w:szCs w:val="21"/>
                    </w:rPr>
                    <w:t>即水利部门河道管理范围边界</w:t>
                  </w:r>
                  <w:r>
                    <w:rPr>
                      <w:rFonts w:hint="eastAsia"/>
                      <w:sz w:val="21"/>
                      <w:szCs w:val="21"/>
                    </w:rPr>
                    <w:t>）</w:t>
                  </w:r>
                  <w:r>
                    <w:rPr>
                      <w:sz w:val="21"/>
                      <w:szCs w:val="21"/>
                    </w:rPr>
                    <w:t>向陆域纵深一公里执行。</w:t>
                  </w:r>
                </w:p>
                <w:p w14:paraId="4FC8CCC2">
                  <w:pPr>
                    <w:keepLines/>
                    <w:tabs>
                      <w:tab w:val="left" w:pos="2160"/>
                    </w:tabs>
                    <w:snapToGrid w:val="0"/>
                    <w:spacing w:line="240" w:lineRule="auto"/>
                    <w:ind w:firstLine="420" w:firstLineChars="200"/>
                    <w:rPr>
                      <w:sz w:val="21"/>
                      <w:szCs w:val="21"/>
                    </w:rPr>
                  </w:pPr>
                  <w:r>
                    <w:rPr>
                      <w:rFonts w:hint="eastAsia"/>
                      <w:sz w:val="21"/>
                      <w:szCs w:val="21"/>
                    </w:rPr>
                    <w:t>9.</w:t>
                  </w:r>
                  <w:r>
                    <w:rPr>
                      <w:sz w:val="21"/>
                      <w:szCs w:val="21"/>
                    </w:rPr>
                    <w:t>禁止在长江干流岸线三公里范围内新建、改建、扩建尾矿库、冶炼渣库和磷石膏库，以提升安全、生态环境保护水平为目的的改建除外。</w:t>
                  </w:r>
                </w:p>
                <w:p w14:paraId="7C3E720A">
                  <w:pPr>
                    <w:keepLines/>
                    <w:tabs>
                      <w:tab w:val="left" w:pos="2160"/>
                    </w:tabs>
                    <w:snapToGrid w:val="0"/>
                    <w:spacing w:line="240" w:lineRule="auto"/>
                    <w:ind w:firstLine="420" w:firstLineChars="200"/>
                    <w:rPr>
                      <w:sz w:val="21"/>
                      <w:szCs w:val="21"/>
                    </w:rPr>
                  </w:pPr>
                  <w:r>
                    <w:rPr>
                      <w:rFonts w:hint="eastAsia"/>
                      <w:sz w:val="21"/>
                      <w:szCs w:val="21"/>
                    </w:rPr>
                    <w:t>10.</w:t>
                  </w:r>
                  <w:r>
                    <w:rPr>
                      <w:sz w:val="21"/>
                      <w:szCs w:val="21"/>
                    </w:rPr>
                    <w:t>禁止在太湖流域一、二、三级保护区内开展《江苏省太湖水污染防治条例》禁止的投资建设活动。</w:t>
                  </w:r>
                </w:p>
                <w:p w14:paraId="48D7A50A">
                  <w:pPr>
                    <w:keepLines/>
                    <w:tabs>
                      <w:tab w:val="left" w:pos="2160"/>
                    </w:tabs>
                    <w:snapToGrid w:val="0"/>
                    <w:spacing w:line="240" w:lineRule="auto"/>
                    <w:ind w:firstLine="420" w:firstLineChars="200"/>
                    <w:rPr>
                      <w:sz w:val="21"/>
                      <w:szCs w:val="21"/>
                    </w:rPr>
                  </w:pPr>
                  <w:r>
                    <w:rPr>
                      <w:rFonts w:hint="eastAsia"/>
                      <w:sz w:val="21"/>
                      <w:szCs w:val="21"/>
                    </w:rPr>
                    <w:t>11.</w:t>
                  </w:r>
                  <w:r>
                    <w:rPr>
                      <w:sz w:val="21"/>
                      <w:szCs w:val="21"/>
                    </w:rPr>
                    <w:t>禁止在沿江地区新建、扩建未纳入国家和省布局规划的燃煤发电项目。</w:t>
                  </w:r>
                </w:p>
                <w:p w14:paraId="33652A01">
                  <w:pPr>
                    <w:keepLines/>
                    <w:tabs>
                      <w:tab w:val="left" w:pos="2160"/>
                    </w:tabs>
                    <w:snapToGrid w:val="0"/>
                    <w:spacing w:line="240" w:lineRule="auto"/>
                    <w:ind w:firstLine="420" w:firstLineChars="200"/>
                    <w:rPr>
                      <w:sz w:val="21"/>
                      <w:szCs w:val="21"/>
                    </w:rPr>
                  </w:pPr>
                  <w:r>
                    <w:rPr>
                      <w:rFonts w:hint="eastAsia"/>
                      <w:sz w:val="21"/>
                      <w:szCs w:val="21"/>
                    </w:rPr>
                    <w:t>12.</w:t>
                  </w:r>
                  <w:r>
                    <w:rPr>
                      <w:sz w:val="21"/>
                      <w:szCs w:val="21"/>
                    </w:rPr>
                    <w:t>禁止在合规园区外新建、扩建钢铁、石化、化工、焦化、建材、有色、制浆造纸等高污染项目。合规园区名录按照《</w:t>
                  </w:r>
                  <w:r>
                    <w:rPr>
                      <w:rFonts w:hint="eastAsia"/>
                      <w:sz w:val="21"/>
                      <w:szCs w:val="21"/>
                    </w:rPr>
                    <w:t>&lt;</w:t>
                  </w:r>
                  <w:r>
                    <w:rPr>
                      <w:sz w:val="21"/>
                      <w:szCs w:val="21"/>
                    </w:rPr>
                    <w:t>长江经济带发展负面清单指南</w:t>
                  </w:r>
                  <w:r>
                    <w:rPr>
                      <w:rFonts w:hint="eastAsia"/>
                      <w:sz w:val="21"/>
                      <w:szCs w:val="21"/>
                    </w:rPr>
                    <w:t>（</w:t>
                  </w:r>
                  <w:r>
                    <w:rPr>
                      <w:sz w:val="21"/>
                      <w:szCs w:val="21"/>
                    </w:rPr>
                    <w:t>试行，2022年版</w:t>
                  </w:r>
                  <w:r>
                    <w:rPr>
                      <w:rFonts w:hint="eastAsia"/>
                      <w:sz w:val="21"/>
                      <w:szCs w:val="21"/>
                    </w:rPr>
                    <w:t>）&gt;</w:t>
                  </w:r>
                  <w:r>
                    <w:rPr>
                      <w:sz w:val="21"/>
                      <w:szCs w:val="21"/>
                    </w:rPr>
                    <w:t>江苏省实施细则合规园区名录》执行。</w:t>
                  </w:r>
                </w:p>
                <w:p w14:paraId="538646AE">
                  <w:pPr>
                    <w:keepLines/>
                    <w:tabs>
                      <w:tab w:val="left" w:pos="2160"/>
                    </w:tabs>
                    <w:snapToGrid w:val="0"/>
                    <w:spacing w:line="240" w:lineRule="auto"/>
                    <w:ind w:firstLine="420" w:firstLineChars="200"/>
                    <w:rPr>
                      <w:sz w:val="21"/>
                      <w:szCs w:val="21"/>
                    </w:rPr>
                  </w:pPr>
                  <w:r>
                    <w:rPr>
                      <w:rFonts w:hint="eastAsia"/>
                      <w:sz w:val="21"/>
                      <w:szCs w:val="21"/>
                    </w:rPr>
                    <w:t>13.</w:t>
                  </w:r>
                  <w:r>
                    <w:rPr>
                      <w:sz w:val="21"/>
                      <w:szCs w:val="21"/>
                    </w:rPr>
                    <w:t>禁止在取消化工定位的园区</w:t>
                  </w:r>
                  <w:r>
                    <w:rPr>
                      <w:rFonts w:hint="eastAsia"/>
                      <w:sz w:val="21"/>
                      <w:szCs w:val="21"/>
                    </w:rPr>
                    <w:t>（</w:t>
                  </w:r>
                  <w:r>
                    <w:rPr>
                      <w:sz w:val="21"/>
                      <w:szCs w:val="21"/>
                    </w:rPr>
                    <w:t>集中区</w:t>
                  </w:r>
                  <w:r>
                    <w:rPr>
                      <w:rFonts w:hint="eastAsia"/>
                      <w:sz w:val="21"/>
                      <w:szCs w:val="21"/>
                    </w:rPr>
                    <w:t>）</w:t>
                  </w:r>
                  <w:r>
                    <w:rPr>
                      <w:rFonts w:hint="eastAsia"/>
                      <w:sz w:val="21"/>
                      <w:szCs w:val="21"/>
                      <w:lang w:eastAsia="zh-CN"/>
                    </w:rPr>
                    <w:t>）</w:t>
                  </w:r>
                  <w:r>
                    <w:rPr>
                      <w:sz w:val="21"/>
                      <w:szCs w:val="21"/>
                    </w:rPr>
                    <w:t>内新建化工项目。</w:t>
                  </w:r>
                </w:p>
                <w:p w14:paraId="3C5335D9">
                  <w:pPr>
                    <w:keepLines/>
                    <w:tabs>
                      <w:tab w:val="left" w:pos="2160"/>
                    </w:tabs>
                    <w:snapToGrid w:val="0"/>
                    <w:spacing w:line="240" w:lineRule="auto"/>
                    <w:ind w:firstLine="420" w:firstLineChars="200"/>
                    <w:rPr>
                      <w:sz w:val="21"/>
                      <w:szCs w:val="21"/>
                    </w:rPr>
                  </w:pPr>
                  <w:r>
                    <w:rPr>
                      <w:rFonts w:hint="eastAsia"/>
                      <w:sz w:val="21"/>
                      <w:szCs w:val="21"/>
                    </w:rPr>
                    <w:t>15.</w:t>
                  </w:r>
                  <w:r>
                    <w:rPr>
                      <w:sz w:val="21"/>
                      <w:szCs w:val="21"/>
                    </w:rPr>
                    <w:t>禁止新建、扩建不符合国家和省产业政策的尿素、磷铵、电石、烧碱、聚氯乙烯、纯碱等行业新增产能项目。</w:t>
                  </w:r>
                </w:p>
                <w:p w14:paraId="35519FCF">
                  <w:pPr>
                    <w:keepLines/>
                    <w:tabs>
                      <w:tab w:val="left" w:pos="2160"/>
                    </w:tabs>
                    <w:snapToGrid w:val="0"/>
                    <w:spacing w:line="240" w:lineRule="auto"/>
                    <w:ind w:firstLine="420" w:firstLineChars="200"/>
                    <w:rPr>
                      <w:sz w:val="21"/>
                      <w:szCs w:val="21"/>
                    </w:rPr>
                  </w:pPr>
                  <w:r>
                    <w:rPr>
                      <w:rFonts w:hint="eastAsia"/>
                      <w:sz w:val="21"/>
                      <w:szCs w:val="21"/>
                    </w:rPr>
                    <w:t>16.</w:t>
                  </w:r>
                  <w:r>
                    <w:rPr>
                      <w:sz w:val="21"/>
                      <w:szCs w:val="21"/>
                    </w:rPr>
                    <w:t>禁止新建、改建、扩建高毒、高残留以及对环境影响大的农药原药</w:t>
                  </w:r>
                  <w:r>
                    <w:rPr>
                      <w:rFonts w:hint="eastAsia"/>
                      <w:sz w:val="21"/>
                      <w:szCs w:val="21"/>
                    </w:rPr>
                    <w:t>（</w:t>
                  </w:r>
                  <w:r>
                    <w:rPr>
                      <w:sz w:val="21"/>
                      <w:szCs w:val="21"/>
                    </w:rPr>
                    <w:t>化学合成类</w:t>
                  </w:r>
                  <w:r>
                    <w:rPr>
                      <w:rFonts w:hint="eastAsia"/>
                      <w:sz w:val="21"/>
                      <w:szCs w:val="21"/>
                    </w:rPr>
                    <w:t>）</w:t>
                  </w:r>
                  <w:r>
                    <w:rPr>
                      <w:sz w:val="21"/>
                      <w:szCs w:val="21"/>
                    </w:rPr>
                    <w:t>项目，禁止新建、扩建不符合国家和省产业政策的农药、医药和染料中间体化工项目。</w:t>
                  </w:r>
                </w:p>
                <w:p w14:paraId="30E83D95">
                  <w:pPr>
                    <w:keepLines/>
                    <w:tabs>
                      <w:tab w:val="left" w:pos="2160"/>
                    </w:tabs>
                    <w:snapToGrid w:val="0"/>
                    <w:spacing w:line="240" w:lineRule="auto"/>
                    <w:ind w:firstLine="420" w:firstLineChars="200"/>
                    <w:rPr>
                      <w:sz w:val="21"/>
                      <w:szCs w:val="21"/>
                    </w:rPr>
                  </w:pPr>
                  <w:r>
                    <w:rPr>
                      <w:rFonts w:hint="eastAsia"/>
                      <w:sz w:val="21"/>
                      <w:szCs w:val="21"/>
                    </w:rPr>
                    <w:t>17.</w:t>
                  </w:r>
                  <w:r>
                    <w:rPr>
                      <w:sz w:val="21"/>
                      <w:szCs w:val="21"/>
                    </w:rPr>
                    <w:t>禁止新建、扩建不符合国家石化、现代煤化工等产业布局规划的项目，禁止新建独立焦化项目。</w:t>
                  </w:r>
                </w:p>
                <w:p w14:paraId="0E0B6215">
                  <w:pPr>
                    <w:keepLines/>
                    <w:tabs>
                      <w:tab w:val="left" w:pos="2160"/>
                    </w:tabs>
                    <w:snapToGrid w:val="0"/>
                    <w:spacing w:line="240" w:lineRule="auto"/>
                    <w:ind w:firstLine="420" w:firstLineChars="200"/>
                    <w:rPr>
                      <w:sz w:val="21"/>
                      <w:szCs w:val="21"/>
                    </w:rPr>
                  </w:pPr>
                  <w:r>
                    <w:rPr>
                      <w:rFonts w:hint="eastAsia"/>
                      <w:sz w:val="21"/>
                      <w:szCs w:val="21"/>
                    </w:rPr>
                    <w:t>18.</w:t>
                  </w:r>
                  <w:r>
                    <w:rPr>
                      <w:sz w:val="21"/>
                      <w:szCs w:val="21"/>
                    </w:rPr>
                    <w:t>禁止新建、扩建国家《产业结构调整指导目录》《江苏省产业结构调整限制、淘汰和禁止目录》明确的限制类、淘汰类、禁止类项目，法律法规和相关政策明令禁止的落后产能 项目，以及明令淘汰的安全生产落后工艺及装备项目。</w:t>
                  </w:r>
                </w:p>
                <w:p w14:paraId="211CD9B3">
                  <w:pPr>
                    <w:keepLines/>
                    <w:tabs>
                      <w:tab w:val="left" w:pos="2160"/>
                    </w:tabs>
                    <w:snapToGrid w:val="0"/>
                    <w:spacing w:line="240" w:lineRule="auto"/>
                    <w:ind w:firstLine="420" w:firstLineChars="200"/>
                    <w:rPr>
                      <w:sz w:val="21"/>
                      <w:szCs w:val="21"/>
                    </w:rPr>
                  </w:pPr>
                  <w:r>
                    <w:rPr>
                      <w:rFonts w:hint="eastAsia"/>
                      <w:sz w:val="21"/>
                      <w:szCs w:val="21"/>
                    </w:rPr>
                    <w:t>19.</w:t>
                  </w:r>
                  <w:r>
                    <w:rPr>
                      <w:sz w:val="21"/>
                      <w:szCs w:val="21"/>
                    </w:rPr>
                    <w:t>禁止新建、扩建不符合国家产能置换要求的严重过剩产能行业的项目。禁止新建、扩建不符合要求的高耗能高排放项目。</w:t>
                  </w:r>
                </w:p>
                <w:p w14:paraId="03D05AC5">
                  <w:pPr>
                    <w:keepLines/>
                    <w:tabs>
                      <w:tab w:val="left" w:pos="2160"/>
                    </w:tabs>
                    <w:snapToGrid w:val="0"/>
                    <w:spacing w:line="240" w:lineRule="auto"/>
                    <w:ind w:firstLine="420" w:firstLineChars="200"/>
                    <w:rPr>
                      <w:sz w:val="21"/>
                      <w:szCs w:val="21"/>
                    </w:rPr>
                  </w:pPr>
                  <w:r>
                    <w:rPr>
                      <w:rFonts w:hint="eastAsia"/>
                      <w:sz w:val="21"/>
                      <w:szCs w:val="21"/>
                    </w:rPr>
                    <w:t>20.</w:t>
                  </w:r>
                  <w:r>
                    <w:rPr>
                      <w:sz w:val="21"/>
                      <w:szCs w:val="21"/>
                    </w:rPr>
                    <w:t>法律法规及相关政策文件有更加严格规定的从其规定。</w:t>
                  </w:r>
                </w:p>
              </w:tc>
              <w:tc>
                <w:tcPr>
                  <w:tcW w:w="1426" w:type="pct"/>
                  <w:vAlign w:val="center"/>
                </w:tcPr>
                <w:p w14:paraId="75882AA3">
                  <w:pPr>
                    <w:tabs>
                      <w:tab w:val="left" w:pos="2160"/>
                    </w:tabs>
                    <w:snapToGrid w:val="0"/>
                    <w:spacing w:line="240" w:lineRule="auto"/>
                    <w:rPr>
                      <w:rFonts w:eastAsia="宋体"/>
                      <w:sz w:val="21"/>
                      <w:szCs w:val="21"/>
                    </w:rPr>
                  </w:pPr>
                  <w:r>
                    <w:rPr>
                      <w:sz w:val="21"/>
                      <w:szCs w:val="21"/>
                    </w:rPr>
                    <w:t>本项目位于</w:t>
                  </w:r>
                  <w:r>
                    <w:rPr>
                      <w:rFonts w:hint="eastAsia"/>
                      <w:sz w:val="21"/>
                      <w:szCs w:val="21"/>
                    </w:rPr>
                    <w:t>太湖流域</w:t>
                  </w:r>
                  <w:r>
                    <w:rPr>
                      <w:sz w:val="21"/>
                      <w:szCs w:val="21"/>
                    </w:rPr>
                    <w:t>三级保护区，</w:t>
                  </w:r>
                  <w:r>
                    <w:rPr>
                      <w:rFonts w:hint="eastAsia"/>
                      <w:sz w:val="21"/>
                      <w:szCs w:val="21"/>
                    </w:rPr>
                    <w:t>从事</w:t>
                  </w:r>
                  <w:r>
                    <w:rPr>
                      <w:rFonts w:hint="eastAsia"/>
                      <w:sz w:val="21"/>
                      <w:szCs w:val="21"/>
                      <w:lang w:eastAsia="zh-CN"/>
                    </w:rPr>
                    <w:t>铝制零部件</w:t>
                  </w:r>
                  <w:r>
                    <w:rPr>
                      <w:rFonts w:hint="eastAsia"/>
                      <w:sz w:val="21"/>
                      <w:szCs w:val="21"/>
                    </w:rPr>
                    <w:t>制造</w:t>
                  </w:r>
                  <w:r>
                    <w:rPr>
                      <w:sz w:val="21"/>
                      <w:szCs w:val="21"/>
                    </w:rPr>
                    <w:t>，不在长江干支流岸线一公里范围内，不涉及化工项目，不涉及尾矿库、冶炼渣库和磷石膏库项目</w:t>
                  </w:r>
                  <w:r>
                    <w:rPr>
                      <w:rFonts w:hint="eastAsia"/>
                      <w:sz w:val="21"/>
                      <w:szCs w:val="21"/>
                    </w:rPr>
                    <w:t>，</w:t>
                  </w:r>
                  <w:r>
                    <w:rPr>
                      <w:sz w:val="21"/>
                      <w:szCs w:val="21"/>
                    </w:rPr>
                    <w:t>不涉及《江苏省太湖水污染防治条例》禁止的投资建设活动</w:t>
                  </w:r>
                  <w:r>
                    <w:rPr>
                      <w:rFonts w:hint="eastAsia"/>
                      <w:sz w:val="21"/>
                      <w:szCs w:val="21"/>
                    </w:rPr>
                    <w:t>，</w:t>
                  </w:r>
                  <w:r>
                    <w:rPr>
                      <w:sz w:val="21"/>
                      <w:szCs w:val="21"/>
                    </w:rPr>
                    <w:t>不涉及钢铁、石化、化工、焦化、建材、有色、制浆造纸等高污染项目</w:t>
                  </w:r>
                  <w:r>
                    <w:rPr>
                      <w:rFonts w:hint="eastAsia"/>
                      <w:sz w:val="21"/>
                      <w:szCs w:val="21"/>
                    </w:rPr>
                    <w:t>。</w:t>
                  </w:r>
                </w:p>
              </w:tc>
            </w:tr>
            <w:tr w14:paraId="31FB0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0046A1E0">
                  <w:pPr>
                    <w:keepLines/>
                    <w:tabs>
                      <w:tab w:val="left" w:pos="2160"/>
                    </w:tabs>
                    <w:snapToGrid w:val="0"/>
                    <w:spacing w:line="240" w:lineRule="auto"/>
                    <w:jc w:val="center"/>
                    <w:rPr>
                      <w:b/>
                      <w:sz w:val="21"/>
                      <w:szCs w:val="21"/>
                    </w:rPr>
                  </w:pPr>
                  <w:r>
                    <w:rPr>
                      <w:b/>
                      <w:sz w:val="21"/>
                      <w:szCs w:val="21"/>
                    </w:rPr>
                    <w:t>省生态环境厅关于进一步做好建设项目环评审批工作的通知</w:t>
                  </w:r>
                </w:p>
                <w:p w14:paraId="5697A66F">
                  <w:pPr>
                    <w:keepLines/>
                    <w:tabs>
                      <w:tab w:val="left" w:pos="2160"/>
                    </w:tabs>
                    <w:snapToGrid w:val="0"/>
                    <w:spacing w:line="240" w:lineRule="auto"/>
                    <w:jc w:val="center"/>
                    <w:rPr>
                      <w:sz w:val="21"/>
                      <w:szCs w:val="21"/>
                    </w:rPr>
                  </w:pPr>
                  <w:r>
                    <w:rPr>
                      <w:b/>
                      <w:sz w:val="21"/>
                      <w:szCs w:val="21"/>
                    </w:rPr>
                    <w:t>（苏环办</w:t>
                  </w:r>
                  <w:r>
                    <w:rPr>
                      <w:rFonts w:hint="eastAsia"/>
                      <w:b/>
                      <w:sz w:val="21"/>
                      <w:szCs w:val="21"/>
                      <w:lang w:eastAsia="zh-CN"/>
                    </w:rPr>
                    <w:t>〔2019〕36号</w:t>
                  </w:r>
                  <w:r>
                    <w:rPr>
                      <w:b/>
                      <w:sz w:val="21"/>
                      <w:szCs w:val="21"/>
                    </w:rPr>
                    <w:t>）附件 建设项目环评审批要点</w:t>
                  </w:r>
                </w:p>
              </w:tc>
            </w:tr>
            <w:tr w14:paraId="17A32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6A96EC39">
                  <w:pPr>
                    <w:keepLines/>
                    <w:tabs>
                      <w:tab w:val="left" w:pos="2160"/>
                    </w:tabs>
                    <w:snapToGrid w:val="0"/>
                    <w:spacing w:line="240" w:lineRule="auto"/>
                    <w:jc w:val="left"/>
                    <w:rPr>
                      <w:sz w:val="21"/>
                      <w:szCs w:val="21"/>
                    </w:rPr>
                  </w:pPr>
                  <w:r>
                    <w:rPr>
                      <w:sz w:val="21"/>
                      <w:szCs w:val="21"/>
                    </w:rPr>
                    <w:t>一《建设项目环境保护管理条例》</w:t>
                  </w:r>
                </w:p>
              </w:tc>
              <w:tc>
                <w:tcPr>
                  <w:tcW w:w="2979" w:type="pct"/>
                  <w:gridSpan w:val="4"/>
                  <w:vAlign w:val="center"/>
                </w:tcPr>
                <w:p w14:paraId="1B888C11">
                  <w:pPr>
                    <w:keepLines/>
                    <w:tabs>
                      <w:tab w:val="left" w:pos="2160"/>
                    </w:tabs>
                    <w:snapToGrid w:val="0"/>
                    <w:spacing w:line="240" w:lineRule="auto"/>
                    <w:ind w:firstLine="420" w:firstLineChars="200"/>
                    <w:jc w:val="left"/>
                    <w:rPr>
                      <w:sz w:val="21"/>
                      <w:szCs w:val="21"/>
                    </w:rPr>
                  </w:pPr>
                  <w:r>
                    <w:rPr>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w:t>
                  </w:r>
                  <w:r>
                    <w:rPr>
                      <w:rFonts w:hint="eastAsia"/>
                      <w:sz w:val="21"/>
                      <w:szCs w:val="21"/>
                    </w:rPr>
                    <w:t>治</w:t>
                  </w:r>
                  <w:r>
                    <w:rPr>
                      <w:sz w:val="21"/>
                      <w:szCs w:val="21"/>
                    </w:rPr>
                    <w:t>措施；（5）建设项目的环境影响报告书、环境影响报告表的基础资料数据明显不实，内容存在重大缺陷、遗漏，或者环境影响评价结论不明确、不合理。</w:t>
                  </w:r>
                </w:p>
              </w:tc>
              <w:tc>
                <w:tcPr>
                  <w:tcW w:w="1426" w:type="pct"/>
                  <w:vAlign w:val="center"/>
                </w:tcPr>
                <w:p w14:paraId="50C5C5E5">
                  <w:pPr>
                    <w:keepLines/>
                    <w:tabs>
                      <w:tab w:val="left" w:pos="2160"/>
                    </w:tabs>
                    <w:snapToGrid w:val="0"/>
                    <w:spacing w:line="240" w:lineRule="auto"/>
                    <w:jc w:val="center"/>
                    <w:rPr>
                      <w:sz w:val="21"/>
                      <w:szCs w:val="21"/>
                    </w:rPr>
                  </w:pPr>
                  <w:r>
                    <w:rPr>
                      <w:sz w:val="21"/>
                      <w:szCs w:val="21"/>
                    </w:rPr>
                    <w:t>本项目类型及其选址、布局、规模符合环境保护法律法规和</w:t>
                  </w:r>
                  <w:r>
                    <w:rPr>
                      <w:rFonts w:hint="eastAsia"/>
                      <w:sz w:val="21"/>
                      <w:szCs w:val="21"/>
                    </w:rPr>
                    <w:t>相关</w:t>
                  </w:r>
                  <w:r>
                    <w:rPr>
                      <w:sz w:val="21"/>
                      <w:szCs w:val="21"/>
                    </w:rPr>
                    <w:t>法定规划，所在区域为非达标区域，在落实大气污染防治措施的情况下，区域环境空气质量可以得到改善，采取的污染防治措施属于</w:t>
                  </w:r>
                  <w:r>
                    <w:rPr>
                      <w:kern w:val="0"/>
                      <w:sz w:val="21"/>
                      <w:szCs w:val="21"/>
                    </w:rPr>
                    <w:t>可行技术，数据真实，结论可行。</w:t>
                  </w:r>
                </w:p>
              </w:tc>
            </w:tr>
            <w:tr w14:paraId="36C6F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7C3D38AD">
                  <w:pPr>
                    <w:keepLines/>
                    <w:tabs>
                      <w:tab w:val="left" w:pos="2160"/>
                    </w:tabs>
                    <w:snapToGrid w:val="0"/>
                    <w:spacing w:line="240" w:lineRule="auto"/>
                    <w:jc w:val="center"/>
                    <w:rPr>
                      <w:sz w:val="21"/>
                      <w:szCs w:val="21"/>
                    </w:rPr>
                  </w:pPr>
                  <w:r>
                    <w:rPr>
                      <w:sz w:val="21"/>
                      <w:szCs w:val="21"/>
                    </w:rPr>
                    <w:t>二《农用地土壤环境管理办法（试行）》（环境保护部 农业部令第46号）</w:t>
                  </w:r>
                </w:p>
              </w:tc>
              <w:tc>
                <w:tcPr>
                  <w:tcW w:w="2979" w:type="pct"/>
                  <w:gridSpan w:val="4"/>
                  <w:vAlign w:val="center"/>
                </w:tcPr>
                <w:p w14:paraId="109A0204">
                  <w:pPr>
                    <w:keepLines/>
                    <w:tabs>
                      <w:tab w:val="left" w:pos="2160"/>
                    </w:tabs>
                    <w:snapToGrid w:val="0"/>
                    <w:spacing w:line="240" w:lineRule="auto"/>
                    <w:ind w:firstLine="420" w:firstLineChars="200"/>
                    <w:jc w:val="left"/>
                    <w:rPr>
                      <w:sz w:val="21"/>
                      <w:szCs w:val="21"/>
                    </w:rPr>
                  </w:pPr>
                  <w:r>
                    <w:rPr>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426" w:type="pct"/>
                  <w:vAlign w:val="center"/>
                </w:tcPr>
                <w:p w14:paraId="28DC0CF9">
                  <w:pPr>
                    <w:keepLines/>
                    <w:tabs>
                      <w:tab w:val="left" w:pos="2160"/>
                    </w:tabs>
                    <w:snapToGrid w:val="0"/>
                    <w:spacing w:line="240" w:lineRule="auto"/>
                    <w:jc w:val="center"/>
                    <w:rPr>
                      <w:sz w:val="21"/>
                      <w:szCs w:val="21"/>
                    </w:rPr>
                  </w:pPr>
                  <w:r>
                    <w:rPr>
                      <w:sz w:val="21"/>
                      <w:szCs w:val="21"/>
                    </w:rPr>
                    <w:t>本项目所在地为工业用地且不属于上述行业企业。</w:t>
                  </w:r>
                </w:p>
              </w:tc>
            </w:tr>
            <w:tr w14:paraId="0C651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02C1BAF2">
                  <w:pPr>
                    <w:keepLines/>
                    <w:tabs>
                      <w:tab w:val="left" w:pos="2160"/>
                    </w:tabs>
                    <w:snapToGrid w:val="0"/>
                    <w:spacing w:line="240" w:lineRule="auto"/>
                    <w:jc w:val="center"/>
                    <w:rPr>
                      <w:sz w:val="21"/>
                      <w:szCs w:val="21"/>
                    </w:rPr>
                  </w:pPr>
                  <w:r>
                    <w:rPr>
                      <w:sz w:val="21"/>
                      <w:szCs w:val="21"/>
                    </w:rPr>
                    <w:t>三《关于印发&lt;建设项目主要污染物排放总量指标审核及管理暂行办法&gt;的通知》（环发</w:t>
                  </w:r>
                  <w:r>
                    <w:rPr>
                      <w:rFonts w:hint="eastAsia"/>
                      <w:sz w:val="21"/>
                      <w:szCs w:val="21"/>
                      <w:lang w:eastAsia="zh-CN"/>
                    </w:rPr>
                    <w:t>〔2014〕197号</w:t>
                  </w:r>
                  <w:r>
                    <w:rPr>
                      <w:sz w:val="21"/>
                      <w:szCs w:val="21"/>
                    </w:rPr>
                    <w:t>）</w:t>
                  </w:r>
                </w:p>
              </w:tc>
              <w:tc>
                <w:tcPr>
                  <w:tcW w:w="2979" w:type="pct"/>
                  <w:gridSpan w:val="4"/>
                  <w:vAlign w:val="center"/>
                </w:tcPr>
                <w:p w14:paraId="6495D0BF">
                  <w:pPr>
                    <w:keepLines/>
                    <w:tabs>
                      <w:tab w:val="left" w:pos="2160"/>
                    </w:tabs>
                    <w:snapToGrid w:val="0"/>
                    <w:spacing w:line="240" w:lineRule="auto"/>
                    <w:ind w:firstLine="420" w:firstLineChars="200"/>
                    <w:jc w:val="left"/>
                    <w:rPr>
                      <w:sz w:val="21"/>
                      <w:szCs w:val="21"/>
                    </w:rPr>
                  </w:pPr>
                  <w:r>
                    <w:rPr>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426" w:type="pct"/>
                  <w:vAlign w:val="center"/>
                </w:tcPr>
                <w:p w14:paraId="2E7D616C">
                  <w:pPr>
                    <w:keepLines/>
                    <w:tabs>
                      <w:tab w:val="left" w:pos="2160"/>
                    </w:tabs>
                    <w:snapToGrid w:val="0"/>
                    <w:spacing w:line="240" w:lineRule="auto"/>
                    <w:jc w:val="center"/>
                    <w:rPr>
                      <w:sz w:val="21"/>
                      <w:szCs w:val="21"/>
                    </w:rPr>
                  </w:pPr>
                  <w:r>
                    <w:rPr>
                      <w:sz w:val="21"/>
                      <w:szCs w:val="21"/>
                    </w:rPr>
                    <w:t>本项目新增的污染物在</w:t>
                  </w:r>
                  <w:r>
                    <w:rPr>
                      <w:rFonts w:hint="eastAsia"/>
                      <w:sz w:val="21"/>
                      <w:szCs w:val="21"/>
                    </w:rPr>
                    <w:t>横山桥镇</w:t>
                  </w:r>
                  <w:r>
                    <w:rPr>
                      <w:sz w:val="21"/>
                      <w:szCs w:val="21"/>
                    </w:rPr>
                    <w:t>范围内平衡。</w:t>
                  </w:r>
                </w:p>
              </w:tc>
            </w:tr>
            <w:tr w14:paraId="45A55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2C806F79">
                  <w:pPr>
                    <w:keepLines/>
                    <w:tabs>
                      <w:tab w:val="left" w:pos="2160"/>
                    </w:tabs>
                    <w:snapToGrid w:val="0"/>
                    <w:spacing w:line="240" w:lineRule="auto"/>
                    <w:jc w:val="center"/>
                    <w:rPr>
                      <w:sz w:val="21"/>
                      <w:szCs w:val="21"/>
                    </w:rPr>
                  </w:pPr>
                  <w:r>
                    <w:rPr>
                      <w:sz w:val="21"/>
                      <w:szCs w:val="21"/>
                    </w:rPr>
                    <w:t>四《关于以改善环境质量为核心加强环境影响评价管理的通知》（环环评</w:t>
                  </w:r>
                  <w:r>
                    <w:rPr>
                      <w:rFonts w:hint="eastAsia"/>
                      <w:sz w:val="21"/>
                      <w:szCs w:val="21"/>
                      <w:lang w:eastAsia="zh-CN"/>
                    </w:rPr>
                    <w:t>〔2016〕150号</w:t>
                  </w:r>
                  <w:r>
                    <w:rPr>
                      <w:sz w:val="21"/>
                      <w:szCs w:val="21"/>
                    </w:rPr>
                    <w:t>）</w:t>
                  </w:r>
                </w:p>
              </w:tc>
              <w:tc>
                <w:tcPr>
                  <w:tcW w:w="2979" w:type="pct"/>
                  <w:gridSpan w:val="4"/>
                  <w:vAlign w:val="center"/>
                </w:tcPr>
                <w:p w14:paraId="74997DD5">
                  <w:pPr>
                    <w:keepLines/>
                    <w:tabs>
                      <w:tab w:val="left" w:pos="2160"/>
                    </w:tabs>
                    <w:snapToGrid w:val="0"/>
                    <w:spacing w:line="240" w:lineRule="auto"/>
                    <w:ind w:firstLine="420" w:firstLineChars="200"/>
                    <w:jc w:val="left"/>
                    <w:rPr>
                      <w:sz w:val="21"/>
                      <w:szCs w:val="21"/>
                    </w:rPr>
                  </w:pPr>
                  <w:r>
                    <w:rPr>
                      <w:sz w:val="21"/>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14:paraId="0348D1EF">
                  <w:pPr>
                    <w:keepLines/>
                    <w:tabs>
                      <w:tab w:val="left" w:pos="2160"/>
                    </w:tabs>
                    <w:snapToGrid w:val="0"/>
                    <w:spacing w:line="240" w:lineRule="auto"/>
                    <w:ind w:firstLine="420" w:firstLineChars="200"/>
                    <w:jc w:val="left"/>
                    <w:rPr>
                      <w:sz w:val="21"/>
                      <w:szCs w:val="21"/>
                    </w:rPr>
                  </w:pPr>
                  <w:r>
                    <w:rPr>
                      <w:sz w:val="21"/>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426" w:type="pct"/>
                  <w:vAlign w:val="center"/>
                </w:tcPr>
                <w:p w14:paraId="4AA7AB86">
                  <w:pPr>
                    <w:keepLines/>
                    <w:tabs>
                      <w:tab w:val="left" w:pos="2160"/>
                    </w:tabs>
                    <w:snapToGrid w:val="0"/>
                    <w:spacing w:line="240" w:lineRule="auto"/>
                    <w:jc w:val="center"/>
                    <w:rPr>
                      <w:sz w:val="21"/>
                      <w:szCs w:val="21"/>
                    </w:rPr>
                  </w:pPr>
                  <w:r>
                    <w:rPr>
                      <w:rFonts w:hint="eastAsia" w:ascii="Times New Roman" w:hAnsi="Times New Roman" w:eastAsia="仿宋" w:cs="Times New Roman"/>
                      <w:color w:val="auto"/>
                      <w:sz w:val="21"/>
                      <w:szCs w:val="21"/>
                      <w:highlight w:val="none"/>
                      <w:lang w:val="en-US" w:eastAsia="zh-CN"/>
                    </w:rPr>
                    <w:t>本</w:t>
                  </w:r>
                  <w:r>
                    <w:rPr>
                      <w:rFonts w:hint="default" w:ascii="Times New Roman" w:hAnsi="Times New Roman" w:eastAsia="仿宋" w:cs="Times New Roman"/>
                      <w:color w:val="auto"/>
                      <w:sz w:val="21"/>
                      <w:szCs w:val="21"/>
                      <w:highlight w:val="none"/>
                      <w:lang w:eastAsia="zh-CN"/>
                    </w:rPr>
                    <w:t>项目</w:t>
                  </w:r>
                  <w:r>
                    <w:rPr>
                      <w:rFonts w:hint="default" w:ascii="Times New Roman" w:hAnsi="Times New Roman" w:eastAsia="仿宋" w:cs="Times New Roman"/>
                      <w:color w:val="auto"/>
                      <w:sz w:val="21"/>
                      <w:szCs w:val="21"/>
                      <w:highlight w:val="none"/>
                      <w:lang w:val="en-US" w:eastAsia="zh-CN"/>
                    </w:rPr>
                    <w:t>主要</w:t>
                  </w:r>
                  <w:r>
                    <w:rPr>
                      <w:rFonts w:hint="eastAsia" w:ascii="Times New Roman" w:hAnsi="Times New Roman" w:eastAsia="仿宋" w:cs="Times New Roman"/>
                      <w:color w:val="auto"/>
                      <w:sz w:val="21"/>
                      <w:szCs w:val="21"/>
                      <w:highlight w:val="none"/>
                      <w:lang w:val="en-US" w:eastAsia="zh-CN"/>
                    </w:rPr>
                    <w:t>从事</w:t>
                  </w:r>
                  <w:r>
                    <w:rPr>
                      <w:rFonts w:hint="eastAsia" w:ascii="仿宋" w:hAnsi="仿宋" w:cs="宋体"/>
                      <w:snapToGrid/>
                      <w:sz w:val="21"/>
                      <w:szCs w:val="21"/>
                      <w:lang w:val="en-US" w:eastAsia="zh-CN"/>
                    </w:rPr>
                    <w:t>铝制零部件</w:t>
                  </w:r>
                  <w:r>
                    <w:rPr>
                      <w:rFonts w:hint="eastAsia" w:ascii="仿宋" w:hAnsi="仿宋" w:cs="宋体"/>
                      <w:snapToGrid/>
                      <w:sz w:val="21"/>
                      <w:szCs w:val="21"/>
                      <w:lang w:eastAsia="zh-CN"/>
                    </w:rPr>
                    <w:t>生产</w:t>
                  </w:r>
                  <w:r>
                    <w:rPr>
                      <w:rFonts w:hint="default" w:ascii="Times New Roman" w:hAnsi="Times New Roman" w:eastAsia="仿宋" w:cs="Times New Roman"/>
                      <w:color w:val="auto"/>
                      <w:sz w:val="21"/>
                      <w:szCs w:val="21"/>
                      <w:highlight w:val="none"/>
                      <w:lang w:eastAsia="zh-CN"/>
                    </w:rPr>
                    <w:t>，位于</w:t>
                  </w:r>
                  <w:r>
                    <w:rPr>
                      <w:rFonts w:hint="eastAsia"/>
                      <w:bCs/>
                      <w:sz w:val="21"/>
                      <w:szCs w:val="21"/>
                      <w:lang w:eastAsia="zh-CN"/>
                    </w:rPr>
                    <w:t>常州经济开发区横山桥镇新安村委新芙路78号</w:t>
                  </w:r>
                  <w:r>
                    <w:rPr>
                      <w:rFonts w:hint="default"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lang w:val="en-US" w:eastAsia="zh-CN"/>
                    </w:rPr>
                    <w:t>对照《常州市武进区横山桥镇新安村村庄规划</w:t>
                  </w:r>
                  <w:r>
                    <w:rPr>
                      <w:rFonts w:hint="eastAsia" w:cs="Times New Roman"/>
                      <w:color w:val="auto"/>
                      <w:sz w:val="21"/>
                      <w:szCs w:val="21"/>
                      <w:highlight w:val="none"/>
                      <w:lang w:val="en-US" w:eastAsia="zh-CN"/>
                    </w:rPr>
                    <w:t>（2021-2035年）</w:t>
                  </w:r>
                  <w:r>
                    <w:rPr>
                      <w:rFonts w:hint="eastAsia" w:ascii="Times New Roman" w:hAnsi="Times New Roman" w:eastAsia="仿宋" w:cs="Times New Roman"/>
                      <w:color w:val="auto"/>
                      <w:sz w:val="21"/>
                      <w:szCs w:val="21"/>
                      <w:highlight w:val="none"/>
                      <w:lang w:val="en-US" w:eastAsia="zh-CN"/>
                    </w:rPr>
                    <w:t>》，项目所在地为工业用地</w:t>
                  </w:r>
                  <w:r>
                    <w:rPr>
                      <w:rFonts w:hint="default" w:ascii="Times New Roman" w:hAnsi="Times New Roman" w:eastAsia="仿宋" w:cs="Times New Roman"/>
                      <w:color w:val="auto"/>
                      <w:sz w:val="21"/>
                      <w:szCs w:val="21"/>
                      <w:highlight w:val="none"/>
                    </w:rPr>
                    <w:t>；项目所在地为非达标区，大气污染物</w:t>
                  </w:r>
                  <w:r>
                    <w:rPr>
                      <w:rFonts w:hint="eastAsia" w:eastAsia="仿宋" w:cs="Times New Roman"/>
                      <w:color w:val="auto"/>
                      <w:sz w:val="21"/>
                      <w:szCs w:val="21"/>
                      <w:highlight w:val="none"/>
                      <w:lang w:val="en-US" w:eastAsia="zh-CN"/>
                    </w:rPr>
                    <w:t>和水污染物</w:t>
                  </w:r>
                  <w:r>
                    <w:rPr>
                      <w:rFonts w:hint="default" w:ascii="Times New Roman" w:hAnsi="Times New Roman" w:eastAsia="仿宋" w:cs="Times New Roman"/>
                      <w:color w:val="auto"/>
                      <w:sz w:val="21"/>
                      <w:szCs w:val="21"/>
                      <w:highlight w:val="none"/>
                    </w:rPr>
                    <w:t>在区域内进行平衡；项目所在地不在生态空间管控区域内。</w:t>
                  </w:r>
                </w:p>
              </w:tc>
            </w:tr>
            <w:tr w14:paraId="6A592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0D09985C">
                  <w:pPr>
                    <w:keepLines/>
                    <w:tabs>
                      <w:tab w:val="left" w:pos="2160"/>
                    </w:tabs>
                    <w:snapToGrid w:val="0"/>
                    <w:spacing w:line="240" w:lineRule="auto"/>
                    <w:jc w:val="center"/>
                    <w:rPr>
                      <w:sz w:val="21"/>
                      <w:szCs w:val="21"/>
                    </w:rPr>
                  </w:pPr>
                  <w:r>
                    <w:rPr>
                      <w:sz w:val="21"/>
                      <w:szCs w:val="21"/>
                    </w:rPr>
                    <w:t>五《关于全面加强生态环境保护坚决打好污染防治攻坚战的实施意见》（苏发</w:t>
                  </w:r>
                  <w:r>
                    <w:rPr>
                      <w:rFonts w:hint="eastAsia"/>
                      <w:sz w:val="21"/>
                      <w:szCs w:val="21"/>
                      <w:lang w:eastAsia="zh-CN"/>
                    </w:rPr>
                    <w:t>〔2018〕24号</w:t>
                  </w:r>
                  <w:r>
                    <w:rPr>
                      <w:sz w:val="21"/>
                      <w:szCs w:val="21"/>
                    </w:rPr>
                    <w:t>）</w:t>
                  </w:r>
                </w:p>
              </w:tc>
              <w:tc>
                <w:tcPr>
                  <w:tcW w:w="2979" w:type="pct"/>
                  <w:gridSpan w:val="4"/>
                  <w:vAlign w:val="center"/>
                </w:tcPr>
                <w:p w14:paraId="5AA61EB2">
                  <w:pPr>
                    <w:keepLines/>
                    <w:tabs>
                      <w:tab w:val="left" w:pos="2160"/>
                    </w:tabs>
                    <w:snapToGrid w:val="0"/>
                    <w:spacing w:line="240" w:lineRule="auto"/>
                    <w:ind w:firstLine="420" w:firstLineChars="200"/>
                    <w:jc w:val="left"/>
                    <w:rPr>
                      <w:sz w:val="21"/>
                      <w:szCs w:val="21"/>
                    </w:rPr>
                  </w:pPr>
                  <w:r>
                    <w:rPr>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426" w:type="pct"/>
                  <w:vAlign w:val="center"/>
                </w:tcPr>
                <w:p w14:paraId="5A467A73">
                  <w:pPr>
                    <w:keepLines/>
                    <w:tabs>
                      <w:tab w:val="left" w:pos="2160"/>
                    </w:tabs>
                    <w:snapToGrid w:val="0"/>
                    <w:spacing w:line="240" w:lineRule="auto"/>
                    <w:jc w:val="center"/>
                    <w:rPr>
                      <w:sz w:val="21"/>
                      <w:szCs w:val="21"/>
                    </w:rPr>
                  </w:pPr>
                  <w:r>
                    <w:rPr>
                      <w:sz w:val="21"/>
                      <w:szCs w:val="21"/>
                    </w:rPr>
                    <w:t>本项目不在长江干流及主要支流岸线1公里范围内且不属于化工企业。</w:t>
                  </w:r>
                </w:p>
              </w:tc>
            </w:tr>
            <w:tr w14:paraId="2CDA9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43EDB8F1">
                  <w:pPr>
                    <w:keepLines/>
                    <w:tabs>
                      <w:tab w:val="left" w:pos="2160"/>
                    </w:tabs>
                    <w:snapToGrid w:val="0"/>
                    <w:spacing w:line="240" w:lineRule="auto"/>
                    <w:jc w:val="center"/>
                    <w:rPr>
                      <w:sz w:val="21"/>
                      <w:szCs w:val="21"/>
                    </w:rPr>
                  </w:pPr>
                  <w:r>
                    <w:rPr>
                      <w:sz w:val="21"/>
                      <w:szCs w:val="21"/>
                    </w:rPr>
                    <w:t>六《关于加快全省化工钢铁煤电行业转型升级高质量发展的实施意见》（苏办发</w:t>
                  </w:r>
                  <w:r>
                    <w:rPr>
                      <w:rFonts w:hint="eastAsia"/>
                      <w:sz w:val="21"/>
                      <w:szCs w:val="21"/>
                      <w:lang w:eastAsia="zh-CN"/>
                    </w:rPr>
                    <w:t>〔2018〕32号</w:t>
                  </w:r>
                  <w:r>
                    <w:rPr>
                      <w:sz w:val="21"/>
                      <w:szCs w:val="21"/>
                    </w:rPr>
                    <w:t>）</w:t>
                  </w:r>
                </w:p>
              </w:tc>
              <w:tc>
                <w:tcPr>
                  <w:tcW w:w="2979" w:type="pct"/>
                  <w:gridSpan w:val="4"/>
                  <w:vAlign w:val="center"/>
                </w:tcPr>
                <w:p w14:paraId="75E68A79">
                  <w:pPr>
                    <w:keepLines/>
                    <w:tabs>
                      <w:tab w:val="left" w:pos="2160"/>
                    </w:tabs>
                    <w:snapToGrid w:val="0"/>
                    <w:spacing w:line="240" w:lineRule="auto"/>
                    <w:ind w:firstLine="420" w:firstLineChars="200"/>
                    <w:jc w:val="left"/>
                    <w:rPr>
                      <w:sz w:val="21"/>
                      <w:szCs w:val="21"/>
                    </w:rPr>
                  </w:pPr>
                  <w:r>
                    <w:rPr>
                      <w:sz w:val="21"/>
                      <w:szCs w:val="21"/>
                    </w:rPr>
                    <w:t>禁止新建燃煤自备电厂。在重点地区执行《江苏省化工钢铁煤电行业环境准入和排放标准》。燃煤电厂2019年底前全部实行超低排放。</w:t>
                  </w:r>
                </w:p>
              </w:tc>
              <w:tc>
                <w:tcPr>
                  <w:tcW w:w="1426" w:type="pct"/>
                  <w:vAlign w:val="center"/>
                </w:tcPr>
                <w:p w14:paraId="72DEAC2E">
                  <w:pPr>
                    <w:keepLines/>
                    <w:tabs>
                      <w:tab w:val="left" w:pos="2160"/>
                    </w:tabs>
                    <w:snapToGrid w:val="0"/>
                    <w:spacing w:line="240" w:lineRule="auto"/>
                    <w:jc w:val="center"/>
                    <w:rPr>
                      <w:sz w:val="21"/>
                      <w:szCs w:val="21"/>
                    </w:rPr>
                  </w:pPr>
                  <w:r>
                    <w:rPr>
                      <w:sz w:val="21"/>
                      <w:szCs w:val="21"/>
                    </w:rPr>
                    <w:t>本项目不新建燃煤自备电厂。</w:t>
                  </w:r>
                </w:p>
              </w:tc>
            </w:tr>
            <w:tr w14:paraId="181E0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3CAA89FD">
                  <w:pPr>
                    <w:keepLines/>
                    <w:tabs>
                      <w:tab w:val="left" w:pos="2160"/>
                    </w:tabs>
                    <w:snapToGrid w:val="0"/>
                    <w:spacing w:line="240" w:lineRule="auto"/>
                    <w:jc w:val="center"/>
                    <w:rPr>
                      <w:sz w:val="21"/>
                      <w:szCs w:val="21"/>
                    </w:rPr>
                  </w:pPr>
                  <w:r>
                    <w:rPr>
                      <w:rFonts w:hint="eastAsia"/>
                      <w:sz w:val="21"/>
                      <w:szCs w:val="21"/>
                    </w:rPr>
                    <w:t>八</w:t>
                  </w:r>
                  <w:r>
                    <w:rPr>
                      <w:sz w:val="21"/>
                      <w:szCs w:val="21"/>
                    </w:rPr>
                    <w:t>《省政府关于深入推进全省化工行业转型发展的实施意见》（苏政发</w:t>
                  </w:r>
                  <w:r>
                    <w:rPr>
                      <w:rFonts w:hint="eastAsia"/>
                      <w:sz w:val="21"/>
                      <w:szCs w:val="21"/>
                      <w:lang w:eastAsia="zh-CN"/>
                    </w:rPr>
                    <w:t>〔2016〕128号</w:t>
                  </w:r>
                  <w:r>
                    <w:rPr>
                      <w:sz w:val="21"/>
                      <w:szCs w:val="21"/>
                    </w:rPr>
                    <w:t>）</w:t>
                  </w:r>
                </w:p>
              </w:tc>
              <w:tc>
                <w:tcPr>
                  <w:tcW w:w="2979" w:type="pct"/>
                  <w:gridSpan w:val="4"/>
                  <w:vAlign w:val="center"/>
                </w:tcPr>
                <w:p w14:paraId="6F078185">
                  <w:pPr>
                    <w:keepLines/>
                    <w:tabs>
                      <w:tab w:val="left" w:pos="2160"/>
                    </w:tabs>
                    <w:snapToGrid w:val="0"/>
                    <w:spacing w:line="240" w:lineRule="auto"/>
                    <w:ind w:firstLine="420" w:firstLineChars="200"/>
                    <w:jc w:val="left"/>
                    <w:rPr>
                      <w:sz w:val="21"/>
                      <w:szCs w:val="21"/>
                    </w:rPr>
                  </w:pPr>
                  <w:r>
                    <w:rPr>
                      <w:sz w:val="21"/>
                      <w:szCs w:val="21"/>
                    </w:rPr>
                    <w:t>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p w14:paraId="6B0399EC">
                  <w:pPr>
                    <w:keepLines/>
                    <w:tabs>
                      <w:tab w:val="left" w:pos="2160"/>
                    </w:tabs>
                    <w:snapToGrid w:val="0"/>
                    <w:spacing w:line="240" w:lineRule="auto"/>
                    <w:ind w:firstLine="420" w:firstLineChars="200"/>
                    <w:jc w:val="left"/>
                    <w:rPr>
                      <w:sz w:val="21"/>
                      <w:szCs w:val="21"/>
                    </w:rPr>
                  </w:pPr>
                  <w:r>
                    <w:rPr>
                      <w:sz w:val="21"/>
                      <w:szCs w:val="21"/>
                    </w:rPr>
                    <w:t>严禁在长江干流及主要支流岸线1公里范围内新建危化品码头。</w:t>
                  </w:r>
                </w:p>
              </w:tc>
              <w:tc>
                <w:tcPr>
                  <w:tcW w:w="1426" w:type="pct"/>
                  <w:vAlign w:val="center"/>
                </w:tcPr>
                <w:p w14:paraId="393F452F">
                  <w:pPr>
                    <w:keepLines/>
                    <w:tabs>
                      <w:tab w:val="left" w:pos="2160"/>
                    </w:tabs>
                    <w:snapToGrid w:val="0"/>
                    <w:spacing w:line="240" w:lineRule="auto"/>
                    <w:jc w:val="center"/>
                    <w:rPr>
                      <w:sz w:val="21"/>
                      <w:szCs w:val="21"/>
                    </w:rPr>
                  </w:pPr>
                  <w:r>
                    <w:rPr>
                      <w:sz w:val="21"/>
                      <w:szCs w:val="21"/>
                    </w:rPr>
                    <w:t>本项目不属于化工项目，不在长江干流及主要支流岸线1公里范围内且不新建危化品码头。</w:t>
                  </w:r>
                </w:p>
              </w:tc>
            </w:tr>
            <w:tr w14:paraId="51282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3A27F608">
                  <w:pPr>
                    <w:keepLines/>
                    <w:tabs>
                      <w:tab w:val="left" w:pos="2160"/>
                    </w:tabs>
                    <w:snapToGrid w:val="0"/>
                    <w:spacing w:line="240" w:lineRule="auto"/>
                    <w:jc w:val="center"/>
                    <w:rPr>
                      <w:sz w:val="21"/>
                      <w:szCs w:val="21"/>
                    </w:rPr>
                  </w:pPr>
                  <w:r>
                    <w:rPr>
                      <w:rFonts w:hint="eastAsia"/>
                      <w:sz w:val="21"/>
                      <w:szCs w:val="21"/>
                    </w:rPr>
                    <w:t>九</w:t>
                  </w:r>
                  <w:r>
                    <w:rPr>
                      <w:sz w:val="21"/>
                      <w:szCs w:val="21"/>
                    </w:rPr>
                    <w:t>《省</w:t>
                  </w:r>
                  <w:r>
                    <w:rPr>
                      <w:rFonts w:hint="eastAsia"/>
                      <w:sz w:val="21"/>
                      <w:szCs w:val="21"/>
                    </w:rPr>
                    <w:t>政府</w:t>
                  </w:r>
                  <w:r>
                    <w:rPr>
                      <w:sz w:val="21"/>
                      <w:szCs w:val="21"/>
                    </w:rPr>
                    <w:t>关于印发江苏省国家级生态保护红线规划的通知》（苏政发</w:t>
                  </w:r>
                  <w:r>
                    <w:rPr>
                      <w:rFonts w:hint="eastAsia"/>
                      <w:sz w:val="21"/>
                      <w:szCs w:val="21"/>
                      <w:lang w:eastAsia="zh-CN"/>
                    </w:rPr>
                    <w:t>〔2018〕74号</w:t>
                  </w:r>
                  <w:r>
                    <w:rPr>
                      <w:sz w:val="21"/>
                      <w:szCs w:val="21"/>
                    </w:rPr>
                    <w:t>）</w:t>
                  </w:r>
                </w:p>
              </w:tc>
              <w:tc>
                <w:tcPr>
                  <w:tcW w:w="2979" w:type="pct"/>
                  <w:gridSpan w:val="4"/>
                  <w:vAlign w:val="center"/>
                </w:tcPr>
                <w:p w14:paraId="1B32C324">
                  <w:pPr>
                    <w:keepLines/>
                    <w:tabs>
                      <w:tab w:val="left" w:pos="2160"/>
                    </w:tabs>
                    <w:snapToGrid w:val="0"/>
                    <w:spacing w:line="240" w:lineRule="auto"/>
                    <w:ind w:firstLine="420" w:firstLineChars="200"/>
                    <w:jc w:val="left"/>
                    <w:rPr>
                      <w:sz w:val="21"/>
                      <w:szCs w:val="21"/>
                    </w:rPr>
                  </w:pPr>
                  <w:r>
                    <w:rPr>
                      <w:sz w:val="21"/>
                      <w:szCs w:val="21"/>
                    </w:rPr>
                    <w:t>生态保护红线原则上按禁止开发区域的要求进行管理，严禁不符合主体功能定位的各类开发活动，严禁任意改变用途。</w:t>
                  </w:r>
                </w:p>
              </w:tc>
              <w:tc>
                <w:tcPr>
                  <w:tcW w:w="1426" w:type="pct"/>
                  <w:vAlign w:val="center"/>
                </w:tcPr>
                <w:p w14:paraId="0DC18DE0">
                  <w:pPr>
                    <w:keepLines/>
                    <w:tabs>
                      <w:tab w:val="left" w:pos="2160"/>
                    </w:tabs>
                    <w:snapToGrid w:val="0"/>
                    <w:spacing w:line="240" w:lineRule="auto"/>
                    <w:jc w:val="center"/>
                    <w:rPr>
                      <w:sz w:val="21"/>
                      <w:szCs w:val="21"/>
                    </w:rPr>
                  </w:pPr>
                  <w:r>
                    <w:rPr>
                      <w:sz w:val="21"/>
                      <w:szCs w:val="21"/>
                    </w:rPr>
                    <w:t>本项目不在生态保护红线范围内。</w:t>
                  </w:r>
                </w:p>
              </w:tc>
            </w:tr>
            <w:tr w14:paraId="72D84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4A2C7B2F">
                  <w:pPr>
                    <w:keepLines/>
                    <w:tabs>
                      <w:tab w:val="left" w:pos="2160"/>
                    </w:tabs>
                    <w:snapToGrid w:val="0"/>
                    <w:spacing w:line="240" w:lineRule="auto"/>
                    <w:jc w:val="center"/>
                    <w:rPr>
                      <w:sz w:val="21"/>
                      <w:szCs w:val="21"/>
                    </w:rPr>
                  </w:pPr>
                  <w:r>
                    <w:rPr>
                      <w:rFonts w:hint="eastAsia"/>
                      <w:sz w:val="21"/>
                      <w:szCs w:val="21"/>
                    </w:rPr>
                    <w:t>十</w:t>
                  </w:r>
                  <w:r>
                    <w:rPr>
                      <w:sz w:val="21"/>
                      <w:szCs w:val="21"/>
                    </w:rPr>
                    <w:t>《省政府办公厅关于加强危险废物污染防治工作的意见》（苏政办发</w:t>
                  </w:r>
                  <w:r>
                    <w:rPr>
                      <w:rFonts w:hint="eastAsia"/>
                      <w:sz w:val="21"/>
                      <w:szCs w:val="21"/>
                      <w:lang w:eastAsia="zh-CN"/>
                    </w:rPr>
                    <w:t>〔2018〕91号</w:t>
                  </w:r>
                  <w:r>
                    <w:rPr>
                      <w:sz w:val="21"/>
                      <w:szCs w:val="21"/>
                    </w:rPr>
                    <w:t>）</w:t>
                  </w:r>
                </w:p>
              </w:tc>
              <w:tc>
                <w:tcPr>
                  <w:tcW w:w="2979" w:type="pct"/>
                  <w:gridSpan w:val="4"/>
                  <w:vAlign w:val="center"/>
                </w:tcPr>
                <w:p w14:paraId="01AB28BF">
                  <w:pPr>
                    <w:keepLines/>
                    <w:tabs>
                      <w:tab w:val="left" w:pos="2160"/>
                    </w:tabs>
                    <w:snapToGrid w:val="0"/>
                    <w:spacing w:line="240" w:lineRule="auto"/>
                    <w:ind w:firstLine="420" w:firstLineChars="200"/>
                    <w:jc w:val="left"/>
                    <w:rPr>
                      <w:sz w:val="21"/>
                      <w:szCs w:val="21"/>
                    </w:rPr>
                  </w:pPr>
                  <w:r>
                    <w:rPr>
                      <w:sz w:val="21"/>
                      <w:szCs w:val="21"/>
                    </w:rPr>
                    <w:t>禁止审批无法落实危险废物利用、处置途径的项目，从严审批危险废物产生量大、本地无配套利用处置能力、且需设区市统筹解决的项目。</w:t>
                  </w:r>
                </w:p>
              </w:tc>
              <w:tc>
                <w:tcPr>
                  <w:tcW w:w="1426" w:type="pct"/>
                  <w:vAlign w:val="center"/>
                </w:tcPr>
                <w:p w14:paraId="1FD43067">
                  <w:pPr>
                    <w:keepLines/>
                    <w:tabs>
                      <w:tab w:val="left" w:pos="2160"/>
                    </w:tabs>
                    <w:snapToGrid w:val="0"/>
                    <w:spacing w:line="240" w:lineRule="auto"/>
                    <w:jc w:val="center"/>
                    <w:rPr>
                      <w:sz w:val="21"/>
                      <w:szCs w:val="21"/>
                    </w:rPr>
                  </w:pPr>
                  <w:r>
                    <w:rPr>
                      <w:sz w:val="21"/>
                      <w:szCs w:val="21"/>
                    </w:rPr>
                    <w:t>本项目</w:t>
                  </w:r>
                  <w:r>
                    <w:rPr>
                      <w:rFonts w:hint="eastAsia"/>
                      <w:sz w:val="21"/>
                      <w:szCs w:val="21"/>
                    </w:rPr>
                    <w:t>产生的危废均委托有资质单位处置</w:t>
                  </w:r>
                  <w:r>
                    <w:rPr>
                      <w:sz w:val="21"/>
                      <w:szCs w:val="21"/>
                    </w:rPr>
                    <w:t>。</w:t>
                  </w:r>
                  <w:r>
                    <w:rPr>
                      <w:rFonts w:hint="eastAsia"/>
                      <w:sz w:val="21"/>
                      <w:szCs w:val="21"/>
                    </w:rPr>
                    <w:t>相符。</w:t>
                  </w:r>
                </w:p>
              </w:tc>
            </w:tr>
            <w:tr w14:paraId="0DD4B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20154369">
                  <w:pPr>
                    <w:snapToGrid w:val="0"/>
                    <w:spacing w:line="240" w:lineRule="auto"/>
                    <w:jc w:val="center"/>
                    <w:rPr>
                      <w:b/>
                      <w:sz w:val="21"/>
                      <w:szCs w:val="21"/>
                    </w:rPr>
                  </w:pPr>
                  <w:r>
                    <w:rPr>
                      <w:b/>
                      <w:sz w:val="21"/>
                      <w:szCs w:val="21"/>
                    </w:rPr>
                    <w:t>省生态环境厅关于进一步加强建设项目环评审批和服务工作的指导意见</w:t>
                  </w:r>
                </w:p>
                <w:p w14:paraId="70712D0D">
                  <w:pPr>
                    <w:snapToGrid w:val="0"/>
                    <w:spacing w:line="240" w:lineRule="auto"/>
                    <w:jc w:val="center"/>
                    <w:rPr>
                      <w:b/>
                      <w:bCs/>
                      <w:sz w:val="21"/>
                      <w:szCs w:val="21"/>
                    </w:rPr>
                  </w:pPr>
                  <w:r>
                    <w:rPr>
                      <w:b/>
                      <w:sz w:val="21"/>
                      <w:szCs w:val="21"/>
                    </w:rPr>
                    <w:t>（苏环办</w:t>
                  </w:r>
                  <w:r>
                    <w:rPr>
                      <w:rFonts w:hint="eastAsia"/>
                      <w:b/>
                      <w:sz w:val="21"/>
                      <w:szCs w:val="21"/>
                      <w:lang w:eastAsia="zh-CN"/>
                    </w:rPr>
                    <w:t>〔2020〕225号</w:t>
                  </w:r>
                  <w:r>
                    <w:rPr>
                      <w:b/>
                      <w:sz w:val="21"/>
                      <w:szCs w:val="21"/>
                    </w:rPr>
                    <w:t>）</w:t>
                  </w:r>
                </w:p>
              </w:tc>
            </w:tr>
            <w:tr w14:paraId="6C637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7EF6ED85">
                  <w:pPr>
                    <w:tabs>
                      <w:tab w:val="left" w:pos="2160"/>
                    </w:tabs>
                    <w:snapToGrid w:val="0"/>
                    <w:spacing w:line="240" w:lineRule="auto"/>
                    <w:jc w:val="center"/>
                    <w:rPr>
                      <w:sz w:val="21"/>
                      <w:szCs w:val="21"/>
                    </w:rPr>
                  </w:pPr>
                  <w:r>
                    <w:rPr>
                      <w:sz w:val="21"/>
                      <w:szCs w:val="21"/>
                    </w:rPr>
                    <w:t>严守生态环境质量底线</w:t>
                  </w:r>
                </w:p>
              </w:tc>
              <w:tc>
                <w:tcPr>
                  <w:tcW w:w="2979" w:type="pct"/>
                  <w:gridSpan w:val="4"/>
                  <w:vAlign w:val="center"/>
                </w:tcPr>
                <w:p w14:paraId="1060958F">
                  <w:pPr>
                    <w:autoSpaceDE w:val="0"/>
                    <w:autoSpaceDN w:val="0"/>
                    <w:snapToGrid w:val="0"/>
                    <w:spacing w:line="240" w:lineRule="auto"/>
                    <w:jc w:val="left"/>
                    <w:rPr>
                      <w:sz w:val="21"/>
                      <w:szCs w:val="21"/>
                    </w:rPr>
                  </w:pPr>
                  <w:r>
                    <w:rPr>
                      <w:sz w:val="21"/>
                      <w:szCs w:val="21"/>
                    </w:rPr>
                    <w:t>坚持以改善环境质量为核心，开发建设活动不得突破区域生态环境承载能力，确保</w:t>
                  </w:r>
                  <w:r>
                    <w:rPr>
                      <w:rFonts w:hint="eastAsia"/>
                      <w:sz w:val="21"/>
                      <w:szCs w:val="21"/>
                      <w:lang w:eastAsia="zh-CN"/>
                    </w:rPr>
                    <w:t>“</w:t>
                  </w:r>
                  <w:r>
                    <w:rPr>
                      <w:sz w:val="21"/>
                      <w:szCs w:val="21"/>
                    </w:rPr>
                    <w:t>生态环境质量只能更好、不能变坏</w:t>
                  </w:r>
                  <w:r>
                    <w:rPr>
                      <w:rFonts w:hint="eastAsia"/>
                      <w:sz w:val="21"/>
                      <w:szCs w:val="21"/>
                      <w:lang w:eastAsia="zh-CN"/>
                    </w:rPr>
                    <w:t>”</w:t>
                  </w:r>
                  <w:r>
                    <w:rPr>
                      <w:sz w:val="21"/>
                      <w:szCs w:val="21"/>
                    </w:rPr>
                    <w:t>。</w:t>
                  </w:r>
                </w:p>
                <w:p w14:paraId="65739248">
                  <w:pPr>
                    <w:autoSpaceDE w:val="0"/>
                    <w:autoSpaceDN w:val="0"/>
                    <w:snapToGrid w:val="0"/>
                    <w:spacing w:line="240" w:lineRule="auto"/>
                    <w:jc w:val="left"/>
                    <w:rPr>
                      <w:sz w:val="21"/>
                      <w:szCs w:val="21"/>
                    </w:rPr>
                  </w:pPr>
                  <w:r>
                    <w:rPr>
                      <w:sz w:val="21"/>
                      <w:szCs w:val="21"/>
                    </w:rPr>
                    <w:t>（一）建设项目所在区域环境质量未达到国家或地方环境质量标准，且项目拟采取的污染防治措施不能满足区域环境质量改善目标管理要求的，一律不得审批。</w:t>
                  </w:r>
                </w:p>
                <w:p w14:paraId="50179993">
                  <w:pPr>
                    <w:autoSpaceDE w:val="0"/>
                    <w:autoSpaceDN w:val="0"/>
                    <w:snapToGrid w:val="0"/>
                    <w:spacing w:line="240" w:lineRule="auto"/>
                    <w:jc w:val="left"/>
                    <w:rPr>
                      <w:sz w:val="21"/>
                      <w:szCs w:val="21"/>
                    </w:rPr>
                  </w:pPr>
                  <w:r>
                    <w:rPr>
                      <w:sz w:val="21"/>
                      <w:szCs w:val="21"/>
                    </w:rPr>
                    <w:t>（二）加强规划环评与建设项目环评联动，对不符合规划环评结论及审查意见的项目环评，依法不予审批。规划所包含项目的环评内容，可根据规划环评结论和审查意见予以简化。</w:t>
                  </w:r>
                </w:p>
                <w:p w14:paraId="07F8D6C0">
                  <w:pPr>
                    <w:autoSpaceDE w:val="0"/>
                    <w:autoSpaceDN w:val="0"/>
                    <w:snapToGrid w:val="0"/>
                    <w:spacing w:line="240" w:lineRule="auto"/>
                    <w:jc w:val="left"/>
                    <w:rPr>
                      <w:sz w:val="21"/>
                      <w:szCs w:val="21"/>
                    </w:rPr>
                  </w:pPr>
                  <w:r>
                    <w:rPr>
                      <w:sz w:val="21"/>
                      <w:szCs w:val="21"/>
                    </w:rPr>
                    <w:t>（三）切实加强区域环境容量、环境承载力研究，不得审批突破环境容量和环境承载力的建设项目。</w:t>
                  </w:r>
                </w:p>
                <w:p w14:paraId="69677B6F">
                  <w:pPr>
                    <w:autoSpaceDE w:val="0"/>
                    <w:autoSpaceDN w:val="0"/>
                    <w:snapToGrid w:val="0"/>
                    <w:spacing w:line="240" w:lineRule="auto"/>
                    <w:jc w:val="left"/>
                    <w:rPr>
                      <w:sz w:val="21"/>
                      <w:szCs w:val="21"/>
                    </w:rPr>
                  </w:pPr>
                  <w:r>
                    <w:rPr>
                      <w:sz w:val="21"/>
                      <w:szCs w:val="21"/>
                    </w:rPr>
                    <w:t>（四）应将</w:t>
                  </w:r>
                  <w:r>
                    <w:rPr>
                      <w:rFonts w:hint="eastAsia"/>
                      <w:sz w:val="21"/>
                      <w:szCs w:val="21"/>
                      <w:lang w:eastAsia="zh-CN"/>
                    </w:rPr>
                    <w:t>“</w:t>
                  </w:r>
                  <w:r>
                    <w:rPr>
                      <w:sz w:val="21"/>
                      <w:szCs w:val="21"/>
                    </w:rPr>
                    <w:t>三线一单</w:t>
                  </w:r>
                  <w:r>
                    <w:rPr>
                      <w:rFonts w:hint="eastAsia"/>
                      <w:sz w:val="21"/>
                      <w:szCs w:val="21"/>
                      <w:lang w:eastAsia="zh-CN"/>
                    </w:rPr>
                    <w:t>”</w:t>
                  </w:r>
                  <w:r>
                    <w:rPr>
                      <w:sz w:val="21"/>
                      <w:szCs w:val="21"/>
                    </w:rPr>
                    <w:t>作为建设项目环评审批的重要依据，严格落实生态环境分区管控要求，从严把好环境准入关。</w:t>
                  </w:r>
                </w:p>
              </w:tc>
              <w:tc>
                <w:tcPr>
                  <w:tcW w:w="1426" w:type="pct"/>
                  <w:vMerge w:val="restart"/>
                  <w:vAlign w:val="center"/>
                </w:tcPr>
                <w:p w14:paraId="358C48DE">
                  <w:pPr>
                    <w:snapToGrid w:val="0"/>
                    <w:spacing w:line="240" w:lineRule="auto"/>
                    <w:jc w:val="center"/>
                    <w:rPr>
                      <w:rFonts w:ascii="仿宋" w:hAnsi="仿宋" w:cs="仿宋"/>
                      <w:bCs/>
                      <w:sz w:val="21"/>
                      <w:szCs w:val="21"/>
                    </w:rPr>
                  </w:pPr>
                  <w:r>
                    <w:rPr>
                      <w:rFonts w:hint="eastAsia" w:ascii="仿宋" w:hAnsi="仿宋" w:cs="仿宋"/>
                      <w:bCs/>
                      <w:sz w:val="21"/>
                      <w:szCs w:val="21"/>
                    </w:rPr>
                    <w:t>本项目所在区域为非达标区，为实现区域环境质量达标，常州市生态环境局提出一系列大气污染防治措施，区域环境空气质量可以得到改善，符合区域产业定位，符合</w:t>
                  </w:r>
                  <w:r>
                    <w:rPr>
                      <w:rFonts w:hint="eastAsia" w:ascii="仿宋" w:hAnsi="仿宋" w:cs="仿宋"/>
                      <w:bCs/>
                      <w:sz w:val="21"/>
                      <w:szCs w:val="21"/>
                      <w:lang w:eastAsia="zh-CN"/>
                    </w:rPr>
                    <w:t>“</w:t>
                  </w:r>
                  <w:r>
                    <w:rPr>
                      <w:rFonts w:hint="eastAsia" w:ascii="仿宋" w:hAnsi="仿宋" w:cs="仿宋"/>
                      <w:bCs/>
                      <w:sz w:val="21"/>
                      <w:szCs w:val="21"/>
                    </w:rPr>
                    <w:t>三线一单</w:t>
                  </w:r>
                  <w:r>
                    <w:rPr>
                      <w:rFonts w:hint="eastAsia" w:ascii="仿宋" w:hAnsi="仿宋" w:cs="仿宋"/>
                      <w:bCs/>
                      <w:sz w:val="21"/>
                      <w:szCs w:val="21"/>
                      <w:lang w:eastAsia="zh-CN"/>
                    </w:rPr>
                    <w:t>”</w:t>
                  </w:r>
                  <w:r>
                    <w:rPr>
                      <w:rFonts w:hint="eastAsia" w:ascii="仿宋" w:hAnsi="仿宋" w:cs="仿宋"/>
                      <w:bCs/>
                      <w:sz w:val="21"/>
                      <w:szCs w:val="21"/>
                    </w:rPr>
                    <w:t>管理要求，不属于禁止类项目。</w:t>
                  </w:r>
                </w:p>
              </w:tc>
            </w:tr>
            <w:tr w14:paraId="39740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4A3E7625">
                  <w:pPr>
                    <w:tabs>
                      <w:tab w:val="left" w:pos="2160"/>
                    </w:tabs>
                    <w:snapToGrid w:val="0"/>
                    <w:spacing w:line="240" w:lineRule="auto"/>
                    <w:jc w:val="center"/>
                    <w:rPr>
                      <w:sz w:val="21"/>
                      <w:szCs w:val="21"/>
                    </w:rPr>
                  </w:pPr>
                  <w:r>
                    <w:rPr>
                      <w:sz w:val="21"/>
                      <w:szCs w:val="21"/>
                    </w:rPr>
                    <w:t>严格重点行业环评审批</w:t>
                  </w:r>
                </w:p>
              </w:tc>
              <w:tc>
                <w:tcPr>
                  <w:tcW w:w="2979" w:type="pct"/>
                  <w:gridSpan w:val="4"/>
                  <w:vAlign w:val="center"/>
                </w:tcPr>
                <w:p w14:paraId="6388BF2D">
                  <w:pPr>
                    <w:autoSpaceDE w:val="0"/>
                    <w:autoSpaceDN w:val="0"/>
                    <w:snapToGrid w:val="0"/>
                    <w:spacing w:line="240" w:lineRule="auto"/>
                    <w:jc w:val="left"/>
                    <w:rPr>
                      <w:sz w:val="21"/>
                      <w:szCs w:val="21"/>
                    </w:rPr>
                  </w:pPr>
                  <w:r>
                    <w:rPr>
                      <w:sz w:val="21"/>
                      <w:szCs w:val="21"/>
                    </w:rPr>
                    <w:t>严格执行《江苏省长江经济带发展负面清单实施细则（试行）》，禁止在合规园区外新建、扩建钢铁、石化、化工、焦化、建材、有色等行业中的高污染项目。禁止新建燃</w:t>
                  </w:r>
                  <w:r>
                    <w:rPr>
                      <w:rFonts w:hint="eastAsia"/>
                      <w:sz w:val="21"/>
                      <w:szCs w:val="21"/>
                    </w:rPr>
                    <w:t>煤</w:t>
                  </w:r>
                  <w:r>
                    <w:rPr>
                      <w:sz w:val="21"/>
                      <w:szCs w:val="21"/>
                    </w:rPr>
                    <w:t>自备电厂。</w:t>
                  </w:r>
                </w:p>
              </w:tc>
              <w:tc>
                <w:tcPr>
                  <w:tcW w:w="1426" w:type="pct"/>
                  <w:vMerge w:val="continue"/>
                  <w:vAlign w:val="center"/>
                </w:tcPr>
                <w:p w14:paraId="780B9F78">
                  <w:pPr>
                    <w:snapToGrid w:val="0"/>
                    <w:spacing w:line="240" w:lineRule="auto"/>
                    <w:jc w:val="center"/>
                    <w:rPr>
                      <w:bCs/>
                      <w:sz w:val="21"/>
                      <w:szCs w:val="21"/>
                    </w:rPr>
                  </w:pPr>
                </w:p>
              </w:tc>
            </w:tr>
            <w:tr w14:paraId="37FB4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9228140">
                  <w:pPr>
                    <w:snapToGrid w:val="0"/>
                    <w:spacing w:line="240" w:lineRule="auto"/>
                    <w:jc w:val="center"/>
                    <w:rPr>
                      <w:b/>
                      <w:bCs/>
                      <w:sz w:val="21"/>
                      <w:szCs w:val="21"/>
                    </w:rPr>
                  </w:pPr>
                  <w:r>
                    <w:rPr>
                      <w:rFonts w:hint="eastAsia"/>
                      <w:b/>
                      <w:bCs/>
                      <w:sz w:val="21"/>
                      <w:szCs w:val="21"/>
                    </w:rPr>
                    <w:t>《常州市生态环境局关于建设项目的审批指导意见（试行）》</w:t>
                  </w:r>
                </w:p>
                <w:p w14:paraId="27BFB121">
                  <w:pPr>
                    <w:snapToGrid w:val="0"/>
                    <w:spacing w:line="240" w:lineRule="auto"/>
                    <w:jc w:val="center"/>
                    <w:rPr>
                      <w:bCs/>
                      <w:sz w:val="21"/>
                      <w:szCs w:val="21"/>
                    </w:rPr>
                  </w:pPr>
                  <w:r>
                    <w:rPr>
                      <w:rFonts w:hint="eastAsia"/>
                      <w:b/>
                      <w:bCs/>
                      <w:sz w:val="21"/>
                      <w:szCs w:val="21"/>
                    </w:rPr>
                    <w:t>（常州市生态环境局，2021年4月7日）</w:t>
                  </w:r>
                </w:p>
              </w:tc>
            </w:tr>
            <w:tr w14:paraId="6C098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27E56342">
                  <w:pPr>
                    <w:pStyle w:val="66"/>
                    <w:rPr>
                      <w:rFonts w:cs="Times New Roman"/>
                    </w:rPr>
                  </w:pPr>
                  <w:r>
                    <w:rPr>
                      <w:rFonts w:hint="eastAsia"/>
                      <w:bCs/>
                    </w:rPr>
                    <w:t>强化环评审批</w:t>
                  </w:r>
                </w:p>
              </w:tc>
              <w:tc>
                <w:tcPr>
                  <w:tcW w:w="2979" w:type="pct"/>
                  <w:gridSpan w:val="4"/>
                  <w:vAlign w:val="center"/>
                </w:tcPr>
                <w:p w14:paraId="4AC8F2EF">
                  <w:pPr>
                    <w:pStyle w:val="66"/>
                    <w:rPr>
                      <w:rFonts w:cs="Times New Roman"/>
                    </w:rPr>
                  </w:pPr>
                  <w:r>
                    <w:rPr>
                      <w:rFonts w:hint="eastAsia"/>
                      <w:bCs/>
                    </w:rPr>
                    <w:t>对重点区域内新上的大气污染物排放的建设项目及全市范围内新上高能耗项目，审批部门对其环评文本应实施质量评估。</w:t>
                  </w:r>
                </w:p>
              </w:tc>
              <w:tc>
                <w:tcPr>
                  <w:tcW w:w="1426" w:type="pct"/>
                  <w:vMerge w:val="restart"/>
                  <w:vAlign w:val="center"/>
                </w:tcPr>
                <w:p w14:paraId="2E79EF2B">
                  <w:pPr>
                    <w:snapToGrid w:val="0"/>
                    <w:spacing w:line="240" w:lineRule="auto"/>
                    <w:jc w:val="center"/>
                    <w:rPr>
                      <w:bCs/>
                      <w:sz w:val="21"/>
                      <w:szCs w:val="21"/>
                    </w:rPr>
                  </w:pPr>
                  <w:r>
                    <w:rPr>
                      <w:rFonts w:hint="eastAsia"/>
                      <w:bCs/>
                      <w:sz w:val="21"/>
                      <w:szCs w:val="21"/>
                    </w:rPr>
                    <w:t>本项目位于</w:t>
                  </w:r>
                  <w:r>
                    <w:rPr>
                      <w:rFonts w:hint="eastAsia"/>
                      <w:bCs/>
                      <w:sz w:val="21"/>
                      <w:szCs w:val="21"/>
                      <w:lang w:eastAsia="zh-CN"/>
                    </w:rPr>
                    <w:t>常州经济开发区横山桥镇新安村委新芙路78号</w:t>
                  </w:r>
                  <w:r>
                    <w:rPr>
                      <w:rFonts w:hint="eastAsia"/>
                      <w:bCs/>
                      <w:sz w:val="21"/>
                      <w:szCs w:val="21"/>
                    </w:rPr>
                    <w:t>，离本项目最近的经开区大气质量国控站点（经济开发区潞城镇富民路，刘国钧高等职业技术学校交通楼）直线距离约为</w:t>
                  </w:r>
                  <w:r>
                    <w:rPr>
                      <w:rFonts w:hint="eastAsia"/>
                      <w:bCs/>
                      <w:sz w:val="21"/>
                      <w:szCs w:val="21"/>
                      <w:lang w:val="en-US" w:eastAsia="zh-CN"/>
                    </w:rPr>
                    <w:t>10.49km</w:t>
                  </w:r>
                  <w:r>
                    <w:rPr>
                      <w:rFonts w:hint="eastAsia"/>
                      <w:bCs/>
                      <w:sz w:val="21"/>
                      <w:szCs w:val="21"/>
                    </w:rPr>
                    <w:t>，故本项目不在国控站点3km范围内，不属于重点区域。</w:t>
                  </w:r>
                </w:p>
              </w:tc>
            </w:tr>
            <w:tr w14:paraId="7E076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7C97055B">
                  <w:pPr>
                    <w:pStyle w:val="66"/>
                    <w:rPr>
                      <w:rFonts w:cs="Times New Roman"/>
                    </w:rPr>
                  </w:pPr>
                  <w:r>
                    <w:rPr>
                      <w:rFonts w:hint="eastAsia"/>
                      <w:bCs/>
                    </w:rPr>
                    <w:t>推进减污降碳</w:t>
                  </w:r>
                </w:p>
              </w:tc>
              <w:tc>
                <w:tcPr>
                  <w:tcW w:w="2979" w:type="pct"/>
                  <w:gridSpan w:val="4"/>
                  <w:vAlign w:val="center"/>
                </w:tcPr>
                <w:p w14:paraId="336A9EA4">
                  <w:pPr>
                    <w:pStyle w:val="66"/>
                    <w:rPr>
                      <w:rFonts w:cs="Times New Roman"/>
                    </w:rPr>
                  </w:pPr>
                  <w:r>
                    <w:rPr>
                      <w:rFonts w:hint="eastAsia"/>
                      <w:bCs/>
                    </w:rPr>
                    <w:t>对重点区域内新上的大气污染物排放的建设项目及全市范围内新上高能耗项目的严格审批，区级审批部门审批前需向生态环境局报备，审批部门方可出具审批文件。</w:t>
                  </w:r>
                </w:p>
              </w:tc>
              <w:tc>
                <w:tcPr>
                  <w:tcW w:w="1426" w:type="pct"/>
                  <w:vMerge w:val="continue"/>
                  <w:vAlign w:val="center"/>
                </w:tcPr>
                <w:p w14:paraId="3A2263C1">
                  <w:pPr>
                    <w:snapToGrid w:val="0"/>
                    <w:spacing w:line="240" w:lineRule="auto"/>
                    <w:jc w:val="center"/>
                    <w:rPr>
                      <w:bCs/>
                      <w:sz w:val="21"/>
                      <w:szCs w:val="21"/>
                    </w:rPr>
                  </w:pPr>
                </w:p>
              </w:tc>
            </w:tr>
            <w:tr w14:paraId="3F905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2FDE206">
                  <w:pPr>
                    <w:snapToGrid w:val="0"/>
                    <w:spacing w:line="240" w:lineRule="auto"/>
                    <w:jc w:val="center"/>
                    <w:rPr>
                      <w:b/>
                      <w:bCs/>
                      <w:sz w:val="21"/>
                      <w:szCs w:val="21"/>
                    </w:rPr>
                  </w:pPr>
                  <w:r>
                    <w:rPr>
                      <w:rFonts w:hint="eastAsia"/>
                      <w:b/>
                      <w:bCs/>
                      <w:sz w:val="21"/>
                      <w:szCs w:val="21"/>
                    </w:rPr>
                    <w:t>《常州市生态环境局关于调整建设项目报备范围的通知》</w:t>
                  </w:r>
                </w:p>
                <w:p w14:paraId="512ADBD5">
                  <w:pPr>
                    <w:snapToGrid w:val="0"/>
                    <w:spacing w:line="240" w:lineRule="auto"/>
                    <w:jc w:val="center"/>
                    <w:rPr>
                      <w:bCs/>
                      <w:sz w:val="21"/>
                      <w:szCs w:val="21"/>
                    </w:rPr>
                  </w:pPr>
                  <w:r>
                    <w:rPr>
                      <w:rFonts w:hint="eastAsia"/>
                      <w:b/>
                      <w:bCs/>
                      <w:sz w:val="21"/>
                      <w:szCs w:val="21"/>
                    </w:rPr>
                    <w:t>（常州市生态环境局，2021年11月20日）</w:t>
                  </w:r>
                </w:p>
              </w:tc>
            </w:tr>
            <w:tr w14:paraId="35C45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Merge w:val="restart"/>
                  <w:vAlign w:val="center"/>
                </w:tcPr>
                <w:p w14:paraId="294A8292">
                  <w:pPr>
                    <w:pStyle w:val="66"/>
                    <w:rPr>
                      <w:rFonts w:cs="Times New Roman"/>
                    </w:rPr>
                  </w:pPr>
                  <w:r>
                    <w:rPr>
                      <w:rFonts w:hint="eastAsia"/>
                      <w:bCs/>
                    </w:rPr>
                    <w:t>报备范围调整</w:t>
                  </w:r>
                </w:p>
              </w:tc>
              <w:tc>
                <w:tcPr>
                  <w:tcW w:w="2979" w:type="pct"/>
                  <w:gridSpan w:val="4"/>
                  <w:vAlign w:val="center"/>
                </w:tcPr>
                <w:p w14:paraId="423F7B3D">
                  <w:pPr>
                    <w:pStyle w:val="66"/>
                    <w:rPr>
                      <w:rFonts w:cs="Times New Roman"/>
                    </w:rPr>
                  </w:pPr>
                  <w:r>
                    <w:rPr>
                      <w:rFonts w:hint="eastAsia"/>
                      <w:bCs/>
                    </w:rPr>
                    <w:t>1、重点区域：我市大气质量国控点位周边三公里范围。</w:t>
                  </w:r>
                </w:p>
              </w:tc>
              <w:tc>
                <w:tcPr>
                  <w:tcW w:w="1426" w:type="pct"/>
                  <w:vMerge w:val="restart"/>
                  <w:vAlign w:val="center"/>
                </w:tcPr>
                <w:p w14:paraId="07FB23BF">
                  <w:pPr>
                    <w:snapToGrid w:val="0"/>
                    <w:spacing w:line="240" w:lineRule="auto"/>
                    <w:jc w:val="center"/>
                    <w:rPr>
                      <w:bCs/>
                      <w:sz w:val="21"/>
                      <w:szCs w:val="21"/>
                    </w:rPr>
                  </w:pPr>
                  <w:r>
                    <w:rPr>
                      <w:rFonts w:hint="eastAsia"/>
                      <w:bCs/>
                      <w:sz w:val="21"/>
                      <w:szCs w:val="21"/>
                    </w:rPr>
                    <w:t>本项目位于</w:t>
                  </w:r>
                  <w:r>
                    <w:rPr>
                      <w:rFonts w:hint="eastAsia"/>
                      <w:bCs/>
                      <w:sz w:val="21"/>
                      <w:szCs w:val="21"/>
                      <w:lang w:eastAsia="zh-CN"/>
                    </w:rPr>
                    <w:t>常州经济开发区横山桥镇新安村委新芙路78号</w:t>
                  </w:r>
                  <w:r>
                    <w:rPr>
                      <w:rFonts w:hint="eastAsia"/>
                      <w:bCs/>
                      <w:sz w:val="21"/>
                      <w:szCs w:val="21"/>
                    </w:rPr>
                    <w:t>，离本项目最近的经开区大气质量国控站点（经济开发区潞城镇富民路，刘国钧高等职业技术学校交通楼）直线距离约为</w:t>
                  </w:r>
                  <w:r>
                    <w:rPr>
                      <w:rFonts w:hint="eastAsia"/>
                      <w:bCs/>
                      <w:sz w:val="21"/>
                      <w:szCs w:val="21"/>
                      <w:lang w:val="en-US" w:eastAsia="zh-CN"/>
                    </w:rPr>
                    <w:t>10.49km</w:t>
                  </w:r>
                  <w:r>
                    <w:rPr>
                      <w:rFonts w:hint="eastAsia"/>
                      <w:bCs/>
                      <w:sz w:val="21"/>
                      <w:szCs w:val="21"/>
                    </w:rPr>
                    <w:t>，不在国控站点3km范围内，本项目产品为</w:t>
                  </w:r>
                  <w:r>
                    <w:rPr>
                      <w:rFonts w:hint="eastAsia"/>
                      <w:bCs/>
                      <w:sz w:val="21"/>
                      <w:szCs w:val="21"/>
                      <w:lang w:eastAsia="zh-CN"/>
                    </w:rPr>
                    <w:t>铝制零部件</w:t>
                  </w:r>
                  <w:r>
                    <w:rPr>
                      <w:rFonts w:hint="eastAsia"/>
                      <w:bCs/>
                      <w:sz w:val="21"/>
                      <w:szCs w:val="21"/>
                    </w:rPr>
                    <w:t>，属于</w:t>
                  </w:r>
                  <w:r>
                    <w:rPr>
                      <w:rFonts w:hint="eastAsia"/>
                      <w:sz w:val="21"/>
                      <w:szCs w:val="21"/>
                      <w:lang w:eastAsia="zh-CN"/>
                    </w:rPr>
                    <w:t>电机制造和汽车零部件及配件制造行业</w:t>
                  </w:r>
                  <w:r>
                    <w:rPr>
                      <w:rFonts w:hint="eastAsia"/>
                      <w:bCs/>
                      <w:sz w:val="21"/>
                      <w:szCs w:val="21"/>
                    </w:rPr>
                    <w:t>，不属于两高行业。本项目不属于《环境保护综合名录（2021年版）》中</w:t>
                  </w:r>
                  <w:r>
                    <w:rPr>
                      <w:rFonts w:hint="eastAsia"/>
                      <w:bCs/>
                      <w:sz w:val="21"/>
                      <w:szCs w:val="21"/>
                      <w:lang w:eastAsia="zh-CN"/>
                    </w:rPr>
                    <w:t>“</w:t>
                  </w:r>
                  <w:r>
                    <w:rPr>
                      <w:rFonts w:hint="eastAsia"/>
                      <w:bCs/>
                      <w:sz w:val="21"/>
                      <w:szCs w:val="21"/>
                    </w:rPr>
                    <w:t>高污染</w:t>
                  </w:r>
                  <w:r>
                    <w:rPr>
                      <w:rFonts w:hint="eastAsia"/>
                      <w:bCs/>
                      <w:sz w:val="21"/>
                      <w:szCs w:val="21"/>
                      <w:lang w:eastAsia="zh-CN"/>
                    </w:rPr>
                    <w:t>”</w:t>
                  </w:r>
                  <w:r>
                    <w:rPr>
                      <w:rFonts w:hint="eastAsia"/>
                      <w:bCs/>
                      <w:sz w:val="21"/>
                      <w:szCs w:val="21"/>
                    </w:rPr>
                    <w:t>和</w:t>
                  </w:r>
                  <w:r>
                    <w:rPr>
                      <w:rFonts w:hint="eastAsia"/>
                      <w:bCs/>
                      <w:sz w:val="21"/>
                      <w:szCs w:val="21"/>
                      <w:lang w:eastAsia="zh-CN"/>
                    </w:rPr>
                    <w:t>“</w:t>
                  </w:r>
                  <w:r>
                    <w:rPr>
                      <w:rFonts w:hint="eastAsia"/>
                      <w:bCs/>
                      <w:sz w:val="21"/>
                      <w:szCs w:val="21"/>
                    </w:rPr>
                    <w:t>高污染、高环境风险</w:t>
                  </w:r>
                  <w:r>
                    <w:rPr>
                      <w:rFonts w:hint="eastAsia"/>
                      <w:bCs/>
                      <w:sz w:val="21"/>
                      <w:szCs w:val="21"/>
                      <w:lang w:eastAsia="zh-CN"/>
                    </w:rPr>
                    <w:t>”</w:t>
                  </w:r>
                  <w:r>
                    <w:rPr>
                      <w:rFonts w:hint="eastAsia"/>
                      <w:bCs/>
                      <w:sz w:val="21"/>
                      <w:szCs w:val="21"/>
                    </w:rPr>
                    <w:t>类别项目。</w:t>
                  </w:r>
                </w:p>
              </w:tc>
            </w:tr>
            <w:tr w14:paraId="56ED2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Merge w:val="continue"/>
                  <w:vAlign w:val="center"/>
                </w:tcPr>
                <w:p w14:paraId="4F3C1C36">
                  <w:pPr>
                    <w:pStyle w:val="66"/>
                    <w:rPr>
                      <w:rFonts w:cs="Times New Roman"/>
                    </w:rPr>
                  </w:pPr>
                </w:p>
              </w:tc>
              <w:tc>
                <w:tcPr>
                  <w:tcW w:w="2979" w:type="pct"/>
                  <w:gridSpan w:val="4"/>
                  <w:vAlign w:val="center"/>
                </w:tcPr>
                <w:p w14:paraId="48F80287">
                  <w:pPr>
                    <w:pStyle w:val="66"/>
                    <w:rPr>
                      <w:rFonts w:cs="Times New Roman"/>
                    </w:rPr>
                  </w:pPr>
                  <w:r>
                    <w:rPr>
                      <w:rFonts w:hint="eastAsia"/>
                      <w:bCs/>
                    </w:rPr>
                    <w:t>重点行业：①</w:t>
                  </w:r>
                  <w:r>
                    <w:rPr>
                      <w:rFonts w:hint="eastAsia"/>
                      <w:bCs/>
                      <w:lang w:eastAsia="zh-CN"/>
                    </w:rPr>
                    <w:t>“</w:t>
                  </w:r>
                  <w:r>
                    <w:rPr>
                      <w:rFonts w:hint="eastAsia"/>
                      <w:bCs/>
                    </w:rPr>
                    <w:t>两高</w:t>
                  </w:r>
                  <w:r>
                    <w:rPr>
                      <w:rFonts w:hint="eastAsia"/>
                      <w:bCs/>
                      <w:lang w:eastAsia="zh-CN"/>
                    </w:rPr>
                    <w:t>”</w:t>
                  </w:r>
                  <w:r>
                    <w:rPr>
                      <w:rFonts w:hint="eastAsia"/>
                      <w:bCs/>
                    </w:rPr>
                    <w:t>行业主要包括煤电、石化、化工、钢铁、有色金属冶炼和建材六大行业，以及制药、农药行业；②《环境保护综合名录（2021年版）》中</w:t>
                  </w:r>
                  <w:r>
                    <w:rPr>
                      <w:rFonts w:hint="eastAsia"/>
                      <w:bCs/>
                      <w:lang w:eastAsia="zh-CN"/>
                    </w:rPr>
                    <w:t>“</w:t>
                  </w:r>
                  <w:r>
                    <w:rPr>
                      <w:rFonts w:hint="eastAsia"/>
                      <w:bCs/>
                    </w:rPr>
                    <w:t>高污染</w:t>
                  </w:r>
                  <w:r>
                    <w:rPr>
                      <w:rFonts w:hint="eastAsia"/>
                      <w:bCs/>
                      <w:lang w:eastAsia="zh-CN"/>
                    </w:rPr>
                    <w:t>”</w:t>
                  </w:r>
                  <w:r>
                    <w:rPr>
                      <w:rFonts w:hint="eastAsia"/>
                      <w:bCs/>
                    </w:rPr>
                    <w:t>和</w:t>
                  </w:r>
                  <w:r>
                    <w:rPr>
                      <w:rFonts w:hint="eastAsia"/>
                      <w:bCs/>
                      <w:lang w:eastAsia="zh-CN"/>
                    </w:rPr>
                    <w:t>“</w:t>
                  </w:r>
                  <w:r>
                    <w:rPr>
                      <w:rFonts w:hint="eastAsia"/>
                      <w:bCs/>
                    </w:rPr>
                    <w:t>高污染、高环境风险</w:t>
                  </w:r>
                  <w:r>
                    <w:rPr>
                      <w:rFonts w:hint="eastAsia"/>
                      <w:bCs/>
                      <w:lang w:eastAsia="zh-CN"/>
                    </w:rPr>
                    <w:t>”</w:t>
                  </w:r>
                  <w:r>
                    <w:rPr>
                      <w:rFonts w:hint="eastAsia"/>
                      <w:bCs/>
                    </w:rPr>
                    <w:t>类别项目。</w:t>
                  </w:r>
                </w:p>
              </w:tc>
              <w:tc>
                <w:tcPr>
                  <w:tcW w:w="1426" w:type="pct"/>
                  <w:vMerge w:val="continue"/>
                  <w:vAlign w:val="center"/>
                </w:tcPr>
                <w:p w14:paraId="50F4A709">
                  <w:pPr>
                    <w:snapToGrid w:val="0"/>
                    <w:spacing w:line="240" w:lineRule="auto"/>
                    <w:jc w:val="center"/>
                    <w:rPr>
                      <w:bCs/>
                      <w:sz w:val="21"/>
                      <w:szCs w:val="21"/>
                    </w:rPr>
                  </w:pPr>
                </w:p>
              </w:tc>
            </w:tr>
            <w:tr w14:paraId="356D4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FC2D65B">
                  <w:pPr>
                    <w:snapToGrid w:val="0"/>
                    <w:spacing w:line="240" w:lineRule="auto"/>
                    <w:jc w:val="center"/>
                    <w:rPr>
                      <w:bCs/>
                      <w:sz w:val="21"/>
                      <w:szCs w:val="21"/>
                    </w:rPr>
                  </w:pPr>
                  <w:r>
                    <w:rPr>
                      <w:b/>
                      <w:sz w:val="21"/>
                      <w:szCs w:val="21"/>
                    </w:rPr>
                    <w:t>《关于做好生态环境和应急管理部门联动工作的意见》（苏环办</w:t>
                  </w:r>
                  <w:r>
                    <w:rPr>
                      <w:rFonts w:hint="eastAsia"/>
                      <w:b/>
                      <w:sz w:val="21"/>
                      <w:szCs w:val="21"/>
                      <w:lang w:eastAsia="zh-CN"/>
                    </w:rPr>
                    <w:t>〔2020〕101号</w:t>
                  </w:r>
                  <w:r>
                    <w:rPr>
                      <w:b/>
                      <w:sz w:val="21"/>
                      <w:szCs w:val="21"/>
                    </w:rPr>
                    <w:t>）、《省生态环境厅关于推进生态环境保护与安全生产联动工作的通知》（苏环办</w:t>
                  </w:r>
                  <w:r>
                    <w:rPr>
                      <w:rFonts w:hint="eastAsia"/>
                      <w:b/>
                      <w:sz w:val="21"/>
                      <w:szCs w:val="21"/>
                      <w:lang w:eastAsia="zh-CN"/>
                    </w:rPr>
                    <w:t>〔2019〕406号</w:t>
                  </w:r>
                  <w:r>
                    <w:rPr>
                      <w:b/>
                      <w:sz w:val="21"/>
                      <w:szCs w:val="21"/>
                    </w:rPr>
                    <w:t>）</w:t>
                  </w:r>
                </w:p>
              </w:tc>
            </w:tr>
            <w:tr w14:paraId="1589F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1A9003A6">
                  <w:pPr>
                    <w:pStyle w:val="66"/>
                    <w:rPr>
                      <w:rFonts w:cs="Times New Roman"/>
                    </w:rPr>
                  </w:pPr>
                  <w:r>
                    <w:rPr>
                      <w:rFonts w:cs="Times New Roman"/>
                    </w:rPr>
                    <w:t>建立危</w:t>
                  </w:r>
                  <w:r>
                    <w:rPr>
                      <w:rFonts w:hint="eastAsia" w:cs="Times New Roman"/>
                    </w:rPr>
                    <w:t>险</w:t>
                  </w:r>
                  <w:r>
                    <w:rPr>
                      <w:rFonts w:cs="Times New Roman"/>
                    </w:rPr>
                    <w:t>废物监管联动机制</w:t>
                  </w:r>
                </w:p>
              </w:tc>
              <w:tc>
                <w:tcPr>
                  <w:tcW w:w="2979" w:type="pct"/>
                  <w:gridSpan w:val="4"/>
                  <w:vAlign w:val="center"/>
                </w:tcPr>
                <w:p w14:paraId="01E84639">
                  <w:pPr>
                    <w:pStyle w:val="66"/>
                    <w:jc w:val="both"/>
                    <w:rPr>
                      <w:rFonts w:cs="Times New Roman"/>
                    </w:rPr>
                  </w:pPr>
                  <w:r>
                    <w:rPr>
                      <w:rFonts w:cs="Times New Roman"/>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稳定、根据相关文件无法认定达到稳定化要求的，要提供有资质单位出具的化学品物理危险性报告及其他证明材料，认定达到稳定化要求。</w:t>
                  </w:r>
                </w:p>
              </w:tc>
              <w:tc>
                <w:tcPr>
                  <w:tcW w:w="1426" w:type="pct"/>
                  <w:vAlign w:val="center"/>
                </w:tcPr>
                <w:p w14:paraId="49A0FB75">
                  <w:pPr>
                    <w:pStyle w:val="66"/>
                    <w:jc w:val="both"/>
                    <w:rPr>
                      <w:rFonts w:cs="Times New Roman"/>
                    </w:rPr>
                  </w:pPr>
                  <w:r>
                    <w:rPr>
                      <w:rFonts w:cs="Times New Roman"/>
                    </w:rPr>
                    <w:t>本项目企业法定代表人为危险废物安全环保全过程管理的第一责任人，产生的危废均按照《危险废物贮存污染控制标准》（GB18597</w:t>
                  </w:r>
                  <w:r>
                    <w:rPr>
                      <w:rFonts w:hint="eastAsia" w:cs="Times New Roman"/>
                    </w:rPr>
                    <w:t>-2023</w:t>
                  </w:r>
                  <w:r>
                    <w:rPr>
                      <w:rFonts w:cs="Times New Roman"/>
                    </w:rPr>
                    <w:t>）的要求设置，危险废</w:t>
                  </w:r>
                  <w:r>
                    <w:rPr>
                      <w:rFonts w:hint="eastAsia" w:cs="Times New Roman"/>
                    </w:rPr>
                    <w:t>物</w:t>
                  </w:r>
                  <w:r>
                    <w:rPr>
                      <w:rFonts w:cs="Times New Roman"/>
                    </w:rPr>
                    <w:t>暂存于危废</w:t>
                  </w:r>
                  <w:r>
                    <w:rPr>
                      <w:rFonts w:hint="eastAsia" w:cs="Times New Roman"/>
                    </w:rPr>
                    <w:t>仓库内</w:t>
                  </w:r>
                  <w:r>
                    <w:rPr>
                      <w:rFonts w:cs="Times New Roman"/>
                    </w:rPr>
                    <w:t>，项目危险废物均委托有资质单位处置。企业制定危废管理计划，并报属地生态环境部门备案。</w:t>
                  </w:r>
                </w:p>
              </w:tc>
            </w:tr>
            <w:tr w14:paraId="4881C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2AE40874">
                  <w:pPr>
                    <w:pStyle w:val="66"/>
                    <w:rPr>
                      <w:rFonts w:cs="Times New Roman"/>
                    </w:rPr>
                  </w:pPr>
                  <w:r>
                    <w:rPr>
                      <w:rFonts w:cs="Times New Roman"/>
                    </w:rPr>
                    <w:t>建立环境治理设施监管</w:t>
                  </w:r>
                </w:p>
                <w:p w14:paraId="4469684D">
                  <w:pPr>
                    <w:pStyle w:val="66"/>
                    <w:rPr>
                      <w:rFonts w:cs="Times New Roman"/>
                    </w:rPr>
                  </w:pPr>
                  <w:r>
                    <w:rPr>
                      <w:rFonts w:cs="Times New Roman"/>
                    </w:rPr>
                    <w:t>联动机制</w:t>
                  </w:r>
                </w:p>
              </w:tc>
              <w:tc>
                <w:tcPr>
                  <w:tcW w:w="2979" w:type="pct"/>
                  <w:gridSpan w:val="4"/>
                  <w:vAlign w:val="center"/>
                </w:tcPr>
                <w:p w14:paraId="71AB8E52">
                  <w:pPr>
                    <w:pStyle w:val="66"/>
                    <w:jc w:val="both"/>
                    <w:rPr>
                      <w:rFonts w:cs="Times New Roman"/>
                    </w:rPr>
                  </w:pPr>
                  <w:r>
                    <w:rPr>
                      <w:rFonts w:cs="Times New Roman"/>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426" w:type="pct"/>
                  <w:vAlign w:val="center"/>
                </w:tcPr>
                <w:p w14:paraId="4355C54E">
                  <w:pPr>
                    <w:pStyle w:val="66"/>
                    <w:jc w:val="both"/>
                    <w:rPr>
                      <w:rFonts w:cs="Times New Roman"/>
                    </w:rPr>
                  </w:pPr>
                  <w:r>
                    <w:rPr>
                      <w:rFonts w:hint="eastAsia" w:cs="Times New Roman"/>
                    </w:rPr>
                    <w:t>本项目</w:t>
                  </w:r>
                  <w:r>
                    <w:rPr>
                      <w:rFonts w:hint="eastAsia" w:cs="Times New Roman"/>
                      <w:lang w:val="en-US" w:eastAsia="zh-CN"/>
                    </w:rPr>
                    <w:t>拟配备一套水喷淋装置处理熔化、压铸工段产生的颗粒物</w:t>
                  </w:r>
                  <w:r>
                    <w:rPr>
                      <w:rFonts w:cs="Times New Roman"/>
                    </w:rPr>
                    <w:t>，</w:t>
                  </w:r>
                  <w:r>
                    <w:rPr>
                      <w:rFonts w:hint="eastAsia" w:cs="Times New Roman"/>
                      <w:lang w:val="en-US" w:eastAsia="zh-CN"/>
                    </w:rPr>
                    <w:t>水喷淋装置属于粉尘治理设施，需</w:t>
                  </w:r>
                  <w:r>
                    <w:rPr>
                      <w:rFonts w:cs="Times New Roman"/>
                    </w:rPr>
                    <w:t>开展安全风险辨识管控，</w:t>
                  </w:r>
                  <w:r>
                    <w:rPr>
                      <w:rFonts w:hint="eastAsia" w:cs="Times New Roman"/>
                      <w:lang w:val="en-US" w:eastAsia="zh-CN"/>
                    </w:rPr>
                    <w:t>拟</w:t>
                  </w:r>
                  <w:r>
                    <w:rPr>
                      <w:rFonts w:cs="Times New Roman"/>
                    </w:rPr>
                    <w:t>严格依据标准规范建设环境治理设施，确保环境治理设施安全、稳定、有效运行。</w:t>
                  </w:r>
                </w:p>
              </w:tc>
            </w:tr>
            <w:tr w14:paraId="19283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C24A031">
                  <w:pPr>
                    <w:snapToGrid w:val="0"/>
                    <w:spacing w:line="240" w:lineRule="auto"/>
                    <w:jc w:val="center"/>
                    <w:rPr>
                      <w:b/>
                      <w:sz w:val="21"/>
                      <w:szCs w:val="21"/>
                    </w:rPr>
                  </w:pPr>
                  <w:r>
                    <w:rPr>
                      <w:rFonts w:hint="eastAsia"/>
                      <w:b/>
                      <w:sz w:val="21"/>
                      <w:szCs w:val="21"/>
                    </w:rPr>
                    <w:t>《常州市水生态环境保护条例》（2022年制定）</w:t>
                  </w:r>
                </w:p>
                <w:p w14:paraId="6509B434">
                  <w:pPr>
                    <w:snapToGrid w:val="0"/>
                    <w:spacing w:line="240" w:lineRule="auto"/>
                    <w:jc w:val="center"/>
                    <w:rPr>
                      <w:bCs/>
                      <w:sz w:val="21"/>
                      <w:szCs w:val="21"/>
                    </w:rPr>
                  </w:pPr>
                  <w:r>
                    <w:rPr>
                      <w:rFonts w:hint="eastAsia"/>
                      <w:b/>
                      <w:sz w:val="21"/>
                      <w:szCs w:val="21"/>
                    </w:rPr>
                    <w:t>（常州市人大常委会公告 第4号）</w:t>
                  </w:r>
                </w:p>
              </w:tc>
            </w:tr>
            <w:tr w14:paraId="71034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29BBF463">
                  <w:pPr>
                    <w:pStyle w:val="66"/>
                    <w:rPr>
                      <w:rFonts w:cs="Times New Roman"/>
                    </w:rPr>
                  </w:pPr>
                  <w:r>
                    <w:rPr>
                      <w:rFonts w:hint="eastAsia" w:cs="Times New Roman"/>
                    </w:rPr>
                    <w:t xml:space="preserve">第三章 </w:t>
                  </w:r>
                  <w:r>
                    <w:rPr>
                      <w:rFonts w:cs="Times New Roman"/>
                    </w:rPr>
                    <w:t>第二十六条</w:t>
                  </w:r>
                </w:p>
              </w:tc>
              <w:tc>
                <w:tcPr>
                  <w:tcW w:w="2979" w:type="pct"/>
                  <w:gridSpan w:val="4"/>
                  <w:vAlign w:val="center"/>
                </w:tcPr>
                <w:p w14:paraId="2792E9F5">
                  <w:pPr>
                    <w:pStyle w:val="66"/>
                    <w:jc w:val="both"/>
                    <w:rPr>
                      <w:rFonts w:cs="Times New Roman"/>
                    </w:rPr>
                  </w:pPr>
                  <w:r>
                    <w:rPr>
                      <w:rFonts w:cs="Times New Roman"/>
                    </w:rPr>
                    <w:t>禁止在长江（常州段）干支流岸线一公里范围内新建、扩建化工园区和化工项目。已经搬迁或者关停的，应当依法开展土壤和地下水环境调查和风险评估，制定并实施污染场地风险管控、修复方案。</w:t>
                  </w:r>
                </w:p>
              </w:tc>
              <w:tc>
                <w:tcPr>
                  <w:tcW w:w="1426" w:type="pct"/>
                  <w:vAlign w:val="center"/>
                </w:tcPr>
                <w:p w14:paraId="5D33B86F">
                  <w:pPr>
                    <w:snapToGrid w:val="0"/>
                    <w:spacing w:line="240" w:lineRule="auto"/>
                    <w:jc w:val="center"/>
                    <w:rPr>
                      <w:bCs/>
                      <w:sz w:val="21"/>
                      <w:szCs w:val="21"/>
                    </w:rPr>
                  </w:pPr>
                  <w:r>
                    <w:rPr>
                      <w:rFonts w:hint="eastAsia"/>
                      <w:bCs/>
                      <w:sz w:val="21"/>
                      <w:szCs w:val="21"/>
                    </w:rPr>
                    <w:t>本项目位于</w:t>
                  </w:r>
                  <w:r>
                    <w:rPr>
                      <w:bCs/>
                      <w:sz w:val="21"/>
                      <w:szCs w:val="21"/>
                    </w:rPr>
                    <w:t>长江（常州段）干支流岸线一公里范围</w:t>
                  </w:r>
                  <w:r>
                    <w:rPr>
                      <w:rFonts w:hint="eastAsia"/>
                      <w:bCs/>
                      <w:sz w:val="21"/>
                      <w:szCs w:val="21"/>
                    </w:rPr>
                    <w:t>外，且不属于化工园区或化工项目。</w:t>
                  </w:r>
                </w:p>
              </w:tc>
            </w:tr>
            <w:tr w14:paraId="13F7B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238313CA">
                  <w:pPr>
                    <w:pStyle w:val="66"/>
                    <w:rPr>
                      <w:rFonts w:cs="Times New Roman"/>
                    </w:rPr>
                  </w:pPr>
                  <w:r>
                    <w:rPr>
                      <w:rFonts w:hint="eastAsia" w:cs="Times New Roman"/>
                    </w:rPr>
                    <w:t xml:space="preserve">第四章 </w:t>
                  </w:r>
                  <w:r>
                    <w:rPr>
                      <w:rFonts w:cs="Times New Roman"/>
                    </w:rPr>
                    <w:t>第三十四条</w:t>
                  </w:r>
                </w:p>
              </w:tc>
              <w:tc>
                <w:tcPr>
                  <w:tcW w:w="2979" w:type="pct"/>
                  <w:gridSpan w:val="4"/>
                  <w:vAlign w:val="center"/>
                </w:tcPr>
                <w:p w14:paraId="18298C8E">
                  <w:pPr>
                    <w:pStyle w:val="66"/>
                    <w:jc w:val="both"/>
                    <w:rPr>
                      <w:rFonts w:cs="Times New Roman"/>
                    </w:rPr>
                  </w:pPr>
                  <w:r>
                    <w:rPr>
                      <w:rFonts w:cs="Times New Roman"/>
                    </w:rPr>
                    <w:t>排放工业废水的工业企业应当实行雨污分流、清污分流，加强雨污管网检查和维护，防止遗撒物料、跑冒滴漏废水等经由雨水管网排入外环境。化工、电镀、印染、冶金、原料药制造等企业应当将初期雨水收集处理，不得直接排放。</w:t>
                  </w:r>
                </w:p>
              </w:tc>
              <w:tc>
                <w:tcPr>
                  <w:tcW w:w="1426" w:type="pct"/>
                  <w:vAlign w:val="center"/>
                </w:tcPr>
                <w:p w14:paraId="0BB03813">
                  <w:pPr>
                    <w:snapToGrid w:val="0"/>
                    <w:spacing w:line="240" w:lineRule="auto"/>
                    <w:jc w:val="center"/>
                    <w:rPr>
                      <w:bCs/>
                      <w:sz w:val="21"/>
                      <w:szCs w:val="21"/>
                    </w:rPr>
                  </w:pPr>
                  <w:r>
                    <w:rPr>
                      <w:rFonts w:hint="eastAsia"/>
                      <w:bCs/>
                      <w:sz w:val="21"/>
                      <w:szCs w:val="21"/>
                    </w:rPr>
                    <w:t>本项目生产过程中无生产废水排放，生活污水接管至污水处理厂，厂区内实行雨污分流、清污分流。本公司不属于</w:t>
                  </w:r>
                  <w:r>
                    <w:rPr>
                      <w:sz w:val="21"/>
                      <w:szCs w:val="21"/>
                    </w:rPr>
                    <w:t>化工、电镀、印染、冶金、原料药制造</w:t>
                  </w:r>
                  <w:r>
                    <w:rPr>
                      <w:rFonts w:hint="eastAsia"/>
                      <w:bCs/>
                      <w:sz w:val="21"/>
                      <w:szCs w:val="21"/>
                    </w:rPr>
                    <w:t>企业，不对初期雨水进行收集处理。</w:t>
                  </w:r>
                </w:p>
              </w:tc>
            </w:tr>
            <w:tr w14:paraId="132DF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pct"/>
                  <w:gridSpan w:val="2"/>
                  <w:vAlign w:val="center"/>
                </w:tcPr>
                <w:p w14:paraId="11980674">
                  <w:pPr>
                    <w:pStyle w:val="66"/>
                    <w:rPr>
                      <w:rFonts w:cs="Times New Roman"/>
                    </w:rPr>
                  </w:pPr>
                  <w:r>
                    <w:rPr>
                      <w:rFonts w:hint="eastAsia" w:cs="Times New Roman"/>
                    </w:rPr>
                    <w:t>第五章 第五十六条</w:t>
                  </w:r>
                </w:p>
              </w:tc>
              <w:tc>
                <w:tcPr>
                  <w:tcW w:w="2979" w:type="pct"/>
                  <w:gridSpan w:val="4"/>
                  <w:vAlign w:val="center"/>
                </w:tcPr>
                <w:p w14:paraId="3329B1C5">
                  <w:pPr>
                    <w:pStyle w:val="66"/>
                    <w:jc w:val="both"/>
                    <w:rPr>
                      <w:rFonts w:cs="Times New Roman"/>
                    </w:rPr>
                  </w:pPr>
                  <w:r>
                    <w:rPr>
                      <w:rFonts w:cs="Times New Roman"/>
                    </w:rPr>
                    <w:t>排放工业废水的企业，应当在其显著位置持续公布举报电话、信箱、电子邮箱、受理范围等信息以及举报奖励办法。生态环境主管部门应当加强监督检查。</w:t>
                  </w:r>
                </w:p>
              </w:tc>
              <w:tc>
                <w:tcPr>
                  <w:tcW w:w="1426" w:type="pct"/>
                  <w:vAlign w:val="center"/>
                </w:tcPr>
                <w:p w14:paraId="18C5604E">
                  <w:pPr>
                    <w:snapToGrid w:val="0"/>
                    <w:spacing w:line="240" w:lineRule="auto"/>
                    <w:jc w:val="center"/>
                    <w:rPr>
                      <w:bCs/>
                      <w:sz w:val="21"/>
                      <w:szCs w:val="21"/>
                    </w:rPr>
                  </w:pPr>
                  <w:r>
                    <w:rPr>
                      <w:rFonts w:hint="eastAsia"/>
                      <w:bCs/>
                      <w:sz w:val="21"/>
                      <w:szCs w:val="21"/>
                    </w:rPr>
                    <w:t>本项目建成后拟在</w:t>
                  </w:r>
                  <w:r>
                    <w:rPr>
                      <w:sz w:val="21"/>
                      <w:szCs w:val="21"/>
                    </w:rPr>
                    <w:t>显著位置持续公布举报电话、信箱、电子邮箱、受理范围等信息以及举报奖励办法</w:t>
                  </w:r>
                  <w:r>
                    <w:rPr>
                      <w:rFonts w:hint="eastAsia"/>
                      <w:sz w:val="21"/>
                      <w:szCs w:val="21"/>
                    </w:rPr>
                    <w:t>。</w:t>
                  </w:r>
                </w:p>
              </w:tc>
            </w:tr>
            <w:tr w14:paraId="7A5B5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203E4BAA">
                  <w:pPr>
                    <w:keepNext w:val="0"/>
                    <w:keepLines w:val="0"/>
                    <w:suppressLineNumbers w:val="0"/>
                    <w:snapToGrid w:val="0"/>
                    <w:spacing w:before="0" w:beforeAutospacing="0" w:after="0" w:afterAutospacing="0" w:line="240" w:lineRule="auto"/>
                    <w:ind w:left="0" w:leftChars="0" w:right="0" w:rightChars="0"/>
                    <w:jc w:val="center"/>
                    <w:rPr>
                      <w:rFonts w:hint="eastAsia"/>
                      <w:bCs/>
                      <w:sz w:val="21"/>
                      <w:szCs w:val="21"/>
                    </w:rPr>
                  </w:pPr>
                  <w:r>
                    <w:rPr>
                      <w:rFonts w:hint="default" w:ascii="Times New Roman" w:hAnsi="Times New Roman" w:eastAsia="仿宋" w:cs="Times New Roman"/>
                      <w:b/>
                      <w:color w:val="auto"/>
                      <w:sz w:val="21"/>
                      <w:szCs w:val="21"/>
                    </w:rPr>
                    <w:t>江苏省大气污染物防治条例（2018.11.23第二次修正）</w:t>
                  </w:r>
                </w:p>
              </w:tc>
            </w:tr>
            <w:tr w14:paraId="3CD8E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Align w:val="center"/>
                </w:tcPr>
                <w:p w14:paraId="5876F57F">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cs="Times New Roman"/>
                    </w:rPr>
                  </w:pPr>
                  <w:r>
                    <w:rPr>
                      <w:rFonts w:hint="default" w:ascii="Times New Roman" w:hAnsi="Times New Roman" w:eastAsia="仿宋" w:cs="Times New Roman"/>
                      <w:color w:val="auto"/>
                      <w:sz w:val="21"/>
                      <w:szCs w:val="21"/>
                    </w:rPr>
                    <w:t>第三十九条</w:t>
                  </w:r>
                </w:p>
              </w:tc>
              <w:tc>
                <w:tcPr>
                  <w:tcW w:w="2636" w:type="pct"/>
                  <w:vAlign w:val="center"/>
                </w:tcPr>
                <w:p w14:paraId="0BE7A764">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p w14:paraId="76F8003D">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石油、化工以及其他生产和使用有机溶剂的企业，应当建立泄漏检测与修复制度，对管道、设备进行日常维护、维修，及时收集处理泄漏物料。</w:t>
                  </w:r>
                </w:p>
                <w:p w14:paraId="14DC6285">
                  <w:pPr>
                    <w:keepNext w:val="0"/>
                    <w:keepLines w:val="0"/>
                    <w:suppressLineNumbers w:val="0"/>
                    <w:snapToGrid w:val="0"/>
                    <w:spacing w:before="0" w:beforeAutospacing="0" w:after="0" w:afterAutospacing="0" w:line="240" w:lineRule="auto"/>
                    <w:ind w:left="0" w:leftChars="0" w:right="0" w:rightChars="0" w:firstLine="420" w:firstLineChars="200"/>
                    <w:jc w:val="left"/>
                    <w:rPr>
                      <w:rFonts w:cs="Times New Roman"/>
                    </w:rPr>
                  </w:pPr>
                  <w:r>
                    <w:rPr>
                      <w:rFonts w:hint="default" w:ascii="Times New Roman" w:hAnsi="Times New Roman" w:eastAsia="仿宋" w:cs="Times New Roman"/>
                      <w:bCs/>
                      <w:color w:val="auto"/>
                      <w:sz w:val="21"/>
                      <w:szCs w:val="21"/>
                    </w:rPr>
                    <w:t>省生态环境行政主管部门应当向社会公布重点控制的挥发性有机物名录。</w:t>
                  </w:r>
                </w:p>
              </w:tc>
              <w:tc>
                <w:tcPr>
                  <w:tcW w:w="1727" w:type="pct"/>
                  <w:gridSpan w:val="2"/>
                  <w:vAlign w:val="center"/>
                </w:tcPr>
                <w:p w14:paraId="1BC67E9D">
                  <w:pPr>
                    <w:keepNext w:val="0"/>
                    <w:keepLines w:val="0"/>
                    <w:suppressLineNumbers w:val="0"/>
                    <w:snapToGrid w:val="0"/>
                    <w:spacing w:before="0" w:beforeAutospacing="0" w:after="0" w:afterAutospacing="0" w:line="240" w:lineRule="auto"/>
                    <w:ind w:left="0" w:leftChars="0" w:right="0" w:rightChars="0"/>
                    <w:jc w:val="center"/>
                    <w:rPr>
                      <w:rFonts w:hint="default"/>
                      <w:bCs/>
                      <w:sz w:val="21"/>
                      <w:szCs w:val="21"/>
                      <w:lang w:val="en-US"/>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熔化工段产生的颗粒物和压铸工段产生的有机</w:t>
                  </w:r>
                  <w:r>
                    <w:rPr>
                      <w:rFonts w:hint="eastAsia" w:ascii="Times New Roman" w:hAnsi="Times New Roman" w:cs="Times New Roman"/>
                      <w:bCs/>
                      <w:color w:val="auto"/>
                      <w:sz w:val="21"/>
                      <w:szCs w:val="21"/>
                      <w:lang w:eastAsia="zh-CN"/>
                    </w:rPr>
                    <w:t>废气</w:t>
                  </w:r>
                  <w:r>
                    <w:rPr>
                      <w:rFonts w:hint="eastAsia" w:cs="Times New Roman"/>
                      <w:bCs/>
                      <w:color w:val="auto"/>
                      <w:sz w:val="21"/>
                      <w:szCs w:val="21"/>
                      <w:lang w:val="en-US" w:eastAsia="zh-CN"/>
                    </w:rPr>
                    <w:t>和颗粒物</w:t>
                  </w:r>
                  <w:r>
                    <w:rPr>
                      <w:rFonts w:hint="eastAsia" w:ascii="Times New Roman" w:hAnsi="Times New Roman" w:cs="Times New Roman"/>
                      <w:bCs/>
                      <w:color w:val="auto"/>
                      <w:sz w:val="21"/>
                      <w:szCs w:val="21"/>
                      <w:lang w:eastAsia="zh-CN"/>
                    </w:rPr>
                    <w:t>经收集后利用</w:t>
                  </w:r>
                  <w:r>
                    <w:rPr>
                      <w:rFonts w:hint="eastAsia" w:cs="Times New Roman"/>
                      <w:bCs/>
                      <w:color w:val="auto"/>
                      <w:sz w:val="21"/>
                      <w:szCs w:val="21"/>
                      <w:lang w:eastAsia="zh-CN"/>
                    </w:rPr>
                    <w:t>一套水喷淋+干式过滤+二级活性炭吸附装置</w:t>
                  </w:r>
                  <w:r>
                    <w:rPr>
                      <w:rFonts w:hint="eastAsia" w:ascii="Times New Roman" w:hAnsi="Times New Roman" w:cs="Times New Roman"/>
                      <w:bCs/>
                      <w:color w:val="auto"/>
                      <w:sz w:val="21"/>
                      <w:szCs w:val="21"/>
                      <w:lang w:eastAsia="zh-CN"/>
                    </w:rPr>
                    <w:t>（TA001）处理，处理后通过1根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eastAsia" w:ascii="Times New Roman" w:hAnsi="Times New Roman" w:cs="Times New Roman"/>
                      <w:bCs/>
                      <w:color w:val="auto"/>
                      <w:sz w:val="21"/>
                      <w:szCs w:val="21"/>
                      <w:lang w:val="en-US" w:eastAsia="zh-CN"/>
                    </w:rPr>
                    <w:t>。</w:t>
                  </w:r>
                  <w:r>
                    <w:rPr>
                      <w:rFonts w:hint="default" w:ascii="Times New Roman" w:hAnsi="Times New Roman" w:eastAsia="仿宋" w:cs="Times New Roman"/>
                      <w:bCs/>
                      <w:color w:val="auto"/>
                      <w:sz w:val="21"/>
                      <w:szCs w:val="21"/>
                    </w:rPr>
                    <w:t>与文件要求相符。</w:t>
                  </w:r>
                </w:p>
              </w:tc>
            </w:tr>
            <w:tr w14:paraId="377D9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4FB7D90">
                  <w:pPr>
                    <w:keepNext w:val="0"/>
                    <w:keepLines w:val="0"/>
                    <w:suppressLineNumbers w:val="0"/>
                    <w:snapToGrid w:val="0"/>
                    <w:spacing w:before="0" w:beforeAutospacing="0" w:after="0" w:afterAutospacing="0" w:line="240" w:lineRule="auto"/>
                    <w:ind w:left="0" w:leftChars="0" w:right="0" w:rightChars="0"/>
                    <w:jc w:val="center"/>
                    <w:rPr>
                      <w:rFonts w:hint="default" w:eastAsia="仿宋" w:cs="Times New Roman"/>
                      <w:color w:val="auto"/>
                      <w:sz w:val="21"/>
                      <w:szCs w:val="21"/>
                      <w:lang w:val="en-US" w:eastAsia="zh-CN"/>
                    </w:rPr>
                  </w:pPr>
                  <w:r>
                    <w:rPr>
                      <w:rFonts w:hint="default" w:ascii="Times New Roman" w:hAnsi="Times New Roman" w:eastAsia="仿宋" w:cs="Times New Roman"/>
                      <w:b/>
                      <w:color w:val="auto"/>
                      <w:sz w:val="21"/>
                      <w:szCs w:val="21"/>
                    </w:rPr>
                    <w:t>江苏省重点行业挥发性有机物污染控制指南</w:t>
                  </w:r>
                </w:p>
              </w:tc>
            </w:tr>
            <w:tr w14:paraId="4A286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Align w:val="center"/>
                </w:tcPr>
                <w:p w14:paraId="5ACC091C">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eastAsia="仿宋" w:cs="Times New Roman"/>
                      <w:color w:val="auto"/>
                      <w:spacing w:val="-6"/>
                      <w:kern w:val="32"/>
                      <w:sz w:val="21"/>
                      <w:szCs w:val="21"/>
                      <w:lang w:val="en-US" w:eastAsia="zh-CN"/>
                    </w:rPr>
                  </w:pPr>
                  <w:r>
                    <w:rPr>
                      <w:rFonts w:hint="default" w:ascii="Times New Roman" w:hAnsi="Times New Roman" w:eastAsia="仿宋" w:cs="Times New Roman"/>
                      <w:color w:val="auto"/>
                      <w:sz w:val="21"/>
                      <w:szCs w:val="21"/>
                    </w:rPr>
                    <w:t>一、总体要求</w:t>
                  </w:r>
                </w:p>
              </w:tc>
              <w:tc>
                <w:tcPr>
                  <w:tcW w:w="2636" w:type="pct"/>
                  <w:vAlign w:val="center"/>
                </w:tcPr>
                <w:p w14:paraId="7221141D">
                  <w:pPr>
                    <w:keepNext w:val="0"/>
                    <w:keepLines w:val="0"/>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（一）所有产生有机废气污染的企业，应优先采用环保型原辅料、生产工艺和装备，对相应生产单元或设施进行密闭，从源头控制VOCs的产生，</w:t>
                  </w:r>
                  <w:r>
                    <w:rPr>
                      <w:rFonts w:hint="eastAsia" w:ascii="Times New Roman" w:hAnsi="Times New Roman" w:cs="Times New Roman"/>
                      <w:color w:val="auto"/>
                      <w:sz w:val="21"/>
                      <w:szCs w:val="21"/>
                      <w:lang w:val="en-US" w:eastAsia="zh-CN"/>
                    </w:rPr>
                    <w:t>减</w:t>
                  </w:r>
                  <w:r>
                    <w:rPr>
                      <w:rFonts w:hint="default" w:ascii="Times New Roman" w:hAnsi="Times New Roman" w:eastAsia="仿宋" w:cs="Times New Roman"/>
                      <w:color w:val="auto"/>
                      <w:sz w:val="21"/>
                      <w:szCs w:val="21"/>
                    </w:rPr>
                    <w:t>少废气污染物排放。</w:t>
                  </w:r>
                </w:p>
                <w:p w14:paraId="31CE2BFE">
                  <w:pPr>
                    <w:keepNext w:val="0"/>
                    <w:keepLines w:val="0"/>
                    <w:suppressLineNumbers w:val="0"/>
                    <w:tabs>
                      <w:tab w:val="left" w:pos="2160"/>
                    </w:tabs>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spacing w:val="-6"/>
                      <w:kern w:val="32"/>
                      <w:sz w:val="21"/>
                      <w:szCs w:val="21"/>
                      <w:lang w:val="en-US" w:eastAsia="zh-CN"/>
                    </w:rPr>
                  </w:pPr>
                  <w:r>
                    <w:rPr>
                      <w:rFonts w:hint="default" w:ascii="Times New Roman" w:hAnsi="Times New Roman" w:eastAsia="仿宋" w:cs="Times New Roman"/>
                      <w:color w:val="auto"/>
                      <w:sz w:val="21"/>
                      <w:szCs w:val="21"/>
                    </w:rPr>
                    <w:t>（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1727" w:type="pct"/>
                  <w:gridSpan w:val="2"/>
                  <w:vAlign w:val="center"/>
                </w:tcPr>
                <w:p w14:paraId="7B38F340">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eastAsia="仿宋" w:cs="Times New Roman"/>
                      <w:color w:val="auto"/>
                      <w:sz w:val="21"/>
                      <w:szCs w:val="21"/>
                      <w:lang w:val="en-US" w:eastAsia="zh-CN"/>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压铸工段产生的有机</w:t>
                  </w:r>
                  <w:r>
                    <w:rPr>
                      <w:rFonts w:hint="eastAsia" w:ascii="Times New Roman" w:hAnsi="Times New Roman" w:cs="Times New Roman"/>
                      <w:bCs/>
                      <w:color w:val="auto"/>
                      <w:sz w:val="21"/>
                      <w:szCs w:val="21"/>
                      <w:lang w:eastAsia="zh-CN"/>
                    </w:rPr>
                    <w:t>废气经收集后利用</w:t>
                  </w:r>
                  <w:r>
                    <w:rPr>
                      <w:rFonts w:hint="eastAsia" w:cs="Times New Roman"/>
                      <w:bCs/>
                      <w:color w:val="auto"/>
                      <w:sz w:val="21"/>
                      <w:szCs w:val="21"/>
                      <w:lang w:eastAsia="zh-CN"/>
                    </w:rPr>
                    <w:t>一套水喷淋+干式过滤+二级活性炭吸附装置</w:t>
                  </w:r>
                  <w:r>
                    <w:rPr>
                      <w:rFonts w:hint="eastAsia" w:ascii="Times New Roman" w:hAnsi="Times New Roman" w:cs="Times New Roman"/>
                      <w:bCs/>
                      <w:color w:val="auto"/>
                      <w:sz w:val="21"/>
                      <w:szCs w:val="21"/>
                      <w:lang w:eastAsia="zh-CN"/>
                    </w:rPr>
                    <w:t>（TA001）处理，处理后通过1根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default" w:ascii="Times New Roman" w:hAnsi="Times New Roman" w:eastAsia="仿宋" w:cs="Times New Roman"/>
                      <w:bCs/>
                      <w:color w:val="auto"/>
                      <w:sz w:val="21"/>
                      <w:szCs w:val="21"/>
                      <w:lang w:val="en-US" w:eastAsia="zh-CN"/>
                    </w:rPr>
                    <w:t>，</w:t>
                  </w:r>
                  <w:r>
                    <w:rPr>
                      <w:rFonts w:hint="eastAsia" w:cs="Times New Roman"/>
                      <w:bCs/>
                      <w:color w:val="auto"/>
                      <w:sz w:val="21"/>
                      <w:szCs w:val="21"/>
                      <w:lang w:val="en-US" w:eastAsia="zh-CN"/>
                    </w:rPr>
                    <w:t>本项目属于铝制零部件制造行业，无溶剂、浸胶工艺，对</w:t>
                  </w:r>
                  <w:r>
                    <w:rPr>
                      <w:rFonts w:hint="default" w:ascii="Times New Roman" w:hAnsi="Times New Roman" w:eastAsia="仿宋" w:cs="Times New Roman"/>
                      <w:bCs/>
                      <w:color w:val="auto"/>
                      <w:sz w:val="21"/>
                      <w:szCs w:val="21"/>
                      <w:lang w:val="en-US" w:eastAsia="zh-CN"/>
                    </w:rPr>
                    <w:t>VOCs</w:t>
                  </w:r>
                  <w:r>
                    <w:rPr>
                      <w:rFonts w:hint="eastAsia" w:cs="Times New Roman"/>
                      <w:bCs/>
                      <w:color w:val="auto"/>
                      <w:sz w:val="21"/>
                      <w:szCs w:val="21"/>
                      <w:lang w:val="en-US" w:eastAsia="zh-CN"/>
                    </w:rPr>
                    <w:t>的收集效率</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90</w:t>
                  </w:r>
                  <w:r>
                    <w:rPr>
                      <w:rFonts w:hint="default" w:ascii="Times New Roman" w:hAnsi="Times New Roman" w:eastAsia="仿宋" w:cs="Times New Roman"/>
                      <w:color w:val="auto"/>
                      <w:sz w:val="21"/>
                      <w:szCs w:val="21"/>
                    </w:rPr>
                    <w:t>%</w:t>
                  </w:r>
                  <w:r>
                    <w:rPr>
                      <w:rFonts w:hint="eastAsia" w:cs="Times New Roman"/>
                      <w:bCs/>
                      <w:color w:val="auto"/>
                      <w:sz w:val="21"/>
                      <w:szCs w:val="21"/>
                      <w:lang w:val="en-US" w:eastAsia="zh-CN"/>
                    </w:rPr>
                    <w:t>，</w:t>
                  </w:r>
                  <w:r>
                    <w:rPr>
                      <w:rFonts w:hint="default" w:ascii="Times New Roman" w:hAnsi="Times New Roman" w:eastAsia="仿宋" w:cs="Times New Roman"/>
                      <w:color w:val="auto"/>
                      <w:sz w:val="21"/>
                      <w:szCs w:val="21"/>
                    </w:rPr>
                    <w:t>处理效率≥</w:t>
                  </w:r>
                  <w:r>
                    <w:rPr>
                      <w:rFonts w:hint="eastAsia" w:cs="Times New Roman"/>
                      <w:color w:val="auto"/>
                      <w:sz w:val="21"/>
                      <w:szCs w:val="21"/>
                      <w:lang w:val="en-US" w:eastAsia="zh-CN"/>
                    </w:rPr>
                    <w:t>90</w:t>
                  </w:r>
                  <w:r>
                    <w:rPr>
                      <w:rFonts w:hint="default" w:ascii="Times New Roman" w:hAnsi="Times New Roman" w:eastAsia="仿宋" w:cs="Times New Roman"/>
                      <w:color w:val="auto"/>
                      <w:sz w:val="21"/>
                      <w:szCs w:val="21"/>
                    </w:rPr>
                    <w:t>%，与文件要求相符。</w:t>
                  </w:r>
                </w:p>
              </w:tc>
            </w:tr>
            <w:tr w14:paraId="4351F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4CCA3265">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
                      <w:color w:val="auto"/>
                      <w:sz w:val="21"/>
                      <w:szCs w:val="21"/>
                    </w:rPr>
                    <w:t>江苏省挥发性有机物污染防治管理办法</w:t>
                  </w:r>
                </w:p>
              </w:tc>
            </w:tr>
            <w:tr w14:paraId="23807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52E5902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第三条</w:t>
                  </w:r>
                </w:p>
              </w:tc>
              <w:tc>
                <w:tcPr>
                  <w:tcW w:w="2636" w:type="pct"/>
                  <w:shd w:val="clear" w:color="auto" w:fill="auto"/>
                  <w:vAlign w:val="center"/>
                </w:tcPr>
                <w:p w14:paraId="707F75CE">
                  <w:pPr>
                    <w:keepNext w:val="0"/>
                    <w:keepLines w:val="0"/>
                    <w:suppressLineNumbers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sz w:val="21"/>
                      <w:szCs w:val="21"/>
                    </w:rPr>
                    <w:t>挥发性有机物污染防治坚持源头控制、综合治理、损害担责、公众参与的原则，重点防治工业源排放的挥发性有机物，强化生活源、农业源等挥发性有机物污染防治。</w:t>
                  </w:r>
                </w:p>
              </w:tc>
              <w:tc>
                <w:tcPr>
                  <w:tcW w:w="1727" w:type="pct"/>
                  <w:gridSpan w:val="2"/>
                  <w:vMerge w:val="restart"/>
                  <w:shd w:val="clear" w:color="auto" w:fill="auto"/>
                  <w:vAlign w:val="center"/>
                </w:tcPr>
                <w:p w14:paraId="1995A732">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压铸工段产生的有机</w:t>
                  </w:r>
                  <w:r>
                    <w:rPr>
                      <w:rFonts w:hint="eastAsia" w:ascii="Times New Roman" w:hAnsi="Times New Roman" w:cs="Times New Roman"/>
                      <w:bCs/>
                      <w:color w:val="auto"/>
                      <w:sz w:val="21"/>
                      <w:szCs w:val="21"/>
                      <w:lang w:eastAsia="zh-CN"/>
                    </w:rPr>
                    <w:t>废气经收集后利用</w:t>
                  </w:r>
                  <w:r>
                    <w:rPr>
                      <w:rFonts w:hint="eastAsia" w:cs="Times New Roman"/>
                      <w:bCs/>
                      <w:color w:val="auto"/>
                      <w:sz w:val="21"/>
                      <w:szCs w:val="21"/>
                      <w:lang w:eastAsia="zh-CN"/>
                    </w:rPr>
                    <w:t>一套水喷淋+干式过滤+二级活性炭吸附装置</w:t>
                  </w:r>
                  <w:r>
                    <w:rPr>
                      <w:rFonts w:hint="eastAsia" w:ascii="Times New Roman" w:hAnsi="Times New Roman" w:cs="Times New Roman"/>
                      <w:bCs/>
                      <w:color w:val="auto"/>
                      <w:sz w:val="21"/>
                      <w:szCs w:val="21"/>
                      <w:lang w:eastAsia="zh-CN"/>
                    </w:rPr>
                    <w:t>（TA001）处理，处理后通过1根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color w:val="auto"/>
                      <w:sz w:val="21"/>
                      <w:szCs w:val="21"/>
                    </w:rPr>
                    <w:t>排放的污染物在</w:t>
                  </w:r>
                  <w:r>
                    <w:rPr>
                      <w:rFonts w:hint="eastAsia" w:cs="Times New Roman"/>
                      <w:color w:val="auto"/>
                      <w:sz w:val="21"/>
                      <w:szCs w:val="21"/>
                      <w:lang w:val="en-US" w:eastAsia="zh-CN"/>
                    </w:rPr>
                    <w:t>横山桥镇</w:t>
                  </w:r>
                  <w:r>
                    <w:rPr>
                      <w:rFonts w:hint="default" w:ascii="Times New Roman" w:hAnsi="Times New Roman" w:eastAsia="仿宋" w:cs="Times New Roman"/>
                      <w:color w:val="auto"/>
                      <w:sz w:val="21"/>
                      <w:szCs w:val="21"/>
                    </w:rPr>
                    <w:t>范围内平衡，定期进行环境检测，并按照规定向社会公开，与文件要求相符。</w:t>
                  </w:r>
                </w:p>
              </w:tc>
            </w:tr>
            <w:tr w14:paraId="2814B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3E927F2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第十三条</w:t>
                  </w:r>
                </w:p>
              </w:tc>
              <w:tc>
                <w:tcPr>
                  <w:tcW w:w="2636" w:type="pct"/>
                  <w:shd w:val="clear" w:color="auto" w:fill="auto"/>
                  <w:vAlign w:val="center"/>
                </w:tcPr>
                <w:p w14:paraId="7CDAC54F">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新建、改建、扩建排放挥发性有机物的建设项目，应当依法进行环境影响评价。新增挥发性有机物排放总量指标的不足部分，可以依照有关规定通过排污权交易取得。</w:t>
                  </w:r>
                </w:p>
                <w:p w14:paraId="3314E128">
                  <w:pPr>
                    <w:keepNext w:val="0"/>
                    <w:keepLines w:val="0"/>
                    <w:suppressLineNumbers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建设项目的环境影响评价文件未经审查或者审查后未予批准的，建设单位不得开工建设。</w:t>
                  </w:r>
                </w:p>
              </w:tc>
              <w:tc>
                <w:tcPr>
                  <w:tcW w:w="1727" w:type="pct"/>
                  <w:gridSpan w:val="2"/>
                  <w:vMerge w:val="continue"/>
                  <w:vAlign w:val="center"/>
                </w:tcPr>
                <w:p w14:paraId="6327D805">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6962B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02F34857">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第十五条</w:t>
                  </w:r>
                </w:p>
              </w:tc>
              <w:tc>
                <w:tcPr>
                  <w:tcW w:w="2636" w:type="pct"/>
                  <w:shd w:val="clear" w:color="auto" w:fill="auto"/>
                  <w:vAlign w:val="center"/>
                </w:tcPr>
                <w:p w14:paraId="362F449C">
                  <w:pPr>
                    <w:keepNext w:val="0"/>
                    <w:keepLines w:val="0"/>
                    <w:suppressLineNumbers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727" w:type="pct"/>
                  <w:gridSpan w:val="2"/>
                  <w:vMerge w:val="continue"/>
                  <w:vAlign w:val="center"/>
                </w:tcPr>
                <w:p w14:paraId="3379521A">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38FC5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21EE919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第十七条</w:t>
                  </w:r>
                </w:p>
              </w:tc>
              <w:tc>
                <w:tcPr>
                  <w:tcW w:w="2636" w:type="pct"/>
                  <w:shd w:val="clear" w:color="auto" w:fill="auto"/>
                  <w:vAlign w:val="center"/>
                </w:tcPr>
                <w:p w14:paraId="46A023B6">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挥发性有机物排放单位应当按照有关规定和监测规范自行或者委托有关监测机构对其排放的挥发性有机物进行监测，记录、保存监测数据，并按照规定向社会公开。</w:t>
                  </w:r>
                </w:p>
                <w:p w14:paraId="6425DA33">
                  <w:pPr>
                    <w:keepNext w:val="0"/>
                    <w:keepLines w:val="0"/>
                    <w:suppressLineNumbers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监测数据应当真实、可靠，保存时间不得少于3年。</w:t>
                  </w:r>
                </w:p>
              </w:tc>
              <w:tc>
                <w:tcPr>
                  <w:tcW w:w="1727" w:type="pct"/>
                  <w:gridSpan w:val="2"/>
                  <w:vMerge w:val="continue"/>
                  <w:vAlign w:val="center"/>
                </w:tcPr>
                <w:p w14:paraId="0648AE48">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239BE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4270A64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第二十一条</w:t>
                  </w:r>
                </w:p>
              </w:tc>
              <w:tc>
                <w:tcPr>
                  <w:tcW w:w="2636" w:type="pct"/>
                  <w:shd w:val="clear" w:color="auto" w:fill="auto"/>
                  <w:vAlign w:val="center"/>
                </w:tcPr>
                <w:p w14:paraId="6AF4D710">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1C201E2E">
                  <w:pPr>
                    <w:keepNext w:val="0"/>
                    <w:keepLines w:val="0"/>
                    <w:suppressLineNumbers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无法在密闭空间进行的生产经营活动应当采取有效措施，减少挥发性有机物排放量。</w:t>
                  </w:r>
                </w:p>
              </w:tc>
              <w:tc>
                <w:tcPr>
                  <w:tcW w:w="1727" w:type="pct"/>
                  <w:gridSpan w:val="2"/>
                  <w:vMerge w:val="continue"/>
                  <w:vAlign w:val="center"/>
                </w:tcPr>
                <w:p w14:paraId="7EAA997A">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1661A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19F0515C">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关于印发《重点行业挥发性有机物综合治理方案》的通知</w:t>
                  </w:r>
                </w:p>
                <w:p w14:paraId="1158136B">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
                      <w:bCs/>
                      <w:color w:val="auto"/>
                      <w:sz w:val="21"/>
                      <w:szCs w:val="21"/>
                    </w:rPr>
                    <w:t>（环大气</w:t>
                  </w:r>
                  <w:r>
                    <w:rPr>
                      <w:rFonts w:hint="eastAsia" w:cs="Times New Roman"/>
                      <w:b/>
                      <w:bCs/>
                      <w:color w:val="auto"/>
                      <w:sz w:val="21"/>
                      <w:szCs w:val="21"/>
                      <w:lang w:eastAsia="zh-CN"/>
                    </w:rPr>
                    <w:t>〔2019〕53号</w:t>
                  </w:r>
                  <w:r>
                    <w:rPr>
                      <w:rFonts w:hint="default" w:ascii="Times New Roman" w:hAnsi="Times New Roman" w:eastAsia="仿宋" w:cs="Times New Roman"/>
                      <w:b/>
                      <w:bCs/>
                      <w:color w:val="auto"/>
                      <w:sz w:val="21"/>
                      <w:szCs w:val="21"/>
                    </w:rPr>
                    <w:t>）</w:t>
                  </w:r>
                </w:p>
              </w:tc>
            </w:tr>
            <w:tr w14:paraId="69646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442E25B3">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三、控制思路与要求</w:t>
                  </w:r>
                </w:p>
                <w:p w14:paraId="179A308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rPr>
                  </w:pPr>
                </w:p>
              </w:tc>
              <w:tc>
                <w:tcPr>
                  <w:tcW w:w="2636" w:type="pct"/>
                  <w:shd w:val="clear" w:color="auto" w:fill="auto"/>
                  <w:vAlign w:val="center"/>
                </w:tcPr>
                <w:p w14:paraId="1490332E">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25EE1C51">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加强政策引导。企业采用符合国家有关低VOCs含量产品规定的涂料、油墨、胶粘剂等，排放浓度稳定达标且排放速率、排放绩效等满足相关规定的，相应生产</w:t>
                  </w:r>
                  <w:r>
                    <w:rPr>
                      <w:rFonts w:hint="eastAsia" w:cs="Times New Roman"/>
                      <w:color w:val="auto"/>
                      <w:sz w:val="21"/>
                      <w:szCs w:val="21"/>
                      <w:lang w:eastAsia="zh-CN"/>
                    </w:rPr>
                    <w:t>工段</w:t>
                  </w:r>
                  <w:r>
                    <w:rPr>
                      <w:rFonts w:hint="default" w:ascii="Times New Roman" w:hAnsi="Times New Roman" w:eastAsia="仿宋" w:cs="Times New Roman"/>
                      <w:color w:val="auto"/>
                      <w:sz w:val="21"/>
                      <w:szCs w:val="21"/>
                    </w:rPr>
                    <w:t>可不要求建设末端治理设施。使用的原辅材料VOCs含量（质量比）低于10%的</w:t>
                  </w:r>
                  <w:r>
                    <w:rPr>
                      <w:rFonts w:hint="eastAsia" w:cs="Times New Roman"/>
                      <w:color w:val="auto"/>
                      <w:sz w:val="21"/>
                      <w:szCs w:val="21"/>
                      <w:lang w:eastAsia="zh-CN"/>
                    </w:rPr>
                    <w:t>工段</w:t>
                  </w:r>
                  <w:r>
                    <w:rPr>
                      <w:rFonts w:hint="default" w:ascii="Times New Roman" w:hAnsi="Times New Roman" w:eastAsia="仿宋" w:cs="Times New Roman"/>
                      <w:color w:val="auto"/>
                      <w:sz w:val="21"/>
                      <w:szCs w:val="21"/>
                    </w:rPr>
                    <w:t>，可不要求采取无组织排放收集措施。</w:t>
                  </w:r>
                </w:p>
              </w:tc>
              <w:tc>
                <w:tcPr>
                  <w:tcW w:w="1727" w:type="pct"/>
                  <w:gridSpan w:val="2"/>
                  <w:vMerge w:val="restart"/>
                  <w:shd w:val="clear" w:color="auto" w:fill="auto"/>
                  <w:vAlign w:val="center"/>
                </w:tcPr>
                <w:p w14:paraId="6C8FD8B1">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压铸工段产生的有机</w:t>
                  </w:r>
                  <w:r>
                    <w:rPr>
                      <w:rFonts w:hint="eastAsia" w:ascii="Times New Roman" w:hAnsi="Times New Roman" w:cs="Times New Roman"/>
                      <w:bCs/>
                      <w:color w:val="auto"/>
                      <w:sz w:val="21"/>
                      <w:szCs w:val="21"/>
                      <w:lang w:eastAsia="zh-CN"/>
                    </w:rPr>
                    <w:t>废气经收集后利用</w:t>
                  </w:r>
                  <w:r>
                    <w:rPr>
                      <w:rFonts w:hint="eastAsia" w:cs="Times New Roman"/>
                      <w:bCs/>
                      <w:color w:val="auto"/>
                      <w:sz w:val="21"/>
                      <w:szCs w:val="21"/>
                      <w:lang w:eastAsia="zh-CN"/>
                    </w:rPr>
                    <w:t>一套水喷淋+干式过滤+二级活性炭吸附装置</w:t>
                  </w:r>
                  <w:r>
                    <w:rPr>
                      <w:rFonts w:hint="eastAsia" w:ascii="Times New Roman" w:hAnsi="Times New Roman" w:cs="Times New Roman"/>
                      <w:bCs/>
                      <w:color w:val="auto"/>
                      <w:sz w:val="21"/>
                      <w:szCs w:val="21"/>
                      <w:lang w:eastAsia="zh-CN"/>
                    </w:rPr>
                    <w:t>（TA001）处理，处理后通过1根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default" w:ascii="Times New Roman" w:hAnsi="Times New Roman" w:eastAsia="仿宋" w:cs="Times New Roman"/>
                      <w:bCs/>
                      <w:color w:val="auto"/>
                      <w:sz w:val="21"/>
                      <w:szCs w:val="21"/>
                    </w:rPr>
                    <w:t>，与文件要求相符。</w:t>
                  </w:r>
                </w:p>
              </w:tc>
            </w:tr>
            <w:tr w14:paraId="4587D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052040C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rPr>
                  </w:pPr>
                </w:p>
              </w:tc>
              <w:tc>
                <w:tcPr>
                  <w:tcW w:w="2636" w:type="pct"/>
                  <w:shd w:val="clear" w:color="auto" w:fill="auto"/>
                  <w:vAlign w:val="center"/>
                </w:tcPr>
                <w:p w14:paraId="28292F9D">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58D0B29B">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65429D63">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w:t>
                  </w:r>
                  <w:r>
                    <w:rPr>
                      <w:rFonts w:hint="eastAsia" w:ascii="Times New Roman" w:hAnsi="Times New Roman" w:cs="Times New Roman"/>
                      <w:color w:val="auto"/>
                      <w:sz w:val="21"/>
                      <w:szCs w:val="21"/>
                      <w:lang w:eastAsia="zh-CN"/>
                    </w:rPr>
                    <w:t>押出</w:t>
                  </w:r>
                  <w:r>
                    <w:rPr>
                      <w:rFonts w:hint="default" w:ascii="Times New Roman" w:hAnsi="Times New Roman" w:eastAsia="仿宋" w:cs="Times New Roman"/>
                      <w:color w:val="auto"/>
                      <w:sz w:val="21"/>
                      <w:szCs w:val="21"/>
                    </w:rPr>
                    <w:t>复合、共</w:t>
                  </w:r>
                  <w:r>
                    <w:rPr>
                      <w:rFonts w:hint="eastAsia" w:ascii="Times New Roman" w:hAnsi="Times New Roman" w:cs="Times New Roman"/>
                      <w:color w:val="auto"/>
                      <w:sz w:val="21"/>
                      <w:szCs w:val="21"/>
                      <w:lang w:eastAsia="zh-CN"/>
                    </w:rPr>
                    <w:t>押出</w:t>
                  </w:r>
                  <w:r>
                    <w:rPr>
                      <w:rFonts w:hint="default" w:ascii="Times New Roman" w:hAnsi="Times New Roman" w:eastAsia="仿宋" w:cs="Times New Roman"/>
                      <w:color w:val="auto"/>
                      <w:sz w:val="21"/>
                      <w:szCs w:val="21"/>
                    </w:rPr>
                    <w:t>复合技术，鼓励采用水性凹印、醇水凹印、辐射固化凹印、柔版印刷、无水胶印等印刷工艺。</w:t>
                  </w:r>
                </w:p>
                <w:p w14:paraId="1B5D5D22">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提高废气收集率。遵循</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应收尽收、分质收集</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的原则，科学设计废气收集系统，将无组织排放转变为有组织排放进行控制。采用全密闭集气罩或密闭空间的，除行业有特殊要求外，应保持微</w:t>
                  </w:r>
                  <w:r>
                    <w:rPr>
                      <w:rFonts w:hint="default" w:ascii="Times New Roman" w:hAnsi="Times New Roman" w:eastAsia="仿宋" w:cs="Times New Roman"/>
                      <w:color w:val="auto"/>
                      <w:sz w:val="21"/>
                      <w:szCs w:val="21"/>
                      <w:lang w:eastAsia="zh-CN"/>
                    </w:rPr>
                    <w:t>集气罩</w:t>
                  </w:r>
                  <w:r>
                    <w:rPr>
                      <w:rFonts w:hint="default" w:ascii="Times New Roman" w:hAnsi="Times New Roman" w:eastAsia="仿宋" w:cs="Times New Roman"/>
                      <w:color w:val="auto"/>
                      <w:sz w:val="21"/>
                      <w:szCs w:val="21"/>
                    </w:rPr>
                    <w:t>状态，并根据相关规范合理设置通风量。采用局部集气罩的，距集气罩开口面最远处的VOCs无组织排放位置，控制风速应不低于0.3米/秒，有行业要求的按相关规定执行。</w:t>
                  </w:r>
                </w:p>
                <w:p w14:paraId="68EBE8E4">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加强设备与管线组件泄漏控制。企业中载有气态、液态VOCs物料的设备与管线组件，密封点数量大于等于2000个的，应按要求开展LDAR工作。石化企业按行业排放标准规定执行。</w:t>
                  </w:r>
                </w:p>
              </w:tc>
              <w:tc>
                <w:tcPr>
                  <w:tcW w:w="1727" w:type="pct"/>
                  <w:gridSpan w:val="2"/>
                  <w:vMerge w:val="continue"/>
                  <w:vAlign w:val="center"/>
                </w:tcPr>
                <w:p w14:paraId="3931E327">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07288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60BCDFE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rPr>
                  </w:pPr>
                </w:p>
              </w:tc>
              <w:tc>
                <w:tcPr>
                  <w:tcW w:w="2636" w:type="pct"/>
                  <w:shd w:val="clear" w:color="auto" w:fill="auto"/>
                  <w:vAlign w:val="center"/>
                </w:tcPr>
                <w:p w14:paraId="38E64637">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1301FB57">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2A22D2B1">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727" w:type="pct"/>
                  <w:gridSpan w:val="2"/>
                  <w:vMerge w:val="continue"/>
                  <w:vAlign w:val="center"/>
                </w:tcPr>
                <w:p w14:paraId="012D2F2A">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0BB6B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8A4D03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rPr>
                  </w:pPr>
                </w:p>
              </w:tc>
              <w:tc>
                <w:tcPr>
                  <w:tcW w:w="2636" w:type="pct"/>
                  <w:shd w:val="clear" w:color="auto" w:fill="auto"/>
                  <w:vAlign w:val="center"/>
                </w:tcPr>
                <w:p w14:paraId="0492F2F0">
                  <w:pPr>
                    <w:keepNext w:val="0"/>
                    <w:keepLines w:val="0"/>
                    <w:suppressLineNumbers w:val="0"/>
                    <w:autoSpaceDE w:val="0"/>
                    <w:autoSpaceDN w:val="0"/>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深入实施精细化管控。各地应围绕当地环境空气质量改善需求，根据O</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来源解析，结合行业污染排放特征和VOCs物质光化学反应活性等，确定本地区VOCs控制的重点行业和重点污染物，兼顾恶臭污染物和有毒有害物质控制等，提出有效管控方案，提高VOCs治理的精准性、针对性和有效性。</w:t>
                  </w:r>
                </w:p>
                <w:p w14:paraId="5E3241EA">
                  <w:pPr>
                    <w:keepNext w:val="0"/>
                    <w:keepLines w:val="0"/>
                    <w:suppressLineNumbers w:val="0"/>
                    <w:autoSpaceDE w:val="0"/>
                    <w:autoSpaceDN w:val="0"/>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推行</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一厂一策</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制度。各地应加强对企业帮扶指导，对本地污染物排放量较大的企业，组织专家提供专业化技术支持，严格把关，指导企业编制切实可行的污染治理方案，明确原辅材料替代、工艺改进、无组织排放管控、废气收集、治污设施建设等全过程减排要求，测算投资成本和减排效益，为企业有效开展VOCs综合治理提供技术服务。重点区域应组织本地VOCs排放量较大的企业开展</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一厂一策</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方案编制工作，2020年6月底前基本完成；适时开展治理效果后评估工作，各地出台的补贴政策要与减排效果紧密挂钩。鼓励地方对重点行业推行强制性清洁生产审核。</w:t>
                  </w:r>
                </w:p>
                <w:p w14:paraId="38BC409A">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加强企业运行管理。企业应系统梳理VOCs排放主要环节和</w:t>
                  </w:r>
                  <w:r>
                    <w:rPr>
                      <w:rFonts w:hint="eastAsia" w:cs="Times New Roman"/>
                      <w:color w:val="auto"/>
                      <w:sz w:val="21"/>
                      <w:szCs w:val="21"/>
                      <w:lang w:eastAsia="zh-CN"/>
                    </w:rPr>
                    <w:t>工段</w:t>
                  </w:r>
                  <w:r>
                    <w:rPr>
                      <w:rFonts w:hint="default" w:ascii="Times New Roman" w:hAnsi="Times New Roman" w:eastAsia="仿宋" w:cs="Times New Roman"/>
                      <w:color w:val="auto"/>
                      <w:sz w:val="21"/>
                      <w:szCs w:val="21"/>
                    </w:rPr>
                    <w:t>，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1727" w:type="pct"/>
                  <w:gridSpan w:val="2"/>
                  <w:vMerge w:val="continue"/>
                  <w:vAlign w:val="center"/>
                </w:tcPr>
                <w:p w14:paraId="5CEFBA20">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0D7F4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21B15EBD">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仿宋" w:cs="Times New Roman"/>
                      <w:b/>
                      <w:bCs/>
                      <w:color w:val="auto"/>
                      <w:kern w:val="2"/>
                      <w:sz w:val="21"/>
                      <w:szCs w:val="21"/>
                      <w:lang w:val="en-US" w:eastAsia="zh-CN" w:bidi="ar-SA"/>
                    </w:rPr>
                  </w:pPr>
                  <w:r>
                    <w:rPr>
                      <w:rFonts w:hint="eastAsia" w:cs="Times New Roman"/>
                      <w:b/>
                      <w:bCs/>
                      <w:color w:val="auto"/>
                      <w:sz w:val="21"/>
                      <w:szCs w:val="21"/>
                      <w:lang w:eastAsia="zh-CN"/>
                    </w:rPr>
                    <w:t>《</w:t>
                  </w:r>
                  <w:r>
                    <w:rPr>
                      <w:rFonts w:hint="eastAsia" w:cs="Times New Roman"/>
                      <w:b/>
                      <w:bCs/>
                      <w:color w:val="auto"/>
                      <w:sz w:val="21"/>
                      <w:szCs w:val="21"/>
                      <w:lang w:val="en-US" w:eastAsia="zh-CN"/>
                    </w:rPr>
                    <w:t>江苏省挥发性有机物清洁原料替代工作方案</w:t>
                  </w:r>
                  <w:r>
                    <w:rPr>
                      <w:rFonts w:hint="eastAsia" w:cs="Times New Roman"/>
                      <w:b/>
                      <w:bCs/>
                      <w:color w:val="auto"/>
                      <w:sz w:val="21"/>
                      <w:szCs w:val="21"/>
                      <w:lang w:eastAsia="zh-CN"/>
                    </w:rPr>
                    <w:t>》（</w:t>
                  </w:r>
                  <w:r>
                    <w:rPr>
                      <w:rFonts w:hint="eastAsia" w:cs="Times New Roman"/>
                      <w:b/>
                      <w:bCs/>
                      <w:color w:val="auto"/>
                      <w:sz w:val="21"/>
                      <w:szCs w:val="21"/>
                      <w:lang w:val="en-US" w:eastAsia="zh-CN"/>
                    </w:rPr>
                    <w:t>苏大气办〔2021〕2号</w:t>
                  </w:r>
                  <w:r>
                    <w:rPr>
                      <w:rFonts w:hint="eastAsia" w:cs="Times New Roman"/>
                      <w:b/>
                      <w:bCs/>
                      <w:color w:val="auto"/>
                      <w:sz w:val="21"/>
                      <w:szCs w:val="21"/>
                      <w:lang w:eastAsia="zh-CN"/>
                    </w:rPr>
                    <w:t>）</w:t>
                  </w:r>
                  <w:r>
                    <w:rPr>
                      <w:rFonts w:hint="eastAsia" w:cs="Times New Roman"/>
                      <w:b/>
                      <w:bCs/>
                      <w:color w:val="auto"/>
                      <w:sz w:val="21"/>
                      <w:szCs w:val="21"/>
                      <w:lang w:val="en-US" w:eastAsia="zh-CN"/>
                    </w:rPr>
                    <w:t>及《常州市挥发性有机物清洁原料替代工作方案》（常污防攻坚指办〔2021〕32号）</w:t>
                  </w:r>
                </w:p>
              </w:tc>
            </w:tr>
            <w:tr w14:paraId="44476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723F8975">
                  <w:pPr>
                    <w:keepNext w:val="0"/>
                    <w:keepLines w:val="0"/>
                    <w:suppressLineNumbers w:val="0"/>
                    <w:autoSpaceDE w:val="0"/>
                    <w:autoSpaceDN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val="en-US" w:eastAsia="zh-CN"/>
                    </w:rPr>
                    <w:t>一</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val="en-US" w:eastAsia="zh-CN"/>
                    </w:rPr>
                    <w:t>明确替代要求</w:t>
                  </w:r>
                </w:p>
              </w:tc>
              <w:tc>
                <w:tcPr>
                  <w:tcW w:w="2636" w:type="pct"/>
                  <w:shd w:val="clear" w:color="auto" w:fill="auto"/>
                  <w:vAlign w:val="center"/>
                </w:tcPr>
                <w:p w14:paraId="2F102735">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以工业涂装、包装印刷、木材加工、纺织等行业为重点，分阶段推进</w:t>
                  </w:r>
                  <w:r>
                    <w:rPr>
                      <w:rFonts w:hint="default" w:ascii="Times New Roman" w:hAnsi="Times New Roman" w:eastAsia="仿宋" w:cs="Times New Roman"/>
                      <w:color w:val="auto"/>
                      <w:sz w:val="21"/>
                      <w:szCs w:val="21"/>
                      <w:lang w:val="en-US" w:eastAsia="zh-CN"/>
                    </w:rPr>
                    <w:t>3130</w:t>
                  </w:r>
                  <w:r>
                    <w:rPr>
                      <w:rFonts w:hint="eastAsia" w:ascii="Times New Roman" w:hAnsi="Times New Roman" w:eastAsia="仿宋" w:cs="Times New Roman"/>
                      <w:color w:val="auto"/>
                      <w:sz w:val="21"/>
                      <w:szCs w:val="21"/>
                      <w:lang w:val="en-US" w:eastAsia="zh-CN"/>
                    </w:rPr>
                    <w:t>家企业清洁原料替代工作。实施替代的企业要使用符合《低挥发性有机化合物含量涂料产品技术要求》</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GB/T38597-2020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规定的粉末、水性、无溶剂、辐射固化涂料产品；符合《油墨中可挥发性有机化合物</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VOCs</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含量的限值》</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GB38507-2020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规定的水性油墨和能量固化油墨产品；符合《清洗剂挥发性有机化合物含量限值》</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GB38508-2020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规定的水基、</w:t>
                  </w:r>
                  <w:r>
                    <w:rPr>
                      <w:rFonts w:hint="eastAsia" w:cs="Times New Roman"/>
                      <w:color w:val="auto"/>
                      <w:sz w:val="21"/>
                      <w:szCs w:val="21"/>
                      <w:lang w:val="en-US" w:eastAsia="zh-CN"/>
                    </w:rPr>
                    <w:t>半</w:t>
                  </w:r>
                  <w:r>
                    <w:rPr>
                      <w:rFonts w:hint="eastAsia" w:ascii="Times New Roman" w:hAnsi="Times New Roman" w:eastAsia="仿宋" w:cs="Times New Roman"/>
                      <w:color w:val="auto"/>
                      <w:sz w:val="21"/>
                      <w:szCs w:val="21"/>
                      <w:lang w:val="en-US" w:eastAsia="zh-CN"/>
                    </w:rPr>
                    <w:t>水基清洗剂产品；符合《胶粘剂挥发性有机化合物限量》</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GB33372-2020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规定的水基型、本体型胶粘剂产品。若确实无法达到上述要求，应提供相应的论证说明，相关涂料、油墨、清洗剂、胶粘剂等产品应符合相关标准中</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含量的限值要求。</w:t>
                  </w:r>
                </w:p>
              </w:tc>
              <w:tc>
                <w:tcPr>
                  <w:tcW w:w="1727" w:type="pct"/>
                  <w:gridSpan w:val="2"/>
                  <w:vMerge w:val="restart"/>
                  <w:shd w:val="clear" w:color="auto" w:fill="auto"/>
                  <w:vAlign w:val="center"/>
                </w:tcPr>
                <w:p w14:paraId="05D9D003">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val="en-US" w:eastAsia="zh-CN"/>
                    </w:rPr>
                    <w:t>本项目不使用涂料、油墨、胶粘剂；项目建成后</w:t>
                  </w:r>
                  <w:r>
                    <w:rPr>
                      <w:rFonts w:hint="eastAsia" w:cs="Times New Roman"/>
                      <w:bCs/>
                      <w:color w:val="auto"/>
                      <w:sz w:val="21"/>
                      <w:szCs w:val="21"/>
                      <w:lang w:val="en-US" w:eastAsia="zh-CN"/>
                    </w:rPr>
                    <w:t>完善</w:t>
                  </w:r>
                  <w:r>
                    <w:rPr>
                      <w:rFonts w:hint="eastAsia" w:ascii="Times New Roman" w:hAnsi="Times New Roman" w:cs="Times New Roman"/>
                      <w:bCs/>
                      <w:color w:val="auto"/>
                      <w:sz w:val="21"/>
                      <w:szCs w:val="21"/>
                      <w:lang w:val="en-US" w:eastAsia="zh-CN"/>
                    </w:rPr>
                    <w:t>脱模剂</w:t>
                  </w:r>
                  <w:r>
                    <w:rPr>
                      <w:rFonts w:hint="eastAsia" w:cs="Times New Roman"/>
                      <w:bCs/>
                      <w:color w:val="auto"/>
                      <w:sz w:val="21"/>
                      <w:szCs w:val="21"/>
                      <w:lang w:val="en-US" w:eastAsia="zh-CN"/>
                    </w:rPr>
                    <w:t>和润滑颗粒</w:t>
                  </w:r>
                  <w:r>
                    <w:rPr>
                      <w:rFonts w:hint="eastAsia" w:ascii="Times New Roman" w:hAnsi="Times New Roman" w:cs="Times New Roman"/>
                      <w:bCs/>
                      <w:color w:val="auto"/>
                      <w:sz w:val="21"/>
                      <w:szCs w:val="21"/>
                      <w:lang w:val="en-US" w:eastAsia="zh-CN"/>
                    </w:rPr>
                    <w:t>的购买、使用台账。压铸工段产生的有机</w:t>
                  </w:r>
                  <w:r>
                    <w:rPr>
                      <w:rFonts w:hint="eastAsia" w:ascii="Times New Roman" w:hAnsi="Times New Roman" w:cs="Times New Roman"/>
                      <w:bCs/>
                      <w:color w:val="auto"/>
                      <w:sz w:val="21"/>
                      <w:szCs w:val="21"/>
                      <w:lang w:eastAsia="zh-CN"/>
                    </w:rPr>
                    <w:t>废气经收集后利用一套水喷淋+干式过滤+二级</w:t>
                  </w:r>
                  <w:r>
                    <w:rPr>
                      <w:rFonts w:hint="eastAsia" w:cs="Times New Roman"/>
                      <w:bCs/>
                      <w:color w:val="auto"/>
                      <w:sz w:val="21"/>
                      <w:szCs w:val="21"/>
                      <w:lang w:eastAsia="zh-CN"/>
                    </w:rPr>
                    <w:t>活性炭吸附装置</w:t>
                  </w:r>
                  <w:r>
                    <w:rPr>
                      <w:rFonts w:hint="eastAsia" w:ascii="Times New Roman" w:hAnsi="Times New Roman" w:cs="Times New Roman"/>
                      <w:bCs/>
                      <w:color w:val="auto"/>
                      <w:sz w:val="21"/>
                      <w:szCs w:val="21"/>
                      <w:lang w:eastAsia="zh-CN"/>
                    </w:rPr>
                    <w:t>（TA001）处理，处理后通过1根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eastAsia" w:cs="Times New Roman"/>
                      <w:bCs/>
                      <w:color w:val="auto"/>
                      <w:sz w:val="21"/>
                      <w:szCs w:val="21"/>
                      <w:lang w:eastAsia="zh-CN"/>
                    </w:rPr>
                    <w:t>，</w:t>
                  </w:r>
                  <w:r>
                    <w:rPr>
                      <w:rFonts w:hint="eastAsia" w:cs="Times New Roman"/>
                      <w:bCs/>
                      <w:color w:val="auto"/>
                      <w:sz w:val="21"/>
                      <w:szCs w:val="21"/>
                      <w:lang w:val="en-US" w:eastAsia="zh-CN"/>
                    </w:rPr>
                    <w:t>废气均达标排放。</w:t>
                  </w:r>
                </w:p>
              </w:tc>
            </w:tr>
            <w:tr w14:paraId="50242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436D00E2">
                  <w:pPr>
                    <w:keepNext w:val="0"/>
                    <w:keepLines w:val="0"/>
                    <w:suppressLineNumbers w:val="0"/>
                    <w:autoSpaceDE w:val="0"/>
                    <w:autoSpaceDN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eastAsia="zh-CN"/>
                    </w:rPr>
                    <w:t>（</w:t>
                  </w:r>
                  <w:r>
                    <w:rPr>
                      <w:rFonts w:hint="eastAsia" w:cs="Times New Roman"/>
                      <w:color w:val="auto"/>
                      <w:sz w:val="21"/>
                      <w:szCs w:val="21"/>
                      <w:lang w:val="en-US" w:eastAsia="zh-CN"/>
                    </w:rPr>
                    <w:t>二</w:t>
                  </w:r>
                  <w:r>
                    <w:rPr>
                      <w:rFonts w:hint="eastAsia" w:cs="Times New Roman"/>
                      <w:color w:val="auto"/>
                      <w:sz w:val="21"/>
                      <w:szCs w:val="21"/>
                      <w:lang w:eastAsia="zh-CN"/>
                    </w:rPr>
                    <w:t>）</w:t>
                  </w:r>
                  <w:r>
                    <w:rPr>
                      <w:rFonts w:hint="eastAsia" w:cs="Times New Roman"/>
                      <w:color w:val="auto"/>
                      <w:sz w:val="21"/>
                      <w:szCs w:val="21"/>
                      <w:lang w:val="en-US" w:eastAsia="zh-CN"/>
                    </w:rPr>
                    <w:t>严格准入条件</w:t>
                  </w:r>
                </w:p>
              </w:tc>
              <w:tc>
                <w:tcPr>
                  <w:tcW w:w="2636" w:type="pct"/>
                  <w:shd w:val="clear" w:color="auto" w:fill="auto"/>
                  <w:vAlign w:val="center"/>
                </w:tcPr>
                <w:p w14:paraId="18CAFF34">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禁止建设生产和使用高</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含量的涂料、油墨、胶黏剂等项目。</w:t>
                  </w:r>
                  <w:r>
                    <w:rPr>
                      <w:rFonts w:hint="default" w:ascii="Times New Roman" w:hAnsi="Times New Roman" w:eastAsia="仿宋" w:cs="Times New Roman"/>
                      <w:color w:val="auto"/>
                      <w:sz w:val="21"/>
                      <w:szCs w:val="21"/>
                      <w:lang w:val="en-US" w:eastAsia="zh-CN"/>
                    </w:rPr>
                    <w:t>2021</w:t>
                  </w:r>
                  <w:r>
                    <w:rPr>
                      <w:rFonts w:hint="eastAsia" w:ascii="Times New Roman" w:hAnsi="Times New Roman" w:eastAsia="仿宋" w:cs="Times New Roman"/>
                      <w:color w:val="auto"/>
                      <w:sz w:val="21"/>
                      <w:szCs w:val="21"/>
                      <w:lang w:val="en-US" w:eastAsia="zh-CN"/>
                    </w:rPr>
                    <w:t>年起，全省工业涂装、包装印刷、纺织、木材加工等行业以及涂料、油墨等生产企业的新</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改、扩</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建项目需满足低</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无</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含量限值要求。省内市场上流通的水性涂料等低挥发性有机物含量涂料产品，执行国家《低挥发性有机化合物含量涂料产品技术要求》</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GB/T38597-2020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w:t>
                  </w:r>
                </w:p>
              </w:tc>
              <w:tc>
                <w:tcPr>
                  <w:tcW w:w="1727" w:type="pct"/>
                  <w:gridSpan w:val="2"/>
                  <w:vMerge w:val="continue"/>
                  <w:vAlign w:val="center"/>
                </w:tcPr>
                <w:p w14:paraId="54E5DCB3">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0D30B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3AD9E0B6">
                  <w:pPr>
                    <w:keepNext w:val="0"/>
                    <w:keepLines w:val="0"/>
                    <w:suppressLineNumbers w:val="0"/>
                    <w:autoSpaceDE w:val="0"/>
                    <w:autoSpaceDN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eastAsia="zh-CN"/>
                    </w:rPr>
                    <w:t>（</w:t>
                  </w:r>
                  <w:r>
                    <w:rPr>
                      <w:rFonts w:hint="eastAsia" w:cs="Times New Roman"/>
                      <w:color w:val="auto"/>
                      <w:sz w:val="21"/>
                      <w:szCs w:val="21"/>
                      <w:lang w:val="en-US" w:eastAsia="zh-CN"/>
                    </w:rPr>
                    <w:t>三</w:t>
                  </w:r>
                  <w:r>
                    <w:rPr>
                      <w:rFonts w:hint="eastAsia" w:cs="Times New Roman"/>
                      <w:color w:val="auto"/>
                      <w:sz w:val="21"/>
                      <w:szCs w:val="21"/>
                      <w:lang w:eastAsia="zh-CN"/>
                    </w:rPr>
                    <w:t>）</w:t>
                  </w:r>
                  <w:r>
                    <w:rPr>
                      <w:rFonts w:hint="eastAsia" w:cs="Times New Roman"/>
                      <w:color w:val="auto"/>
                      <w:sz w:val="21"/>
                      <w:szCs w:val="21"/>
                      <w:lang w:val="en-US" w:eastAsia="zh-CN"/>
                    </w:rPr>
                    <w:t>强化排查整治</w:t>
                  </w:r>
                </w:p>
              </w:tc>
              <w:tc>
                <w:tcPr>
                  <w:tcW w:w="2636" w:type="pct"/>
                  <w:shd w:val="clear" w:color="auto" w:fill="auto"/>
                  <w:vAlign w:val="center"/>
                </w:tcPr>
                <w:p w14:paraId="6AABFC94">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各地在推动</w:t>
                  </w:r>
                  <w:r>
                    <w:rPr>
                      <w:rFonts w:hint="default" w:ascii="Times New Roman" w:hAnsi="Times New Roman" w:eastAsia="仿宋" w:cs="Times New Roman"/>
                      <w:color w:val="auto"/>
                      <w:sz w:val="21"/>
                      <w:szCs w:val="21"/>
                      <w:lang w:val="en-US" w:eastAsia="zh-CN"/>
                    </w:rPr>
                    <w:t>3130</w:t>
                  </w:r>
                  <w:r>
                    <w:rPr>
                      <w:rFonts w:hint="eastAsia" w:ascii="Times New Roman" w:hAnsi="Times New Roman" w:eastAsia="仿宋" w:cs="Times New Roman"/>
                      <w:color w:val="auto"/>
                      <w:sz w:val="21"/>
                      <w:szCs w:val="21"/>
                      <w:lang w:val="en-US" w:eastAsia="zh-CN"/>
                    </w:rPr>
                    <w:t>家企业实施源头替代的基础上，举一反三，对工业涂装、包装印刷、木材加工、纺织等涉</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重点行业进行再排查、再梳理，督促企业建立涂料等原辅材料购销台账，如实记录使用情况。对具备替代条件的，要列入治理清单，推动企业实施清洁原料替代</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对替代技术尚不成熟的，要开展论证核实，并加强现场监管，确保</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无组织排放得到有效控制，废气排气口达到国家及地方</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排放控制标准要求。</w:t>
                  </w:r>
                </w:p>
              </w:tc>
              <w:tc>
                <w:tcPr>
                  <w:tcW w:w="1727" w:type="pct"/>
                  <w:gridSpan w:val="2"/>
                  <w:vMerge w:val="continue"/>
                  <w:vAlign w:val="center"/>
                </w:tcPr>
                <w:p w14:paraId="743A276F">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5DEFC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290A13EA">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default" w:ascii="Times New Roman" w:hAnsi="Times New Roman" w:eastAsia="仿宋" w:cs="Times New Roman"/>
                      <w:b/>
                      <w:bCs/>
                      <w:color w:val="auto"/>
                      <w:sz w:val="21"/>
                      <w:szCs w:val="21"/>
                    </w:rPr>
                    <w:t>《2022年江苏省挥发性有机物减排攻坚方案》（苏大气办</w:t>
                  </w:r>
                  <w:r>
                    <w:rPr>
                      <w:rFonts w:hint="eastAsia" w:cs="Times New Roman"/>
                      <w:b/>
                      <w:bCs/>
                      <w:color w:val="auto"/>
                      <w:sz w:val="21"/>
                      <w:szCs w:val="21"/>
                      <w:lang w:eastAsia="zh-CN"/>
                    </w:rPr>
                    <w:t>〔2022〕2号</w:t>
                  </w:r>
                  <w:r>
                    <w:rPr>
                      <w:rFonts w:hint="default" w:ascii="Times New Roman" w:hAnsi="Times New Roman" w:eastAsia="仿宋" w:cs="Times New Roman"/>
                      <w:b/>
                      <w:bCs/>
                      <w:color w:val="auto"/>
                      <w:sz w:val="21"/>
                      <w:szCs w:val="21"/>
                    </w:rPr>
                    <w:t>）</w:t>
                  </w:r>
                </w:p>
              </w:tc>
            </w:tr>
            <w:tr w14:paraId="3767D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7FC3F6FE">
                  <w:pPr>
                    <w:keepNext w:val="0"/>
                    <w:keepLines w:val="0"/>
                    <w:suppressLineNumbers w:val="0"/>
                    <w:tabs>
                      <w:tab w:val="left" w:pos="2160"/>
                    </w:tabs>
                    <w:snapToGrid w:val="0"/>
                    <w:spacing w:before="0" w:beforeAutospacing="0" w:after="0" w:afterAutospacing="0" w:line="240" w:lineRule="auto"/>
                    <w:ind w:left="0" w:leftChars="0" w:right="0" w:rightChars="0"/>
                    <w:jc w:val="center"/>
                    <w:rPr>
                      <w:rFonts w:hint="eastAsia" w:cs="Times New Roman"/>
                      <w:color w:val="auto"/>
                      <w:sz w:val="21"/>
                      <w:szCs w:val="21"/>
                      <w:lang w:eastAsia="zh-CN"/>
                    </w:rPr>
                  </w:pPr>
                  <w:r>
                    <w:rPr>
                      <w:rFonts w:hint="default" w:ascii="Times New Roman" w:hAnsi="Times New Roman" w:eastAsia="仿宋" w:cs="Times New Roman"/>
                      <w:color w:val="auto"/>
                      <w:sz w:val="21"/>
                      <w:szCs w:val="21"/>
                    </w:rPr>
                    <w:t>推进重点行业深度治理</w:t>
                  </w:r>
                </w:p>
              </w:tc>
              <w:tc>
                <w:tcPr>
                  <w:tcW w:w="2636" w:type="pct"/>
                  <w:shd w:val="clear" w:color="auto" w:fill="auto"/>
                  <w:vAlign w:val="center"/>
                </w:tcPr>
                <w:p w14:paraId="17B07512">
                  <w:pPr>
                    <w:pStyle w:val="66"/>
                    <w:keepNext w:val="0"/>
                    <w:keepLines w:val="0"/>
                    <w:suppressLineNumbers w:val="0"/>
                    <w:spacing w:before="0" w:beforeAutospacing="0" w:after="0" w:afterAutospacing="0" w:line="240" w:lineRule="auto"/>
                    <w:ind w:left="0" w:leftChars="0" w:right="0" w:rightChars="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……石化、农药、医药企业废水应密闭输送，储存、处理设施应在曝气池及其之前加盖密封；其他行业敞开液面上方100mm处VOCs检测浓度</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200μmo1/mol的需加盖密封；规范涂料、油墨等有机原辅材料的调配和使用环节无组织废气收集，采取车间环境负压改造、安装高效集气装置等措施，提高VOCs产生环节的废气收集率。</w:t>
                  </w:r>
                </w:p>
              </w:tc>
              <w:tc>
                <w:tcPr>
                  <w:tcW w:w="1727" w:type="pct"/>
                  <w:gridSpan w:val="2"/>
                  <w:vMerge w:val="restart"/>
                  <w:vAlign w:val="center"/>
                </w:tcPr>
                <w:p w14:paraId="6192FF41">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熔化、压铸工段产生的</w:t>
                  </w:r>
                  <w:r>
                    <w:rPr>
                      <w:rFonts w:hint="eastAsia" w:ascii="Times New Roman" w:hAnsi="Times New Roman" w:cs="Times New Roman"/>
                      <w:bCs/>
                      <w:color w:val="auto"/>
                      <w:sz w:val="21"/>
                      <w:szCs w:val="21"/>
                      <w:lang w:eastAsia="zh-CN"/>
                    </w:rPr>
                    <w:t>废气经收集后利用</w:t>
                  </w:r>
                  <w:r>
                    <w:rPr>
                      <w:rFonts w:hint="eastAsia" w:cs="Times New Roman"/>
                      <w:bCs/>
                      <w:color w:val="auto"/>
                      <w:sz w:val="21"/>
                      <w:szCs w:val="21"/>
                      <w:lang w:eastAsia="zh-CN"/>
                    </w:rPr>
                    <w:t>一套水喷淋+干式过滤+二级活性炭吸附装置</w:t>
                  </w:r>
                  <w:r>
                    <w:rPr>
                      <w:rFonts w:hint="eastAsia" w:ascii="Times New Roman" w:hAnsi="Times New Roman" w:cs="Times New Roman"/>
                      <w:bCs/>
                      <w:color w:val="auto"/>
                      <w:sz w:val="21"/>
                      <w:szCs w:val="21"/>
                      <w:lang w:eastAsia="zh-CN"/>
                    </w:rPr>
                    <w:t>（TA001）处理，处理后</w:t>
                  </w:r>
                  <w:r>
                    <w:rPr>
                      <w:rFonts w:hint="eastAsia" w:cs="Times New Roman"/>
                      <w:bCs/>
                      <w:color w:val="auto"/>
                      <w:sz w:val="21"/>
                      <w:szCs w:val="21"/>
                      <w:lang w:val="en-US" w:eastAsia="zh-CN"/>
                    </w:rPr>
                    <w:t>与天然气燃烧尾气合并</w:t>
                  </w:r>
                  <w:r>
                    <w:rPr>
                      <w:rFonts w:hint="eastAsia" w:ascii="Times New Roman" w:hAnsi="Times New Roman" w:cs="Times New Roman"/>
                      <w:bCs/>
                      <w:color w:val="auto"/>
                      <w:sz w:val="21"/>
                      <w:szCs w:val="21"/>
                      <w:lang w:eastAsia="zh-CN"/>
                    </w:rPr>
                    <w:t>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default" w:ascii="Times New Roman" w:hAnsi="Times New Roman" w:eastAsia="仿宋" w:cs="Times New Roman"/>
                      <w:bCs/>
                      <w:color w:val="auto"/>
                      <w:sz w:val="21"/>
                      <w:szCs w:val="21"/>
                      <w:lang w:val="en-US" w:eastAsia="zh-CN"/>
                    </w:rPr>
                    <w:t>，VOCs</w:t>
                  </w:r>
                  <w:r>
                    <w:rPr>
                      <w:rFonts w:hint="eastAsia" w:cs="Times New Roman"/>
                      <w:bCs/>
                      <w:color w:val="auto"/>
                      <w:sz w:val="21"/>
                      <w:szCs w:val="21"/>
                      <w:lang w:val="en-US" w:eastAsia="zh-CN"/>
                    </w:rPr>
                    <w:t>初始</w:t>
                  </w:r>
                  <w:r>
                    <w:rPr>
                      <w:rFonts w:hint="eastAsia" w:eastAsia="仿宋" w:cs="Times New Roman"/>
                      <w:bCs/>
                      <w:color w:val="auto"/>
                      <w:sz w:val="21"/>
                      <w:szCs w:val="21"/>
                      <w:lang w:val="en-US" w:eastAsia="zh-CN"/>
                    </w:rPr>
                    <w:t>排放速率</w:t>
                  </w:r>
                  <w:r>
                    <w:rPr>
                      <w:rFonts w:hint="eastAsia" w:cs="Times New Roman"/>
                      <w:bCs/>
                      <w:color w:val="auto"/>
                      <w:sz w:val="21"/>
                      <w:szCs w:val="21"/>
                      <w:lang w:val="en-US" w:eastAsia="zh-CN"/>
                    </w:rPr>
                    <w:t>均</w:t>
                  </w:r>
                  <w:r>
                    <w:rPr>
                      <w:rFonts w:hint="eastAsia" w:eastAsia="仿宋" w:cs="Times New Roman"/>
                      <w:bCs/>
                      <w:color w:val="auto"/>
                      <w:sz w:val="21"/>
                      <w:szCs w:val="21"/>
                      <w:lang w:val="en-US" w:eastAsia="zh-CN"/>
                    </w:rPr>
                    <w:t>小于2kg/h</w:t>
                  </w:r>
                  <w:r>
                    <w:rPr>
                      <w:rFonts w:hint="default" w:ascii="Times New Roman" w:hAnsi="Times New Roman" w:eastAsia="仿宋" w:cs="Times New Roman"/>
                      <w:bCs/>
                      <w:color w:val="auto"/>
                      <w:sz w:val="21"/>
                      <w:szCs w:val="21"/>
                    </w:rPr>
                    <w:t>，与文件要求相符。</w:t>
                  </w:r>
                </w:p>
              </w:tc>
            </w:tr>
            <w:tr w14:paraId="6F7C3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4EC17A78">
                  <w:pPr>
                    <w:pStyle w:val="66"/>
                    <w:keepNext w:val="0"/>
                    <w:keepLines w:val="0"/>
                    <w:suppressLineNumbers w:val="0"/>
                    <w:spacing w:before="0" w:beforeAutospacing="0" w:after="0" w:afterAutospacing="0" w:line="240" w:lineRule="auto"/>
                    <w:ind w:left="0" w:leftChars="0" w:right="0" w:rightChars="0" w:firstLine="0" w:firstLineChars="0"/>
                    <w:rPr>
                      <w:rFonts w:hint="eastAsia" w:cs="Times New Roman"/>
                      <w:color w:val="auto"/>
                      <w:sz w:val="21"/>
                      <w:szCs w:val="21"/>
                      <w:lang w:eastAsia="zh-CN"/>
                    </w:rPr>
                  </w:pPr>
                  <w:r>
                    <w:rPr>
                      <w:rFonts w:hint="default" w:ascii="Times New Roman" w:hAnsi="Times New Roman" w:eastAsia="仿宋" w:cs="Times New Roman"/>
                      <w:color w:val="auto"/>
                      <w:sz w:val="21"/>
                      <w:szCs w:val="21"/>
                    </w:rPr>
                    <w:t>持续推进涉VOCs行业清洁原料替代</w:t>
                  </w:r>
                </w:p>
              </w:tc>
              <w:tc>
                <w:tcPr>
                  <w:tcW w:w="2636" w:type="pct"/>
                  <w:shd w:val="clear" w:color="auto" w:fill="auto"/>
                  <w:vAlign w:val="center"/>
                </w:tcPr>
                <w:p w14:paraId="3E539D83">
                  <w:pPr>
                    <w:pStyle w:val="66"/>
                    <w:keepNext w:val="0"/>
                    <w:keepLines w:val="0"/>
                    <w:suppressLineNumbers w:val="0"/>
                    <w:spacing w:before="0" w:beforeAutospacing="0" w:after="0" w:afterAutospacing="0" w:line="240" w:lineRule="auto"/>
                    <w:ind w:left="0" w:leftChars="0" w:right="0" w:rightChars="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对照《江苏省挥发性有机物清洁原料替代工作方案》（苏大气办</w:t>
                  </w:r>
                  <w:r>
                    <w:rPr>
                      <w:rFonts w:hint="eastAsia" w:cs="Times New Roman"/>
                      <w:color w:val="auto"/>
                      <w:sz w:val="21"/>
                      <w:szCs w:val="21"/>
                      <w:lang w:eastAsia="zh-CN"/>
                    </w:rPr>
                    <w:t>〔2021〕2号</w:t>
                  </w:r>
                  <w:r>
                    <w:rPr>
                      <w:rFonts w:hint="default" w:ascii="Times New Roman" w:hAnsi="Times New Roman" w:eastAsia="仿宋" w:cs="Times New Roman"/>
                      <w:color w:val="auto"/>
                      <w:sz w:val="21"/>
                      <w:szCs w:val="21"/>
                    </w:rPr>
                    <w:t>）要求，持续推动源头替代，严把环评审批准入关，控增量，去存量</w:t>
                  </w:r>
                </w:p>
              </w:tc>
              <w:tc>
                <w:tcPr>
                  <w:tcW w:w="1727" w:type="pct"/>
                  <w:gridSpan w:val="2"/>
                  <w:vMerge w:val="continue"/>
                  <w:vAlign w:val="center"/>
                </w:tcPr>
                <w:p w14:paraId="5668F97F">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34617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351D9E69">
                  <w:pPr>
                    <w:pStyle w:val="66"/>
                    <w:keepNext w:val="0"/>
                    <w:keepLines w:val="0"/>
                    <w:suppressLineNumbers w:val="0"/>
                    <w:spacing w:before="0" w:beforeAutospacing="0" w:after="0" w:afterAutospacing="0" w:line="240" w:lineRule="auto"/>
                    <w:ind w:left="0" w:leftChars="0" w:right="0" w:rightChars="0" w:firstLine="0" w:firstLineChars="0"/>
                    <w:rPr>
                      <w:rFonts w:hint="eastAsia" w:cs="Times New Roman"/>
                      <w:color w:val="auto"/>
                      <w:sz w:val="21"/>
                      <w:szCs w:val="21"/>
                      <w:lang w:eastAsia="zh-CN"/>
                    </w:rPr>
                  </w:pPr>
                  <w:r>
                    <w:rPr>
                      <w:rFonts w:hint="default" w:ascii="Times New Roman" w:hAnsi="Times New Roman" w:eastAsia="仿宋" w:cs="Times New Roman"/>
                      <w:color w:val="auto"/>
                      <w:sz w:val="21"/>
                      <w:szCs w:val="21"/>
                    </w:rPr>
                    <w:t>强化工</w:t>
                  </w:r>
                  <w:r>
                    <w:rPr>
                      <w:rFonts w:hint="default" w:ascii="Times New Roman" w:hAnsi="Times New Roman" w:eastAsia="仿宋" w:cs="Times New Roman"/>
                      <w:color w:val="auto"/>
                      <w:sz w:val="21"/>
                      <w:szCs w:val="21"/>
                    </w:rPr>
                    <w:cr/>
                  </w:r>
                  <w:r>
                    <w:rPr>
                      <w:rFonts w:hint="default" w:ascii="Times New Roman" w:hAnsi="Times New Roman" w:eastAsia="仿宋" w:cs="Times New Roman"/>
                      <w:color w:val="auto"/>
                      <w:sz w:val="21"/>
                      <w:szCs w:val="21"/>
                    </w:rPr>
                    <w:t>源日常管理与监管</w:t>
                  </w:r>
                </w:p>
              </w:tc>
              <w:tc>
                <w:tcPr>
                  <w:tcW w:w="2636" w:type="pct"/>
                  <w:shd w:val="clear" w:color="auto" w:fill="auto"/>
                  <w:vAlign w:val="center"/>
                </w:tcPr>
                <w:p w14:paraId="5AF10B15">
                  <w:pPr>
                    <w:pStyle w:val="66"/>
                    <w:keepNext w:val="0"/>
                    <w:keepLines w:val="0"/>
                    <w:suppressLineNumbers w:val="0"/>
                    <w:spacing w:before="0" w:beforeAutospacing="0" w:after="0" w:afterAutospacing="0" w:line="240" w:lineRule="auto"/>
                    <w:ind w:left="0" w:leftChars="0" w:right="0" w:rightChars="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……对采用活性炭吸附技术的，按照《吸附法工业有机废气治理工程技术规范》</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H32026-2013</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进行管理，按要求足量添加、定期更换；一次性活性炭吸附工艺需使用柱状炭</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颗粒炭</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，碘吸附值不低于800毫克/克；VOCs初始排放速率大于2kg/h的重点源排气筒进口应设施采样平台，治理效率不低于80%。</w:t>
                  </w:r>
                </w:p>
              </w:tc>
              <w:tc>
                <w:tcPr>
                  <w:tcW w:w="1727" w:type="pct"/>
                  <w:gridSpan w:val="2"/>
                  <w:vMerge w:val="continue"/>
                  <w:vAlign w:val="center"/>
                </w:tcPr>
                <w:p w14:paraId="21E120D0">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3C568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646D521D">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default" w:ascii="Times New Roman" w:hAnsi="Times New Roman" w:eastAsia="仿宋" w:cs="Times New Roman"/>
                      <w:b/>
                      <w:bCs/>
                      <w:color w:val="auto"/>
                      <w:sz w:val="21"/>
                      <w:szCs w:val="21"/>
                    </w:rPr>
                    <w:t>《关于印发常州市2022年大气污染防治工作计划的通知》（常大气办</w:t>
                  </w:r>
                  <w:r>
                    <w:rPr>
                      <w:rFonts w:hint="eastAsia" w:cs="Times New Roman"/>
                      <w:b/>
                      <w:bCs/>
                      <w:color w:val="auto"/>
                      <w:sz w:val="21"/>
                      <w:szCs w:val="21"/>
                      <w:lang w:eastAsia="zh-CN"/>
                    </w:rPr>
                    <w:t>〔2022〕1号</w:t>
                  </w:r>
                  <w:r>
                    <w:rPr>
                      <w:rFonts w:hint="default" w:ascii="Times New Roman" w:hAnsi="Times New Roman" w:eastAsia="仿宋" w:cs="Times New Roman"/>
                      <w:b/>
                      <w:bCs/>
                      <w:color w:val="auto"/>
                      <w:sz w:val="21"/>
                      <w:szCs w:val="21"/>
                    </w:rPr>
                    <w:t>）</w:t>
                  </w:r>
                </w:p>
              </w:tc>
            </w:tr>
            <w:tr w14:paraId="11842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7099A36F">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调整优化产业结构，推进产业绿色发展</w:t>
                  </w:r>
                </w:p>
              </w:tc>
              <w:tc>
                <w:tcPr>
                  <w:tcW w:w="2636" w:type="pct"/>
                  <w:shd w:val="clear" w:color="auto" w:fill="auto"/>
                  <w:vAlign w:val="center"/>
                </w:tcPr>
                <w:p w14:paraId="2004D1DE">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坚决遏制</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两高</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项目盲目发展。对不符合要求的</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两高</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项目，坚决停批停建。依法依规淘汰落后产能和化解过剩产能。强化资源要素差别化配置政策落实，推动低端产业、高排放产业有序退出，持续推进化工行业安全环保整治提升。推进产业结构转型升级。完善</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三线一单</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生态环境分区管控体系，落实以环评制度为主体的源头预防体系，严格规划环评审查和项目环评准入。</w:t>
                  </w:r>
                </w:p>
              </w:tc>
              <w:tc>
                <w:tcPr>
                  <w:tcW w:w="1727" w:type="pct"/>
                  <w:gridSpan w:val="2"/>
                  <w:vMerge w:val="restart"/>
                  <w:vAlign w:val="center"/>
                </w:tcPr>
                <w:p w14:paraId="638022EB">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eastAsia" w:ascii="仿宋" w:hAnsi="仿宋" w:eastAsia="仿宋" w:cs="仿宋"/>
                      <w:color w:val="auto"/>
                      <w:sz w:val="21"/>
                      <w:szCs w:val="21"/>
                    </w:rPr>
                    <w:t>本项目</w:t>
                  </w:r>
                  <w:r>
                    <w:rPr>
                      <w:rFonts w:hint="eastAsia" w:ascii="仿宋" w:hAnsi="仿宋" w:eastAsia="仿宋" w:cs="仿宋"/>
                      <w:color w:val="auto"/>
                      <w:sz w:val="21"/>
                      <w:szCs w:val="21"/>
                      <w:lang w:val="en-US" w:eastAsia="zh-CN"/>
                    </w:rPr>
                    <w:t>不属于</w:t>
                  </w:r>
                  <w:r>
                    <w:rPr>
                      <w:rFonts w:hint="eastAsia" w:ascii="仿宋" w:hAnsi="仿宋" w:cs="仿宋"/>
                      <w:color w:val="auto"/>
                      <w:sz w:val="21"/>
                      <w:szCs w:val="21"/>
                      <w:lang w:val="en-US" w:eastAsia="zh-CN"/>
                    </w:rPr>
                    <w:t>“</w:t>
                  </w:r>
                  <w:r>
                    <w:rPr>
                      <w:rFonts w:hint="eastAsia" w:ascii="仿宋" w:hAnsi="仿宋" w:eastAsia="仿宋" w:cs="仿宋"/>
                      <w:color w:val="auto"/>
                      <w:sz w:val="21"/>
                      <w:szCs w:val="21"/>
                      <w:lang w:val="en-US" w:eastAsia="zh-CN"/>
                    </w:rPr>
                    <w:t>两高</w:t>
                  </w:r>
                  <w:r>
                    <w:rPr>
                      <w:rFonts w:hint="eastAsia" w:ascii="仿宋" w:hAnsi="仿宋" w:cs="仿宋"/>
                      <w:color w:val="auto"/>
                      <w:sz w:val="21"/>
                      <w:szCs w:val="21"/>
                      <w:lang w:val="en-US" w:eastAsia="zh-CN"/>
                    </w:rPr>
                    <w:t>”</w:t>
                  </w:r>
                  <w:r>
                    <w:rPr>
                      <w:rFonts w:hint="eastAsia" w:ascii="仿宋" w:hAnsi="仿宋" w:eastAsia="仿宋" w:cs="仿宋"/>
                      <w:color w:val="auto"/>
                      <w:sz w:val="21"/>
                      <w:szCs w:val="21"/>
                      <w:lang w:val="en-US" w:eastAsia="zh-CN"/>
                    </w:rPr>
                    <w:t>范围</w:t>
                  </w:r>
                  <w:r>
                    <w:rPr>
                      <w:rFonts w:hint="default" w:ascii="Times New Roman" w:hAnsi="Times New Roman" w:eastAsia="仿宋" w:cs="Times New Roman"/>
                      <w:color w:val="auto"/>
                      <w:sz w:val="21"/>
                      <w:szCs w:val="21"/>
                      <w:lang w:val="en-US" w:eastAsia="zh-CN"/>
                    </w:rPr>
                    <w:t>，</w:t>
                  </w: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熔化、压铸工段</w:t>
                  </w:r>
                  <w:r>
                    <w:rPr>
                      <w:rFonts w:hint="eastAsia" w:ascii="Times New Roman" w:hAnsi="Times New Roman" w:cs="Times New Roman"/>
                      <w:bCs/>
                      <w:color w:val="auto"/>
                      <w:sz w:val="21"/>
                      <w:szCs w:val="21"/>
                      <w:lang w:eastAsia="zh-CN"/>
                    </w:rPr>
                    <w:t>废气经收集后利用</w:t>
                  </w:r>
                  <w:r>
                    <w:rPr>
                      <w:rFonts w:hint="eastAsia" w:cs="Times New Roman"/>
                      <w:bCs/>
                      <w:color w:val="auto"/>
                      <w:sz w:val="21"/>
                      <w:szCs w:val="21"/>
                      <w:lang w:eastAsia="zh-CN"/>
                    </w:rPr>
                    <w:t>一套水喷淋+干式过滤+二级活性炭吸附装置</w:t>
                  </w:r>
                  <w:r>
                    <w:rPr>
                      <w:rFonts w:hint="eastAsia" w:ascii="Times New Roman" w:hAnsi="Times New Roman" w:cs="Times New Roman"/>
                      <w:bCs/>
                      <w:color w:val="auto"/>
                      <w:sz w:val="21"/>
                      <w:szCs w:val="21"/>
                      <w:lang w:eastAsia="zh-CN"/>
                    </w:rPr>
                    <w:t>（TA001）处理，处理后</w:t>
                  </w:r>
                  <w:r>
                    <w:rPr>
                      <w:rFonts w:hint="eastAsia" w:cs="Times New Roman"/>
                      <w:bCs/>
                      <w:color w:val="auto"/>
                      <w:sz w:val="21"/>
                      <w:szCs w:val="21"/>
                      <w:lang w:val="en-US" w:eastAsia="zh-CN"/>
                    </w:rPr>
                    <w:t>与天然气燃烧尾气合并</w:t>
                  </w:r>
                  <w:r>
                    <w:rPr>
                      <w:rFonts w:hint="eastAsia" w:ascii="Times New Roman" w:hAnsi="Times New Roman" w:cs="Times New Roman"/>
                      <w:bCs/>
                      <w:color w:val="auto"/>
                      <w:sz w:val="21"/>
                      <w:szCs w:val="21"/>
                      <w:lang w:eastAsia="zh-CN"/>
                    </w:rPr>
                    <w:t>通过1根</w:t>
                  </w:r>
                  <w:r>
                    <w:rPr>
                      <w:rFonts w:hint="eastAsia" w:cs="Times New Roman"/>
                      <w:bCs/>
                      <w:color w:val="auto"/>
                      <w:sz w:val="21"/>
                      <w:szCs w:val="21"/>
                      <w:lang w:val="en-US" w:eastAsia="zh-CN"/>
                    </w:rPr>
                    <w:t>15</w:t>
                  </w:r>
                  <w:r>
                    <w:rPr>
                      <w:rFonts w:hint="eastAsia" w:ascii="Times New Roman" w:hAnsi="Times New Roman" w:cs="Times New Roman"/>
                      <w:bCs/>
                      <w:color w:val="auto"/>
                      <w:sz w:val="21"/>
                      <w:szCs w:val="21"/>
                      <w:lang w:eastAsia="zh-CN"/>
                    </w:rPr>
                    <w:t>m高的</w:t>
                  </w:r>
                  <w:r>
                    <w:rPr>
                      <w:rFonts w:hint="eastAsia" w:cs="Times New Roman"/>
                      <w:bCs/>
                      <w:color w:val="auto"/>
                      <w:sz w:val="21"/>
                      <w:szCs w:val="21"/>
                      <w:lang w:val="en-US" w:eastAsia="zh-CN"/>
                    </w:rPr>
                    <w:t>1</w:t>
                  </w:r>
                  <w:r>
                    <w:rPr>
                      <w:rFonts w:hint="eastAsia" w:ascii="Times New Roman" w:hAnsi="Times New Roman" w:cs="Times New Roman"/>
                      <w:bCs/>
                      <w:color w:val="auto"/>
                      <w:sz w:val="21"/>
                      <w:szCs w:val="21"/>
                      <w:lang w:eastAsia="zh-CN"/>
                    </w:rPr>
                    <w:t>#排气筒有组织排放</w:t>
                  </w: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sz w:val="21"/>
                      <w:szCs w:val="21"/>
                    </w:rPr>
                    <w:t>与文件要求相符。</w:t>
                  </w:r>
                </w:p>
              </w:tc>
            </w:tr>
            <w:tr w14:paraId="6013B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7B153BB1">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优化能源结构，推进能源清洁低碳发展</w:t>
                  </w:r>
                </w:p>
              </w:tc>
              <w:tc>
                <w:tcPr>
                  <w:tcW w:w="2636" w:type="pct"/>
                  <w:shd w:val="clear" w:color="auto" w:fill="auto"/>
                  <w:vAlign w:val="center"/>
                </w:tcPr>
                <w:p w14:paraId="414FFBFB">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优化能源结构，大力发展清洁能源，推进工业炉窑清洁能源替代。</w:t>
                  </w:r>
                </w:p>
              </w:tc>
              <w:tc>
                <w:tcPr>
                  <w:tcW w:w="1727" w:type="pct"/>
                  <w:gridSpan w:val="2"/>
                  <w:vMerge w:val="continue"/>
                  <w:vAlign w:val="center"/>
                </w:tcPr>
                <w:p w14:paraId="3E4D9E23">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07B14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7C6D1957">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强化协同减排，切实降低VOCs和氮氧化物排放水平</w:t>
                  </w:r>
                </w:p>
              </w:tc>
              <w:tc>
                <w:tcPr>
                  <w:tcW w:w="2636" w:type="pct"/>
                  <w:shd w:val="clear" w:color="auto" w:fill="auto"/>
                  <w:vAlign w:val="center"/>
                </w:tcPr>
                <w:p w14:paraId="4CE2B98F">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力推进低VOCs含量清洁原料替代。推进各地对照产品质量标准，加大对各类涂料、油墨、胶粘剂、清洗剂等生产、销售、使用环节的监督管理。强化VOCs全流程、全环节综合治理。在确保安全等前提下，加强含VOCs物料全方位、全链条、全环节密闭管理。</w:t>
                  </w:r>
                </w:p>
              </w:tc>
              <w:tc>
                <w:tcPr>
                  <w:tcW w:w="1727" w:type="pct"/>
                  <w:gridSpan w:val="2"/>
                  <w:vMerge w:val="continue"/>
                  <w:vAlign w:val="center"/>
                </w:tcPr>
                <w:p w14:paraId="2554A133">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p>
              </w:tc>
            </w:tr>
            <w:tr w14:paraId="2D272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2CAA3159">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省生态环境厅关于深入开展涉VOCs治理重点工作核查的通知</w:t>
                  </w:r>
                </w:p>
                <w:p w14:paraId="2701650F">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default" w:ascii="Times New Roman" w:hAnsi="Times New Roman" w:eastAsia="仿宋" w:cs="Times New Roman"/>
                      <w:b/>
                      <w:color w:val="auto"/>
                      <w:sz w:val="21"/>
                      <w:szCs w:val="21"/>
                    </w:rPr>
                    <w:t>（苏环办</w:t>
                  </w:r>
                  <w:r>
                    <w:rPr>
                      <w:rFonts w:hint="eastAsia" w:cs="Times New Roman"/>
                      <w:b/>
                      <w:color w:val="auto"/>
                      <w:sz w:val="21"/>
                      <w:szCs w:val="21"/>
                      <w:lang w:eastAsia="zh-CN"/>
                    </w:rPr>
                    <w:t>〔2022〕218号</w:t>
                  </w:r>
                  <w:r>
                    <w:rPr>
                      <w:rFonts w:hint="default" w:ascii="Times New Roman" w:hAnsi="Times New Roman" w:eastAsia="仿宋" w:cs="Times New Roman"/>
                      <w:b/>
                      <w:color w:val="auto"/>
                      <w:sz w:val="21"/>
                      <w:szCs w:val="21"/>
                    </w:rPr>
                    <w:t>）</w:t>
                  </w:r>
                </w:p>
              </w:tc>
            </w:tr>
            <w:tr w14:paraId="44858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09A1EA6F">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636" w:type="pct"/>
                  <w:shd w:val="clear" w:color="auto" w:fill="auto"/>
                  <w:vAlign w:val="center"/>
                </w:tcPr>
                <w:p w14:paraId="3935BD57">
                  <w:pPr>
                    <w:pStyle w:val="66"/>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除恶臭异味治理外，新建企业一律不得采用单一低温等离子、光催化、光氧化、水喷淋等低效末端治理技术。</w:t>
                  </w:r>
                </w:p>
              </w:tc>
              <w:tc>
                <w:tcPr>
                  <w:tcW w:w="1727" w:type="pct"/>
                  <w:gridSpan w:val="2"/>
                  <w:vAlign w:val="center"/>
                </w:tcPr>
                <w:p w14:paraId="4C129F88">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bCs/>
                      <w:color w:val="auto"/>
                      <w:sz w:val="21"/>
                      <w:szCs w:val="21"/>
                      <w:lang w:eastAsia="zh-CN"/>
                    </w:rPr>
                  </w:pPr>
                  <w:r>
                    <w:rPr>
                      <w:rFonts w:hint="default" w:ascii="Times New Roman" w:hAnsi="Times New Roman" w:eastAsia="仿宋" w:cs="Times New Roman"/>
                      <w:bCs/>
                      <w:color w:val="auto"/>
                      <w:sz w:val="21"/>
                      <w:szCs w:val="21"/>
                      <w:lang w:val="en-US" w:eastAsia="zh-CN"/>
                    </w:rPr>
                    <w:t>本项目废气处理设施工艺为</w:t>
                  </w:r>
                  <w:r>
                    <w:rPr>
                      <w:rFonts w:hint="eastAsia" w:cs="Times New Roman"/>
                      <w:bCs/>
                      <w:color w:val="auto"/>
                      <w:sz w:val="21"/>
                      <w:szCs w:val="21"/>
                      <w:lang w:val="en-US" w:eastAsia="zh-CN"/>
                    </w:rPr>
                    <w:t>水喷淋+二级</w:t>
                  </w:r>
                  <w:r>
                    <w:rPr>
                      <w:rFonts w:hint="default" w:ascii="Times New Roman" w:hAnsi="Times New Roman" w:eastAsia="仿宋" w:cs="Times New Roman"/>
                      <w:color w:val="auto"/>
                      <w:sz w:val="21"/>
                      <w:szCs w:val="21"/>
                      <w:lang w:eastAsia="zh-CN"/>
                    </w:rPr>
                    <w:t>活性炭吸附</w:t>
                  </w: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sz w:val="21"/>
                      <w:szCs w:val="21"/>
                    </w:rPr>
                    <w:t>与文件要求相符。</w:t>
                  </w:r>
                </w:p>
              </w:tc>
            </w:tr>
            <w:tr w14:paraId="34707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5DFFCE83">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val="0"/>
                      <w:color w:val="auto"/>
                      <w:kern w:val="2"/>
                      <w:sz w:val="21"/>
                      <w:szCs w:val="21"/>
                      <w:lang w:val="en-US" w:eastAsia="zh-CN" w:bidi="ar-SA"/>
                    </w:rPr>
                  </w:pPr>
                  <w:r>
                    <w:rPr>
                      <w:rFonts w:hint="eastAsia" w:ascii="Times New Roman" w:hAnsi="Times New Roman" w:cs="Times New Roman"/>
                      <w:b/>
                      <w:bCs w:val="0"/>
                      <w:color w:val="auto"/>
                      <w:kern w:val="2"/>
                      <w:sz w:val="21"/>
                      <w:szCs w:val="21"/>
                      <w:lang w:val="en-US" w:eastAsia="zh-CN" w:bidi="ar-SA"/>
                    </w:rPr>
                    <w:t>《挥发性有机物无组织排放控制标准》（GB37822-2019）</w:t>
                  </w:r>
                </w:p>
              </w:tc>
            </w:tr>
            <w:tr w14:paraId="1D893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57DB4BD5">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物料储存无组织排放控制要求</w:t>
                  </w:r>
                </w:p>
              </w:tc>
              <w:tc>
                <w:tcPr>
                  <w:tcW w:w="2636" w:type="pct"/>
                  <w:shd w:val="clear" w:color="auto" w:fill="auto"/>
                  <w:vAlign w:val="center"/>
                </w:tcPr>
                <w:p w14:paraId="5B671570">
                  <w:pPr>
                    <w:pStyle w:val="66"/>
                    <w:keepNext w:val="0"/>
                    <w:keepLines w:val="0"/>
                    <w:suppressLineNumbers w:val="0"/>
                    <w:spacing w:before="0" w:beforeAutospacing="0" w:after="0" w:afterAutospacing="0" w:line="240" w:lineRule="auto"/>
                    <w:ind w:left="0" w:right="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物料应储存于密闭的容器、包装袋、储罐、储库、料仓中；</w:t>
                  </w:r>
                </w:p>
                <w:p w14:paraId="07203A98">
                  <w:pPr>
                    <w:pStyle w:val="66"/>
                    <w:keepNext w:val="0"/>
                    <w:keepLines w:val="0"/>
                    <w:suppressLineNumbers w:val="0"/>
                    <w:spacing w:before="0" w:beforeAutospacing="0" w:after="0" w:afterAutospacing="0" w:line="240" w:lineRule="auto"/>
                    <w:ind w:left="0" w:right="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2.盛装</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物料的容器或包装袋应存放于室内，或存放于设置有雨棚遮阳和防渗设施的专用场地；</w:t>
                  </w:r>
                </w:p>
                <w:p w14:paraId="336C508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3.盛装</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物料的容器或包装袋在非取用状态时应加盖、封口，保持密闭。</w:t>
                  </w:r>
                </w:p>
              </w:tc>
              <w:tc>
                <w:tcPr>
                  <w:tcW w:w="1727" w:type="pct"/>
                  <w:gridSpan w:val="2"/>
                  <w:vMerge w:val="restart"/>
                  <w:shd w:val="clear" w:color="auto" w:fill="auto"/>
                  <w:vAlign w:val="center"/>
                </w:tcPr>
                <w:p w14:paraId="36A13500">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cs="Times New Roman"/>
                      <w:b w:val="0"/>
                      <w:bCs/>
                      <w:color w:val="auto"/>
                      <w:kern w:val="2"/>
                      <w:sz w:val="21"/>
                      <w:szCs w:val="21"/>
                      <w:lang w:val="en-US" w:eastAsia="zh-CN" w:bidi="ar-SA"/>
                    </w:rPr>
                    <w:t>本项目VOCs物料为</w:t>
                  </w:r>
                  <w:r>
                    <w:rPr>
                      <w:rFonts w:hint="eastAsia" w:cs="Times New Roman"/>
                      <w:b w:val="0"/>
                      <w:bCs/>
                      <w:color w:val="auto"/>
                      <w:kern w:val="2"/>
                      <w:sz w:val="21"/>
                      <w:szCs w:val="21"/>
                      <w:lang w:val="en-US" w:eastAsia="zh-CN" w:bidi="ar-SA"/>
                    </w:rPr>
                    <w:t>脱模剂</w:t>
                  </w:r>
                  <w:r>
                    <w:rPr>
                      <w:rFonts w:hint="eastAsia" w:ascii="Times New Roman" w:hAnsi="Times New Roman" w:cs="Times New Roman"/>
                      <w:b w:val="0"/>
                      <w:bCs/>
                      <w:color w:val="auto"/>
                      <w:kern w:val="2"/>
                      <w:sz w:val="21"/>
                      <w:szCs w:val="21"/>
                      <w:lang w:val="en-US" w:eastAsia="zh-CN" w:bidi="ar-SA"/>
                    </w:rPr>
                    <w:t>，储存于密闭包装</w:t>
                  </w:r>
                  <w:r>
                    <w:rPr>
                      <w:rFonts w:hint="eastAsia" w:cs="Times New Roman"/>
                      <w:b w:val="0"/>
                      <w:bCs/>
                      <w:color w:val="auto"/>
                      <w:kern w:val="2"/>
                      <w:sz w:val="21"/>
                      <w:szCs w:val="21"/>
                      <w:lang w:val="en-US" w:eastAsia="zh-CN" w:bidi="ar-SA"/>
                    </w:rPr>
                    <w:t>桶</w:t>
                  </w:r>
                  <w:r>
                    <w:rPr>
                      <w:rFonts w:hint="eastAsia" w:ascii="Times New Roman" w:hAnsi="Times New Roman" w:cs="Times New Roman"/>
                      <w:b w:val="0"/>
                      <w:bCs/>
                      <w:color w:val="auto"/>
                      <w:kern w:val="2"/>
                      <w:sz w:val="21"/>
                      <w:szCs w:val="21"/>
                      <w:lang w:val="en-US" w:eastAsia="zh-CN" w:bidi="ar-SA"/>
                    </w:rPr>
                    <w:t>中；本项目</w:t>
                  </w:r>
                  <w:r>
                    <w:rPr>
                      <w:rFonts w:hint="eastAsia" w:cs="Times New Roman"/>
                      <w:b w:val="0"/>
                      <w:bCs/>
                      <w:color w:val="auto"/>
                      <w:kern w:val="2"/>
                      <w:sz w:val="21"/>
                      <w:szCs w:val="21"/>
                      <w:lang w:val="en-US" w:eastAsia="zh-CN" w:bidi="ar-SA"/>
                    </w:rPr>
                    <w:t>压铸工段产生的有机</w:t>
                  </w:r>
                  <w:r>
                    <w:rPr>
                      <w:rFonts w:hint="eastAsia" w:ascii="Times New Roman" w:hAnsi="Times New Roman" w:cs="Times New Roman"/>
                      <w:b w:val="0"/>
                      <w:bCs/>
                      <w:color w:val="auto"/>
                      <w:kern w:val="2"/>
                      <w:sz w:val="21"/>
                      <w:szCs w:val="21"/>
                      <w:lang w:val="en-US" w:eastAsia="zh-CN" w:bidi="ar-SA"/>
                    </w:rPr>
                    <w:t>废气</w:t>
                  </w:r>
                  <w:r>
                    <w:rPr>
                      <w:rFonts w:hint="eastAsia" w:cs="Times New Roman"/>
                      <w:b w:val="0"/>
                      <w:bCs/>
                      <w:color w:val="auto"/>
                      <w:kern w:val="2"/>
                      <w:sz w:val="21"/>
                      <w:szCs w:val="21"/>
                      <w:lang w:val="en-US" w:eastAsia="zh-CN" w:bidi="ar-SA"/>
                    </w:rPr>
                    <w:t>经水喷淋+干式过滤+二级活性炭吸附装置处理后有组织排放，配置VOCs处理设施处理效率高于90%</w:t>
                  </w:r>
                  <w:r>
                    <w:rPr>
                      <w:rFonts w:hint="eastAsia" w:ascii="Times New Roman" w:hAnsi="Times New Roman" w:cs="Times New Roman"/>
                      <w:b w:val="0"/>
                      <w:bCs/>
                      <w:color w:val="auto"/>
                      <w:kern w:val="2"/>
                      <w:sz w:val="21"/>
                      <w:szCs w:val="21"/>
                      <w:lang w:val="en-US" w:eastAsia="zh-CN" w:bidi="ar-SA"/>
                    </w:rPr>
                    <w:t>；项目建成后企业承诺VOCs废气收集处理系统与生产工艺设备同步运行。</w:t>
                  </w:r>
                </w:p>
              </w:tc>
            </w:tr>
            <w:tr w14:paraId="6076F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06600199">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物料转移和输送无组织排放控制要求</w:t>
                  </w:r>
                </w:p>
              </w:tc>
              <w:tc>
                <w:tcPr>
                  <w:tcW w:w="2636" w:type="pct"/>
                  <w:shd w:val="clear" w:color="auto" w:fill="auto"/>
                  <w:vAlign w:val="center"/>
                </w:tcPr>
                <w:p w14:paraId="24E92E16">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液态</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物料应采用密闭管道输送；采用非管道输送方式转移液态</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物料时，应采用密闭容器、罐车。</w:t>
                  </w:r>
                </w:p>
              </w:tc>
              <w:tc>
                <w:tcPr>
                  <w:tcW w:w="1727" w:type="pct"/>
                  <w:gridSpan w:val="2"/>
                  <w:vMerge w:val="continue"/>
                  <w:vAlign w:val="center"/>
                </w:tcPr>
                <w:p w14:paraId="17AC1D0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lang w:val="en-US" w:eastAsia="zh-CN"/>
                    </w:rPr>
                  </w:pPr>
                </w:p>
              </w:tc>
            </w:tr>
            <w:tr w14:paraId="61BCC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00BB23AB">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工艺过程</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无组织排放控制要求</w:t>
                  </w:r>
                </w:p>
              </w:tc>
              <w:tc>
                <w:tcPr>
                  <w:tcW w:w="2636" w:type="pct"/>
                  <w:shd w:val="clear" w:color="auto" w:fill="auto"/>
                  <w:vAlign w:val="center"/>
                </w:tcPr>
                <w:p w14:paraId="7B900F05">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质量占比大于等于</w:t>
                  </w: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的含</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产品，其使用过程应采用密闭设备或在密闭空间内操作，废气应排至</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废气收集处理系统；无法密闭的，应采取局部气体收集措施，废气应排至</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w:t>
                  </w:r>
                </w:p>
              </w:tc>
              <w:tc>
                <w:tcPr>
                  <w:tcW w:w="1727" w:type="pct"/>
                  <w:gridSpan w:val="2"/>
                  <w:vMerge w:val="continue"/>
                  <w:vAlign w:val="center"/>
                </w:tcPr>
                <w:p w14:paraId="03C289D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lang w:val="en-US" w:eastAsia="zh-CN"/>
                    </w:rPr>
                  </w:pPr>
                </w:p>
              </w:tc>
            </w:tr>
            <w:tr w14:paraId="28AF5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61D9FCAD">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无组织排放废气收集处理系统要求</w:t>
                  </w:r>
                </w:p>
              </w:tc>
              <w:tc>
                <w:tcPr>
                  <w:tcW w:w="2636" w:type="pct"/>
                  <w:shd w:val="clear" w:color="auto" w:fill="auto"/>
                  <w:vAlign w:val="center"/>
                </w:tcPr>
                <w:p w14:paraId="6B7680A6">
                  <w:pPr>
                    <w:pStyle w:val="66"/>
                    <w:keepNext w:val="0"/>
                    <w:keepLines w:val="0"/>
                    <w:suppressLineNumbers w:val="0"/>
                    <w:spacing w:before="0" w:beforeAutospacing="0" w:after="0" w:afterAutospacing="0" w:line="240" w:lineRule="auto"/>
                    <w:ind w:left="0" w:right="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废气收集处理系统应与生产工艺设备同步运行；</w:t>
                  </w:r>
                </w:p>
                <w:p w14:paraId="0E795222">
                  <w:pPr>
                    <w:pStyle w:val="66"/>
                    <w:keepNext w:val="0"/>
                    <w:keepLines w:val="0"/>
                    <w:suppressLineNumbers w:val="0"/>
                    <w:spacing w:before="0" w:beforeAutospacing="0" w:after="0" w:afterAutospacing="0" w:line="240" w:lineRule="auto"/>
                    <w:ind w:left="0" w:right="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废气收集处理系统污染物排放应符合</w:t>
                  </w:r>
                  <w:r>
                    <w:rPr>
                      <w:rFonts w:hint="default" w:ascii="Times New Roman" w:hAnsi="Times New Roman" w:cs="Times New Roman"/>
                      <w:color w:val="auto"/>
                      <w:sz w:val="21"/>
                      <w:szCs w:val="21"/>
                      <w:lang w:val="en-US" w:eastAsia="zh-CN"/>
                    </w:rPr>
                    <w:t>GB16297</w:t>
                  </w:r>
                  <w:r>
                    <w:rPr>
                      <w:rFonts w:hint="eastAsia" w:ascii="Times New Roman" w:hAnsi="Times New Roman" w:cs="Times New Roman"/>
                      <w:color w:val="auto"/>
                      <w:sz w:val="21"/>
                      <w:szCs w:val="21"/>
                      <w:lang w:val="en-US" w:eastAsia="zh-CN"/>
                    </w:rPr>
                    <w:t>或相关行业排放标准的规定；</w:t>
                  </w:r>
                </w:p>
                <w:p w14:paraId="3F943AEC">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3.对于重点地区，收集的废气中</w:t>
                  </w:r>
                  <w:r>
                    <w:rPr>
                      <w:rFonts w:hint="default" w:ascii="Times New Roman" w:hAnsi="Times New Roman" w:cs="Times New Roman"/>
                      <w:color w:val="auto"/>
                      <w:sz w:val="21"/>
                      <w:szCs w:val="21"/>
                      <w:lang w:val="en-US" w:eastAsia="zh-CN"/>
                    </w:rPr>
                    <w:t>NMHC</w:t>
                  </w:r>
                  <w:r>
                    <w:rPr>
                      <w:rFonts w:hint="eastAsia" w:ascii="Times New Roman" w:hAnsi="Times New Roman" w:cs="Times New Roman"/>
                      <w:color w:val="auto"/>
                      <w:sz w:val="21"/>
                      <w:szCs w:val="21"/>
                      <w:lang w:val="en-US" w:eastAsia="zh-CN"/>
                    </w:rPr>
                    <w:t>初始排放速率</w:t>
                  </w:r>
                  <w:r>
                    <w:rPr>
                      <w:rFonts w:hint="default" w:ascii="Times New Roman" w:hAnsi="Times New Roman" w:cs="Times New Roman"/>
                      <w:color w:val="auto"/>
                      <w:sz w:val="21"/>
                      <w:szCs w:val="21"/>
                      <w:lang w:val="en-US" w:eastAsia="zh-CN"/>
                    </w:rPr>
                    <w:t>≥2kg/h</w:t>
                  </w:r>
                  <w:r>
                    <w:rPr>
                      <w:rFonts w:hint="eastAsia" w:ascii="Times New Roman" w:hAnsi="Times New Roman" w:cs="Times New Roman"/>
                      <w:color w:val="auto"/>
                      <w:sz w:val="21"/>
                      <w:szCs w:val="21"/>
                      <w:lang w:val="en-US" w:eastAsia="zh-CN"/>
                    </w:rPr>
                    <w:t>时，应配置</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处理设施，处理效率不应低于</w:t>
                  </w:r>
                  <w:r>
                    <w:rPr>
                      <w:rFonts w:hint="default" w:ascii="Times New Roman" w:hAnsi="Times New Roman" w:cs="Times New Roman"/>
                      <w:color w:val="auto"/>
                      <w:sz w:val="21"/>
                      <w:szCs w:val="21"/>
                      <w:lang w:val="en-US" w:eastAsia="zh-CN"/>
                    </w:rPr>
                    <w:t>80%</w:t>
                  </w:r>
                  <w:r>
                    <w:rPr>
                      <w:rFonts w:hint="eastAsia" w:ascii="Times New Roman" w:hAnsi="Times New Roman" w:cs="Times New Roman"/>
                      <w:color w:val="auto"/>
                      <w:sz w:val="21"/>
                      <w:szCs w:val="21"/>
                      <w:lang w:val="en-US" w:eastAsia="zh-CN"/>
                    </w:rPr>
                    <w:t>。</w:t>
                  </w:r>
                </w:p>
              </w:tc>
              <w:tc>
                <w:tcPr>
                  <w:tcW w:w="1727" w:type="pct"/>
                  <w:gridSpan w:val="2"/>
                  <w:vMerge w:val="continue"/>
                  <w:vAlign w:val="center"/>
                </w:tcPr>
                <w:p w14:paraId="101D4C9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sz w:val="21"/>
                      <w:szCs w:val="21"/>
                      <w:lang w:val="en-US" w:eastAsia="zh-CN"/>
                    </w:rPr>
                  </w:pPr>
                </w:p>
              </w:tc>
            </w:tr>
            <w:tr w14:paraId="3391D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70483587">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val="0"/>
                      <w:color w:val="auto"/>
                      <w:kern w:val="2"/>
                      <w:sz w:val="21"/>
                      <w:szCs w:val="21"/>
                      <w:lang w:val="en-US" w:eastAsia="zh-CN" w:bidi="ar-SA"/>
                    </w:rPr>
                  </w:pPr>
                  <w:r>
                    <w:rPr>
                      <w:rFonts w:hint="eastAsia" w:cs="Times New Roman"/>
                      <w:b/>
                      <w:bCs w:val="0"/>
                      <w:color w:val="auto"/>
                      <w:kern w:val="2"/>
                      <w:sz w:val="21"/>
                      <w:szCs w:val="21"/>
                      <w:lang w:val="en-US" w:eastAsia="zh-CN" w:bidi="ar-SA"/>
                    </w:rPr>
                    <w:t>《吸附法工业有机废气治理工程技术规范》（HJ2026-2013）</w:t>
                  </w:r>
                </w:p>
              </w:tc>
            </w:tr>
            <w:tr w14:paraId="070B0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4D02905F">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5.1一般规定</w:t>
                  </w:r>
                </w:p>
              </w:tc>
              <w:tc>
                <w:tcPr>
                  <w:tcW w:w="2636" w:type="pct"/>
                  <w:shd w:val="clear" w:color="auto" w:fill="auto"/>
                  <w:vAlign w:val="center"/>
                </w:tcPr>
                <w:p w14:paraId="253E3BED">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治理工程建设应按国家相关的基本建设程序或技术改造审批程序进行，总体设计应满足《建设项目环境保护设计规定》和《建设项目环境保护管理条例》的规定。</w:t>
                  </w:r>
                </w:p>
              </w:tc>
              <w:tc>
                <w:tcPr>
                  <w:tcW w:w="1727" w:type="pct"/>
                  <w:gridSpan w:val="2"/>
                  <w:shd w:val="clear" w:color="auto" w:fill="auto"/>
                  <w:vAlign w:val="center"/>
                </w:tcPr>
                <w:p w14:paraId="73B32A5D">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符合要求。</w:t>
                  </w:r>
                </w:p>
              </w:tc>
            </w:tr>
            <w:tr w14:paraId="3BFC6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72F0969">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7D509E48">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治理工程应遵循综合治理、循环利用、达标排放、总量控制的原则。企业需对照执行。</w:t>
                  </w:r>
                </w:p>
              </w:tc>
              <w:tc>
                <w:tcPr>
                  <w:tcW w:w="1727" w:type="pct"/>
                  <w:gridSpan w:val="2"/>
                  <w:shd w:val="clear" w:color="auto" w:fill="auto"/>
                  <w:vAlign w:val="center"/>
                </w:tcPr>
                <w:p w14:paraId="401D337A">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本项目废气经收集处理后可达标排放。</w:t>
                  </w:r>
                </w:p>
              </w:tc>
            </w:tr>
            <w:tr w14:paraId="58788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4F99E9C8">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344EE4B8">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治理工程应与生产工艺水平相适应。生产企业应把治理设备作为生产系统的一部分进行管理，治理设备应与产生废气的相应生产设备同步运转。</w:t>
                  </w:r>
                </w:p>
              </w:tc>
              <w:tc>
                <w:tcPr>
                  <w:tcW w:w="1727" w:type="pct"/>
                  <w:gridSpan w:val="2"/>
                  <w:shd w:val="clear" w:color="auto" w:fill="auto"/>
                  <w:vAlign w:val="center"/>
                </w:tcPr>
                <w:p w14:paraId="1160C3A3">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项目建成后拟对照执行。</w:t>
                  </w:r>
                </w:p>
              </w:tc>
            </w:tr>
            <w:tr w14:paraId="67B21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723D787">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03BBCBF1">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经过治理后的污染物排放应符合国家或地方相关大气污染物排放标准的规定。</w:t>
                  </w:r>
                </w:p>
              </w:tc>
              <w:tc>
                <w:tcPr>
                  <w:tcW w:w="1727" w:type="pct"/>
                  <w:gridSpan w:val="2"/>
                  <w:shd w:val="clear" w:color="auto" w:fill="auto"/>
                  <w:vAlign w:val="center"/>
                </w:tcPr>
                <w:p w14:paraId="1F8DB726">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本项目废气经收集处理后可达标排放。</w:t>
                  </w:r>
                </w:p>
              </w:tc>
            </w:tr>
            <w:tr w14:paraId="63EE2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777920BA">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4635B791">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治理工程在建设、运行过程中产生的废气、废水、废渣及其它污染物的治理与排放，应执行国家或地方环境保护法规和标准的相关规定，防止二次污染。</w:t>
                  </w:r>
                </w:p>
              </w:tc>
              <w:tc>
                <w:tcPr>
                  <w:tcW w:w="1727" w:type="pct"/>
                  <w:gridSpan w:val="2"/>
                  <w:shd w:val="clear" w:color="auto" w:fill="auto"/>
                  <w:vAlign w:val="center"/>
                </w:tcPr>
                <w:p w14:paraId="5D1B1957">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废气设施产生的废活性、暂存于危废仓库，定期委托有资质单位清运处置。</w:t>
                  </w:r>
                </w:p>
              </w:tc>
            </w:tr>
            <w:tr w14:paraId="69C37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052DB275">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43928F76">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治理工程应按照国家相关法律法规、大气污染物排放标准和地方环境保护部门的要求设置在线连续监测设备。</w:t>
                  </w:r>
                </w:p>
              </w:tc>
              <w:tc>
                <w:tcPr>
                  <w:tcW w:w="1727" w:type="pct"/>
                  <w:gridSpan w:val="2"/>
                  <w:shd w:val="clear" w:color="auto" w:fill="auto"/>
                  <w:vAlign w:val="center"/>
                </w:tcPr>
                <w:p w14:paraId="6DBB2CB8">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对照相关要求本项目废气处理设施可不设置在线连续监测设备。</w:t>
                  </w:r>
                </w:p>
              </w:tc>
            </w:tr>
            <w:tr w14:paraId="39AD4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76DDE9F0">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b/>
                      <w:bCs/>
                      <w:color w:val="auto"/>
                      <w:sz w:val="21"/>
                      <w:szCs w:val="21"/>
                      <w:lang w:val="en-US" w:eastAsia="zh-CN"/>
                    </w:rPr>
                    <w:t>《市生态环境局关于建设项目的审批指导意见（试行）》</w:t>
                  </w:r>
                </w:p>
              </w:tc>
            </w:tr>
            <w:tr w14:paraId="738DB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72" w:type="pct"/>
                  <w:gridSpan w:val="5"/>
                  <w:shd w:val="clear" w:color="auto" w:fill="auto"/>
                  <w:vAlign w:val="center"/>
                </w:tcPr>
                <w:p w14:paraId="2CA4B6A3">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严格项目总量。实施建设项目大气污染物总量负增长原则，即重点区域内建设项目使用大气污染物总量，原则上在重点区域范围内实施总量平衡，且必须实行总量</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倍减量替代。</w:t>
                  </w:r>
                </w:p>
                <w:p w14:paraId="13D667AC">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强化环评审批。对重点区域内新上的大气污染物排放的建设项目及全市范围内新上高能耗项目，审批部门对其环评文本应实施质量评估。</w:t>
                  </w:r>
                </w:p>
              </w:tc>
              <w:tc>
                <w:tcPr>
                  <w:tcW w:w="1727" w:type="pct"/>
                  <w:gridSpan w:val="2"/>
                  <w:shd w:val="clear" w:color="auto" w:fill="auto"/>
                  <w:vAlign w:val="center"/>
                </w:tcPr>
                <w:p w14:paraId="5528763D">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1.本项目距离最近的经开区大气质量国控站点（经济开发区潞城镇富民路，刘国钧高等职业技术学校交通楼）10.49km，不在其3km范围内。</w:t>
                  </w:r>
                </w:p>
                <w:p w14:paraId="4799AC7F">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2.本项目属于铝制零部件制造项目，不属于</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两高</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行业和</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高污染</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高污染、高环境风险</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类别项目</w:t>
                  </w:r>
                </w:p>
              </w:tc>
            </w:tr>
            <w:tr w14:paraId="37C77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4D70A648">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b/>
                      <w:bCs/>
                      <w:color w:val="auto"/>
                      <w:sz w:val="21"/>
                      <w:szCs w:val="21"/>
                      <w:lang w:val="en-US" w:eastAsia="zh-CN"/>
                    </w:rPr>
                    <w:t>《铸造企业规范条件》（T/CFA0310021-2023）</w:t>
                  </w:r>
                </w:p>
              </w:tc>
            </w:tr>
            <w:tr w14:paraId="343CC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6779607B">
                  <w:pPr>
                    <w:topLinePunct w:val="0"/>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bidi="ar-SA"/>
                    </w:rPr>
                  </w:pPr>
                  <w:r>
                    <w:rPr>
                      <w:rFonts w:eastAsia="宋体"/>
                      <w:snapToGrid/>
                      <w:sz w:val="21"/>
                      <w:szCs w:val="21"/>
                      <w:lang w:eastAsia="zh-CN"/>
                    </w:rPr>
                    <w:t>4.</w:t>
                  </w:r>
                  <w:r>
                    <w:rPr>
                      <w:rFonts w:hint="eastAsia" w:ascii="仿宋" w:hAnsi="仿宋"/>
                      <w:snapToGrid/>
                      <w:sz w:val="21"/>
                      <w:szCs w:val="21"/>
                      <w:lang w:eastAsia="zh-CN"/>
                    </w:rPr>
                    <w:t>建设条件与布局</w:t>
                  </w:r>
                </w:p>
              </w:tc>
              <w:tc>
                <w:tcPr>
                  <w:tcW w:w="2636" w:type="pct"/>
                  <w:shd w:val="clear" w:color="auto" w:fill="auto"/>
                  <w:vAlign w:val="center"/>
                </w:tcPr>
                <w:p w14:paraId="2F083896">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4.1企业的布局及厂址的确定应符合国家相关法律法规、产业政策以及各地方装备制造业和铸造行业的总体规划要求。</w:t>
                  </w:r>
                </w:p>
              </w:tc>
              <w:tc>
                <w:tcPr>
                  <w:tcW w:w="1727" w:type="pct"/>
                  <w:gridSpan w:val="2"/>
                  <w:vMerge w:val="restart"/>
                  <w:shd w:val="clear" w:color="auto" w:fill="auto"/>
                  <w:vAlign w:val="center"/>
                </w:tcPr>
                <w:p w14:paraId="7A34F0C1">
                  <w:pPr>
                    <w:topLinePunct w:val="0"/>
                    <w:autoSpaceDE/>
                    <w:autoSpaceDN/>
                    <w:adjustRightInd/>
                    <w:snapToGrid/>
                    <w:spacing w:line="240" w:lineRule="auto"/>
                    <w:ind w:firstLine="0" w:firstLineChars="0"/>
                    <w:jc w:val="center"/>
                    <w:textAlignment w:val="auto"/>
                    <w:rPr>
                      <w:rFonts w:hint="eastAsia" w:ascii="仿宋" w:hAnsi="仿宋" w:eastAsia="仿宋" w:cs="宋体"/>
                      <w:snapToGrid/>
                      <w:kern w:val="2"/>
                      <w:sz w:val="21"/>
                      <w:szCs w:val="21"/>
                      <w:lang w:val="en-US" w:eastAsia="zh-CN" w:bidi="ar-SA"/>
                    </w:rPr>
                  </w:pPr>
                  <w:r>
                    <w:rPr>
                      <w:rFonts w:hint="eastAsia" w:ascii="仿宋" w:hAnsi="仿宋" w:cs="宋体"/>
                      <w:snapToGrid/>
                      <w:sz w:val="21"/>
                      <w:szCs w:val="21"/>
                      <w:lang w:eastAsia="zh-CN"/>
                    </w:rPr>
                    <w:t>本项目位于常州经济开发区横山桥镇新安村委新芙路</w:t>
                  </w:r>
                  <w:r>
                    <w:rPr>
                      <w:snapToGrid/>
                      <w:sz w:val="21"/>
                      <w:szCs w:val="21"/>
                      <w:lang w:eastAsia="zh-CN"/>
                    </w:rPr>
                    <w:t>78</w:t>
                  </w:r>
                  <w:r>
                    <w:rPr>
                      <w:rFonts w:hint="eastAsia" w:ascii="仿宋" w:hAnsi="仿宋" w:cs="宋体"/>
                      <w:snapToGrid/>
                      <w:sz w:val="21"/>
                      <w:szCs w:val="21"/>
                      <w:lang w:eastAsia="zh-CN"/>
                    </w:rPr>
                    <w:t>号，从事</w:t>
                  </w:r>
                  <w:r>
                    <w:rPr>
                      <w:rFonts w:hint="eastAsia" w:ascii="仿宋" w:hAnsi="仿宋" w:cs="宋体"/>
                      <w:snapToGrid/>
                      <w:sz w:val="21"/>
                      <w:szCs w:val="21"/>
                      <w:lang w:val="en-US" w:eastAsia="zh-CN"/>
                    </w:rPr>
                    <w:t>铝制零部件</w:t>
                  </w:r>
                  <w:r>
                    <w:rPr>
                      <w:rFonts w:hint="eastAsia" w:ascii="仿宋" w:hAnsi="仿宋" w:cs="宋体"/>
                      <w:snapToGrid/>
                      <w:sz w:val="21"/>
                      <w:szCs w:val="21"/>
                      <w:lang w:eastAsia="zh-CN"/>
                    </w:rPr>
                    <w:t>生产，与横山桥镇产业定位相符；本项目租赁新安村委集体土地，对照《常州市武进区横山桥镇新安村村庄规划（</w:t>
                  </w:r>
                  <w:r>
                    <w:rPr>
                      <w:snapToGrid/>
                      <w:sz w:val="21"/>
                      <w:szCs w:val="21"/>
                      <w:lang w:eastAsia="zh-CN"/>
                    </w:rPr>
                    <w:t>2021-2035</w:t>
                  </w:r>
                  <w:r>
                    <w:rPr>
                      <w:rFonts w:hint="eastAsia" w:ascii="仿宋" w:hAnsi="仿宋" w:cs="宋体"/>
                      <w:snapToGrid/>
                      <w:sz w:val="21"/>
                      <w:szCs w:val="21"/>
                      <w:lang w:eastAsia="zh-CN"/>
                    </w:rPr>
                    <w:t>年）》，该地块属于工业用地。相符。</w:t>
                  </w:r>
                </w:p>
              </w:tc>
            </w:tr>
            <w:tr w14:paraId="5CD25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7C4EEED3">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1F5D02D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4.2企业生产场所应依法取得土地使用权并符合土地使用性质。</w:t>
                  </w:r>
                </w:p>
              </w:tc>
              <w:tc>
                <w:tcPr>
                  <w:tcW w:w="1727" w:type="pct"/>
                  <w:gridSpan w:val="2"/>
                  <w:vMerge w:val="continue"/>
                  <w:shd w:val="clear" w:color="auto" w:fill="auto"/>
                  <w:vAlign w:val="center"/>
                </w:tcPr>
                <w:p w14:paraId="78859445">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224F2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shd w:val="clear" w:color="auto" w:fill="auto"/>
                  <w:vAlign w:val="center"/>
                </w:tcPr>
                <w:p w14:paraId="192B8799">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eastAsia="宋体"/>
                      <w:snapToGrid/>
                      <w:sz w:val="21"/>
                      <w:szCs w:val="21"/>
                      <w:lang w:eastAsia="zh-CN"/>
                    </w:rPr>
                    <w:t>5.</w:t>
                  </w:r>
                  <w:r>
                    <w:rPr>
                      <w:rFonts w:hint="eastAsia" w:ascii="仿宋" w:hAnsi="仿宋"/>
                      <w:snapToGrid/>
                      <w:sz w:val="21"/>
                      <w:szCs w:val="21"/>
                      <w:lang w:eastAsia="zh-CN"/>
                    </w:rPr>
                    <w:t>企业规模</w:t>
                  </w:r>
                </w:p>
              </w:tc>
              <w:tc>
                <w:tcPr>
                  <w:tcW w:w="2636" w:type="pct"/>
                  <w:shd w:val="clear" w:color="auto" w:fill="auto"/>
                  <w:vAlign w:val="center"/>
                </w:tcPr>
                <w:p w14:paraId="34B89CCE">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5.1新建企业上一年度（或近三年）最高销售收入应不低于表1的规定要求。（其他（有色）：销售收入大于等于</w:t>
                  </w:r>
                  <w:r>
                    <w:rPr>
                      <w:rFonts w:hint="eastAsia" w:cs="Times New Roman"/>
                      <w:color w:val="auto"/>
                      <w:sz w:val="21"/>
                      <w:szCs w:val="21"/>
                      <w:lang w:val="en-US" w:eastAsia="zh-CN"/>
                    </w:rPr>
                    <w:t>7</w:t>
                  </w:r>
                  <w:r>
                    <w:rPr>
                      <w:rFonts w:hint="eastAsia" w:ascii="Times New Roman" w:hAnsi="Times New Roman" w:cs="Times New Roman"/>
                      <w:color w:val="auto"/>
                      <w:sz w:val="21"/>
                      <w:szCs w:val="21"/>
                      <w:lang w:val="en-US" w:eastAsia="zh-CN"/>
                    </w:rPr>
                    <w:t>000万元）</w:t>
                  </w:r>
                </w:p>
              </w:tc>
              <w:tc>
                <w:tcPr>
                  <w:tcW w:w="1727" w:type="pct"/>
                  <w:gridSpan w:val="2"/>
                  <w:shd w:val="clear" w:color="auto" w:fill="auto"/>
                  <w:vAlign w:val="center"/>
                </w:tcPr>
                <w:p w14:paraId="3BB9BE61">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napToGrid/>
                      <w:sz w:val="21"/>
                      <w:szCs w:val="21"/>
                      <w:lang w:eastAsia="zh-CN"/>
                    </w:rPr>
                    <w:t>本项目属于新建项目，项目建成后可形成年产1</w:t>
                  </w:r>
                  <w:r>
                    <w:rPr>
                      <w:rFonts w:hint="default" w:ascii="Times New Roman" w:hAnsi="Times New Roman" w:cs="Times New Roman"/>
                      <w:snapToGrid/>
                      <w:sz w:val="21"/>
                      <w:szCs w:val="21"/>
                      <w:lang w:val="en-US" w:eastAsia="zh-CN"/>
                    </w:rPr>
                    <w:t>5</w:t>
                  </w:r>
                  <w:r>
                    <w:rPr>
                      <w:rFonts w:hint="default" w:ascii="Times New Roman" w:hAnsi="Times New Roman" w:cs="Times New Roman"/>
                      <w:snapToGrid/>
                      <w:sz w:val="21"/>
                      <w:szCs w:val="21"/>
                      <w:lang w:eastAsia="zh-CN"/>
                    </w:rPr>
                    <w:t>00万</w:t>
                  </w:r>
                  <w:r>
                    <w:rPr>
                      <w:rFonts w:hint="default" w:ascii="Times New Roman" w:hAnsi="Times New Roman" w:cs="Times New Roman"/>
                      <w:snapToGrid/>
                      <w:sz w:val="21"/>
                      <w:szCs w:val="21"/>
                      <w:lang w:val="en-US" w:eastAsia="zh-CN"/>
                    </w:rPr>
                    <w:t>件</w:t>
                  </w:r>
                  <w:r>
                    <w:rPr>
                      <w:rFonts w:hint="default" w:ascii="Times New Roman" w:hAnsi="Times New Roman" w:cs="Times New Roman"/>
                      <w:snapToGrid/>
                      <w:sz w:val="21"/>
                      <w:szCs w:val="21"/>
                      <w:lang w:eastAsia="zh-CN"/>
                    </w:rPr>
                    <w:t>铝制品的生产能力，预计销售收入不低于7000万元。相符。</w:t>
                  </w:r>
                </w:p>
              </w:tc>
            </w:tr>
            <w:tr w14:paraId="7FD04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54436C67">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eastAsia="宋体"/>
                      <w:snapToGrid/>
                      <w:sz w:val="21"/>
                      <w:szCs w:val="21"/>
                      <w:lang w:eastAsia="zh-CN"/>
                    </w:rPr>
                    <w:t>6.</w:t>
                  </w:r>
                  <w:r>
                    <w:rPr>
                      <w:rFonts w:hint="eastAsia" w:ascii="仿宋" w:hAnsi="仿宋"/>
                      <w:snapToGrid/>
                      <w:sz w:val="21"/>
                      <w:szCs w:val="21"/>
                      <w:lang w:eastAsia="zh-CN"/>
                    </w:rPr>
                    <w:t>生产工艺</w:t>
                  </w:r>
                </w:p>
              </w:tc>
              <w:tc>
                <w:tcPr>
                  <w:tcW w:w="2636" w:type="pct"/>
                  <w:shd w:val="clear" w:color="auto" w:fill="auto"/>
                  <w:vAlign w:val="center"/>
                </w:tcPr>
                <w:p w14:paraId="2FACB98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6.1企业应根据生产铸件的材质、品种、批量，合理选择低污染、低排放、低能耗、经济高效的铸造工艺。</w:t>
                  </w:r>
                </w:p>
              </w:tc>
              <w:tc>
                <w:tcPr>
                  <w:tcW w:w="1727" w:type="pct"/>
                  <w:gridSpan w:val="2"/>
                  <w:vMerge w:val="restart"/>
                  <w:shd w:val="clear" w:color="auto" w:fill="auto"/>
                  <w:vAlign w:val="center"/>
                </w:tcPr>
                <w:p w14:paraId="17CECF58">
                  <w:pPr>
                    <w:topLinePunct w:val="0"/>
                    <w:autoSpaceDE/>
                    <w:autoSpaceDN/>
                    <w:adjustRightInd/>
                    <w:snapToGrid/>
                    <w:spacing w:line="240" w:lineRule="auto"/>
                    <w:ind w:firstLine="0" w:firstLineChars="0"/>
                    <w:jc w:val="center"/>
                    <w:textAlignment w:val="auto"/>
                    <w:rPr>
                      <w:rFonts w:hint="eastAsia" w:ascii="仿宋" w:hAnsi="仿宋" w:eastAsia="仿宋" w:cs="宋体"/>
                      <w:snapToGrid/>
                      <w:kern w:val="2"/>
                      <w:sz w:val="21"/>
                      <w:szCs w:val="21"/>
                      <w:lang w:val="en-US" w:eastAsia="zh-CN" w:bidi="ar-SA"/>
                    </w:rPr>
                  </w:pPr>
                  <w:r>
                    <w:rPr>
                      <w:rFonts w:hint="eastAsia" w:ascii="仿宋" w:hAnsi="仿宋" w:cs="宋体"/>
                      <w:snapToGrid/>
                      <w:sz w:val="21"/>
                      <w:szCs w:val="21"/>
                      <w:lang w:eastAsia="zh-CN"/>
                    </w:rPr>
                    <w:t>本项目采用压力铸造，属于《产业结构调整指导目录（</w:t>
                  </w:r>
                  <w:r>
                    <w:rPr>
                      <w:snapToGrid/>
                      <w:sz w:val="21"/>
                      <w:szCs w:val="21"/>
                      <w:lang w:eastAsia="zh-CN"/>
                    </w:rPr>
                    <w:t>2024</w:t>
                  </w:r>
                  <w:r>
                    <w:rPr>
                      <w:rFonts w:hint="eastAsia" w:ascii="仿宋" w:hAnsi="仿宋" w:cs="宋体"/>
                      <w:snapToGrid/>
                      <w:sz w:val="21"/>
                      <w:szCs w:val="21"/>
                      <w:lang w:eastAsia="zh-CN"/>
                    </w:rPr>
                    <w:t>年本）》鼓励类</w:t>
                  </w:r>
                  <w:r>
                    <w:rPr>
                      <w:snapToGrid/>
                      <w:sz w:val="21"/>
                      <w:szCs w:val="21"/>
                      <w:lang w:eastAsia="zh-CN"/>
                    </w:rPr>
                    <w:t>-</w:t>
                  </w:r>
                  <w:r>
                    <w:rPr>
                      <w:rFonts w:hint="eastAsia" w:ascii="仿宋" w:hAnsi="仿宋" w:cs="宋体"/>
                      <w:snapToGrid/>
                      <w:sz w:val="21"/>
                      <w:szCs w:val="21"/>
                      <w:lang w:eastAsia="zh-CN"/>
                    </w:rPr>
                    <w:t>轻合金高压铸造，属于《工业和信息化部国家发展和改革委员会生态环境部关于推动铸造和锻压行业高质量发展的指导意见》（工信部联通装〔</w:t>
                  </w:r>
                  <w:r>
                    <w:rPr>
                      <w:snapToGrid/>
                      <w:sz w:val="21"/>
                      <w:szCs w:val="21"/>
                      <w:lang w:eastAsia="zh-CN"/>
                    </w:rPr>
                    <w:t>2023</w:t>
                  </w:r>
                  <w:r>
                    <w:rPr>
                      <w:rFonts w:hint="eastAsia" w:ascii="仿宋" w:hAnsi="仿宋" w:cs="宋体"/>
                      <w:snapToGrid/>
                      <w:sz w:val="21"/>
                      <w:szCs w:val="21"/>
                      <w:lang w:eastAsia="zh-CN"/>
                    </w:rPr>
                    <w:t>〕</w:t>
                  </w:r>
                  <w:r>
                    <w:rPr>
                      <w:snapToGrid/>
                      <w:sz w:val="21"/>
                      <w:szCs w:val="21"/>
                      <w:lang w:eastAsia="zh-CN"/>
                    </w:rPr>
                    <w:t>40</w:t>
                  </w:r>
                  <w:r>
                    <w:rPr>
                      <w:rFonts w:hint="eastAsia" w:ascii="仿宋" w:hAnsi="仿宋" w:cs="宋体"/>
                      <w:snapToGrid/>
                      <w:sz w:val="21"/>
                      <w:szCs w:val="21"/>
                      <w:lang w:eastAsia="zh-CN"/>
                    </w:rPr>
                    <w:t>号）中先进铸造工艺</w:t>
                  </w:r>
                  <w:r>
                    <w:rPr>
                      <w:snapToGrid/>
                      <w:sz w:val="21"/>
                      <w:szCs w:val="21"/>
                      <w:lang w:eastAsia="zh-CN"/>
                    </w:rPr>
                    <w:t>-</w:t>
                  </w:r>
                  <w:r>
                    <w:rPr>
                      <w:rFonts w:hint="eastAsia" w:ascii="仿宋" w:hAnsi="仿宋" w:cs="宋体"/>
                      <w:snapToGrid/>
                      <w:sz w:val="21"/>
                      <w:szCs w:val="21"/>
                      <w:lang w:eastAsia="zh-CN"/>
                    </w:rPr>
                    <w:t>轻合金高压铸造；不使用国家明令淘汰的生产工艺。相符。</w:t>
                  </w:r>
                </w:p>
              </w:tc>
            </w:tr>
            <w:tr w14:paraId="709EE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5C838DE">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305EDD1E">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6.2企业不应使用国家明令淘汰的生产工艺。不应采用粘土砂干型/芯、油砂制芯、七〇砂制型/芯等落后铸造工艺；粘土砂工艺批量生产铸件不应采用手工造型；水玻璃熔模精密铸造模壳硬化不应采用氯化铵硬化工艺；铝合金精炼不应采用六氯乙烷等有毒有害的精炼剂。</w:t>
                  </w:r>
                </w:p>
              </w:tc>
              <w:tc>
                <w:tcPr>
                  <w:tcW w:w="1727" w:type="pct"/>
                  <w:gridSpan w:val="2"/>
                  <w:vMerge w:val="continue"/>
                  <w:shd w:val="clear" w:color="auto" w:fill="auto"/>
                  <w:vAlign w:val="center"/>
                </w:tcPr>
                <w:p w14:paraId="0F00A29D">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47CDB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28EB4906">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eastAsia="宋体"/>
                      <w:snapToGrid/>
                      <w:sz w:val="21"/>
                      <w:szCs w:val="21"/>
                      <w:lang w:eastAsia="zh-CN"/>
                    </w:rPr>
                    <w:t>7.</w:t>
                  </w:r>
                  <w:r>
                    <w:rPr>
                      <w:rFonts w:hint="eastAsia" w:ascii="仿宋" w:hAnsi="仿宋"/>
                      <w:snapToGrid/>
                      <w:sz w:val="21"/>
                      <w:szCs w:val="21"/>
                      <w:lang w:eastAsia="zh-CN"/>
                    </w:rPr>
                    <w:t>生产装备</w:t>
                  </w:r>
                </w:p>
              </w:tc>
              <w:tc>
                <w:tcPr>
                  <w:tcW w:w="2636" w:type="pct"/>
                  <w:shd w:val="clear" w:color="auto" w:fill="auto"/>
                  <w:vAlign w:val="center"/>
                </w:tcPr>
                <w:p w14:paraId="22777914">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7.1.1企业不应使用国家明令淘汰的生产装备，如：无芯工频感应电炉、0.25吨及以上无磁轭的铝壳中频感应电炉等。</w:t>
                  </w:r>
                </w:p>
              </w:tc>
              <w:tc>
                <w:tcPr>
                  <w:tcW w:w="1727" w:type="pct"/>
                  <w:gridSpan w:val="2"/>
                  <w:vMerge w:val="restart"/>
                  <w:shd w:val="clear" w:color="auto" w:fill="auto"/>
                  <w:vAlign w:val="center"/>
                </w:tcPr>
                <w:p w14:paraId="06A3CCAC">
                  <w:pPr>
                    <w:topLinePunct w:val="0"/>
                    <w:autoSpaceDE/>
                    <w:autoSpaceDN/>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仿宋" w:hAnsi="仿宋" w:cs="宋体"/>
                      <w:snapToGrid/>
                      <w:sz w:val="21"/>
                      <w:szCs w:val="21"/>
                      <w:lang w:eastAsia="zh-CN"/>
                    </w:rPr>
                    <w:t>本项目拟购置天然气熔化炉，不属于国家明令淘汰的生产装备；拟购置与产品及生产能力相匹配的压铸机。</w:t>
                  </w:r>
                </w:p>
              </w:tc>
            </w:tr>
            <w:tr w14:paraId="63421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E3A3187">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24D76BD4">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7.3企业应配备与产品及生产能力相匹配的造型、制芯及其他成型设备（线）。</w:t>
                  </w:r>
                </w:p>
              </w:tc>
              <w:tc>
                <w:tcPr>
                  <w:tcW w:w="1727" w:type="pct"/>
                  <w:gridSpan w:val="2"/>
                  <w:vMerge w:val="continue"/>
                  <w:shd w:val="clear" w:color="auto" w:fill="auto"/>
                  <w:vAlign w:val="center"/>
                </w:tcPr>
                <w:p w14:paraId="5051C40E">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78FAA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7626EA38">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eastAsia="宋体"/>
                      <w:snapToGrid/>
                      <w:sz w:val="21"/>
                      <w:szCs w:val="21"/>
                      <w:lang w:eastAsia="zh-CN"/>
                    </w:rPr>
                    <w:t>8.</w:t>
                  </w:r>
                  <w:r>
                    <w:rPr>
                      <w:rFonts w:hint="eastAsia" w:ascii="仿宋" w:hAnsi="仿宋"/>
                      <w:snapToGrid/>
                      <w:sz w:val="21"/>
                      <w:szCs w:val="21"/>
                      <w:lang w:eastAsia="zh-CN"/>
                    </w:rPr>
                    <w:t>质量控制</w:t>
                  </w:r>
                </w:p>
              </w:tc>
              <w:tc>
                <w:tcPr>
                  <w:tcW w:w="2636" w:type="pct"/>
                  <w:shd w:val="clear" w:color="auto" w:fill="auto"/>
                  <w:vAlign w:val="center"/>
                </w:tcPr>
                <w:p w14:paraId="203A4781">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8.1企业应按照GB/T19001（或IATF16949、GJB9001C、RB/T048等）标准要求建立质量管理体系，通过认证并持续有效运行。</w:t>
                  </w:r>
                </w:p>
              </w:tc>
              <w:tc>
                <w:tcPr>
                  <w:tcW w:w="1727" w:type="pct"/>
                  <w:gridSpan w:val="2"/>
                  <w:vMerge w:val="restart"/>
                  <w:shd w:val="clear" w:color="auto" w:fill="auto"/>
                  <w:vAlign w:val="center"/>
                </w:tcPr>
                <w:p w14:paraId="6A73CDFB">
                  <w:pPr>
                    <w:topLinePunct w:val="0"/>
                    <w:autoSpaceDE/>
                    <w:autoSpaceDN/>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仿宋" w:hAnsi="仿宋" w:cs="宋体"/>
                      <w:snapToGrid/>
                      <w:sz w:val="21"/>
                      <w:szCs w:val="21"/>
                      <w:lang w:eastAsia="zh-CN"/>
                    </w:rPr>
                    <w:t>企业建成后将按标准要求建立质量管理体系，通过认证并持续有效运行；设立质量管理部门，配备专职质量检测人员和产品相应的检验检测设备；铸件的各项指标应符合规定的技术要求。相符。</w:t>
                  </w:r>
                </w:p>
              </w:tc>
            </w:tr>
            <w:tr w14:paraId="0D7A6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62FDB24C">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25D1DB58">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8.2企业应设置质量管理部门，并配备专职质量检测人员；应配置与原辅材料、生产过程以及铸件质量相关的理化、计量、无损、型砂检测等检验检测设备。</w:t>
                  </w:r>
                </w:p>
              </w:tc>
              <w:tc>
                <w:tcPr>
                  <w:tcW w:w="1727" w:type="pct"/>
                  <w:gridSpan w:val="2"/>
                  <w:vMerge w:val="continue"/>
                  <w:shd w:val="clear" w:color="auto" w:fill="auto"/>
                  <w:vAlign w:val="center"/>
                </w:tcPr>
                <w:p w14:paraId="034EB881">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57319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25272500">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7C6813A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8.3铸件的外观质量（尺寸精度、表面粗糙度等）、内在质量（化学成分、金相组织等）及力学性能等指标应符合规定的技术要求。</w:t>
                  </w:r>
                </w:p>
              </w:tc>
              <w:tc>
                <w:tcPr>
                  <w:tcW w:w="1727" w:type="pct"/>
                  <w:gridSpan w:val="2"/>
                  <w:vMerge w:val="continue"/>
                  <w:shd w:val="clear" w:color="auto" w:fill="auto"/>
                  <w:vAlign w:val="center"/>
                </w:tcPr>
                <w:p w14:paraId="26C239E7">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5C68C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2A973284">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eastAsia="宋体"/>
                      <w:snapToGrid/>
                      <w:sz w:val="21"/>
                      <w:szCs w:val="21"/>
                      <w:lang w:eastAsia="zh-CN"/>
                    </w:rPr>
                    <w:t>9.</w:t>
                  </w:r>
                  <w:r>
                    <w:rPr>
                      <w:rFonts w:hint="eastAsia" w:ascii="仿宋" w:hAnsi="仿宋"/>
                      <w:snapToGrid/>
                      <w:sz w:val="21"/>
                      <w:szCs w:val="21"/>
                      <w:lang w:eastAsia="zh-CN"/>
                    </w:rPr>
                    <w:t>能耗消耗</w:t>
                  </w:r>
                </w:p>
              </w:tc>
              <w:tc>
                <w:tcPr>
                  <w:tcW w:w="2636" w:type="pct"/>
                  <w:shd w:val="clear" w:color="auto" w:fill="auto"/>
                  <w:vAlign w:val="center"/>
                </w:tcPr>
                <w:p w14:paraId="20DFE2BC">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9.1企业应建立能源管理制度，可按照GB/T23331要求建立能源管理体系，通过认证并持续有效运行。</w:t>
                  </w:r>
                </w:p>
              </w:tc>
              <w:tc>
                <w:tcPr>
                  <w:tcW w:w="1727" w:type="pct"/>
                  <w:gridSpan w:val="2"/>
                  <w:vMerge w:val="restart"/>
                  <w:shd w:val="clear" w:color="auto" w:fill="auto"/>
                  <w:vAlign w:val="center"/>
                </w:tcPr>
                <w:p w14:paraId="778BDDFA">
                  <w:pPr>
                    <w:topLinePunct w:val="0"/>
                    <w:autoSpaceDE/>
                    <w:autoSpaceDN/>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仿宋" w:hAnsi="仿宋" w:cs="宋体"/>
                      <w:snapToGrid/>
                      <w:sz w:val="21"/>
                      <w:szCs w:val="21"/>
                      <w:lang w:eastAsia="zh-CN"/>
                    </w:rPr>
                    <w:t>企业建成后将按照</w:t>
                  </w:r>
                  <w:r>
                    <w:rPr>
                      <w:snapToGrid/>
                      <w:sz w:val="21"/>
                      <w:szCs w:val="21"/>
                      <w:lang w:eastAsia="zh-CN"/>
                    </w:rPr>
                    <w:t>GB/T23331</w:t>
                  </w:r>
                  <w:r>
                    <w:rPr>
                      <w:rFonts w:hint="eastAsia" w:ascii="仿宋" w:hAnsi="仿宋" w:cs="宋体"/>
                      <w:snapToGrid/>
                      <w:sz w:val="21"/>
                      <w:szCs w:val="21"/>
                      <w:lang w:eastAsia="zh-CN"/>
                    </w:rPr>
                    <w:t>要求建立能源管理体系，通过认证并持续有效运行；拟开展技能评估和节能审查。相符。</w:t>
                  </w:r>
                </w:p>
              </w:tc>
            </w:tr>
            <w:tr w14:paraId="1363F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4A77AB3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7B0E50F9">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9.2新（改、扩）建铸造项目应开展技能评估和节能审查。</w:t>
                  </w:r>
                </w:p>
              </w:tc>
              <w:tc>
                <w:tcPr>
                  <w:tcW w:w="1727" w:type="pct"/>
                  <w:gridSpan w:val="2"/>
                  <w:vMerge w:val="continue"/>
                  <w:shd w:val="clear" w:color="auto" w:fill="auto"/>
                  <w:vAlign w:val="center"/>
                </w:tcPr>
                <w:p w14:paraId="7AFFA6F8">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010FB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15583033">
                  <w:pPr>
                    <w:topLinePunct w:val="0"/>
                    <w:autoSpaceDE/>
                    <w:autoSpaceDN/>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eastAsia="宋体"/>
                      <w:snapToGrid/>
                      <w:sz w:val="21"/>
                      <w:szCs w:val="21"/>
                      <w:lang w:eastAsia="zh-CN"/>
                    </w:rPr>
                    <w:t>10.</w:t>
                  </w:r>
                  <w:r>
                    <w:rPr>
                      <w:rFonts w:hint="eastAsia" w:ascii="仿宋" w:hAnsi="仿宋"/>
                      <w:snapToGrid/>
                      <w:sz w:val="21"/>
                      <w:szCs w:val="21"/>
                      <w:lang w:eastAsia="zh-CN"/>
                    </w:rPr>
                    <w:t>环境保护</w:t>
                  </w:r>
                </w:p>
              </w:tc>
              <w:tc>
                <w:tcPr>
                  <w:tcW w:w="2636" w:type="pct"/>
                  <w:shd w:val="clear" w:color="auto" w:fill="auto"/>
                  <w:vAlign w:val="center"/>
                </w:tcPr>
                <w:p w14:paraId="1EEEDAE6">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10.1企业应按HJ1115、HJ1200的要求，取得排污许可证；宜按照HJ1251的要求制定自行监测方案。</w:t>
                  </w:r>
                </w:p>
              </w:tc>
              <w:tc>
                <w:tcPr>
                  <w:tcW w:w="1727" w:type="pct"/>
                  <w:gridSpan w:val="2"/>
                  <w:vMerge w:val="restart"/>
                  <w:shd w:val="clear" w:color="auto" w:fill="auto"/>
                  <w:vAlign w:val="center"/>
                </w:tcPr>
                <w:p w14:paraId="1E9D8096">
                  <w:pPr>
                    <w:topLinePunct w:val="0"/>
                    <w:autoSpaceDE/>
                    <w:autoSpaceDN/>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仿宋" w:hAnsi="仿宋" w:cs="宋体"/>
                      <w:snapToGrid/>
                      <w:sz w:val="21"/>
                      <w:szCs w:val="21"/>
                      <w:lang w:eastAsia="zh-CN"/>
                    </w:rPr>
                    <w:t>企业建成并排污前拟按</w:t>
                  </w:r>
                  <w:r>
                    <w:rPr>
                      <w:snapToGrid/>
                      <w:sz w:val="21"/>
                      <w:szCs w:val="21"/>
                      <w:lang w:eastAsia="zh-CN"/>
                    </w:rPr>
                    <w:t>HJ1115</w:t>
                  </w:r>
                  <w:r>
                    <w:rPr>
                      <w:rFonts w:hint="eastAsia" w:ascii="仿宋" w:hAnsi="仿宋" w:cs="宋体"/>
                      <w:snapToGrid/>
                      <w:sz w:val="21"/>
                      <w:szCs w:val="21"/>
                      <w:lang w:eastAsia="zh-CN"/>
                    </w:rPr>
                    <w:t>、</w:t>
                  </w:r>
                  <w:r>
                    <w:rPr>
                      <w:snapToGrid/>
                      <w:sz w:val="21"/>
                      <w:szCs w:val="21"/>
                      <w:lang w:eastAsia="zh-CN"/>
                    </w:rPr>
                    <w:t>HJ1200</w:t>
                  </w:r>
                  <w:r>
                    <w:rPr>
                      <w:rFonts w:hint="eastAsia" w:ascii="仿宋" w:hAnsi="仿宋" w:cs="宋体"/>
                      <w:snapToGrid/>
                      <w:sz w:val="21"/>
                      <w:szCs w:val="21"/>
                      <w:lang w:eastAsia="zh-CN"/>
                    </w:rPr>
                    <w:t>的要求，取得排污许可证，按照</w:t>
                  </w:r>
                  <w:r>
                    <w:rPr>
                      <w:snapToGrid/>
                      <w:sz w:val="21"/>
                      <w:szCs w:val="21"/>
                      <w:lang w:eastAsia="zh-CN"/>
                    </w:rPr>
                    <w:t>HJ1251</w:t>
                  </w:r>
                  <w:r>
                    <w:rPr>
                      <w:rFonts w:hint="eastAsia" w:ascii="仿宋" w:hAnsi="仿宋" w:cs="宋体"/>
                      <w:snapToGrid/>
                      <w:sz w:val="21"/>
                      <w:szCs w:val="21"/>
                      <w:lang w:eastAsia="zh-CN"/>
                    </w:rPr>
                    <w:t>的要求制定自行监测方案。企业拟设置一套水喷淋</w:t>
                  </w:r>
                  <w:r>
                    <w:rPr>
                      <w:snapToGrid/>
                      <w:sz w:val="21"/>
                      <w:szCs w:val="21"/>
                      <w:lang w:eastAsia="zh-CN"/>
                    </w:rPr>
                    <w:t>+</w:t>
                  </w:r>
                  <w:r>
                    <w:rPr>
                      <w:rFonts w:hint="eastAsia" w:ascii="仿宋" w:hAnsi="仿宋" w:cs="宋体"/>
                      <w:snapToGrid/>
                      <w:sz w:val="21"/>
                      <w:szCs w:val="21"/>
                      <w:lang w:eastAsia="zh-CN"/>
                    </w:rPr>
                    <w:t>干式过滤</w:t>
                  </w:r>
                  <w:r>
                    <w:rPr>
                      <w:snapToGrid/>
                      <w:sz w:val="21"/>
                      <w:szCs w:val="21"/>
                      <w:lang w:eastAsia="zh-CN"/>
                    </w:rPr>
                    <w:t>+</w:t>
                  </w:r>
                  <w:r>
                    <w:rPr>
                      <w:rFonts w:hint="eastAsia" w:ascii="仿宋" w:hAnsi="仿宋" w:cs="宋体"/>
                      <w:snapToGrid/>
                      <w:sz w:val="21"/>
                      <w:szCs w:val="21"/>
                      <w:lang w:eastAsia="zh-CN"/>
                    </w:rPr>
                    <w:t>二级活性炭吸附装置处理熔化烟尘和压铸废气，工艺废气经收集处理后符合</w:t>
                  </w:r>
                  <w:r>
                    <w:rPr>
                      <w:snapToGrid/>
                      <w:sz w:val="21"/>
                      <w:szCs w:val="21"/>
                      <w:lang w:eastAsia="zh-CN"/>
                    </w:rPr>
                    <w:t>GB39726</w:t>
                  </w:r>
                  <w:r>
                    <w:rPr>
                      <w:rFonts w:hint="eastAsia" w:ascii="仿宋" w:hAnsi="仿宋" w:cs="宋体"/>
                      <w:snapToGrid/>
                      <w:sz w:val="21"/>
                      <w:szCs w:val="21"/>
                      <w:lang w:eastAsia="zh-CN"/>
                    </w:rPr>
                    <w:t>的要求，生活污水接管至污水处理厂，固废均合理处置，符合国家及地方环保法规和标准的规定；建成后参照《重污染天气重点行业应急减排措施制定技术指南》的要求开展绩效分级管理，制定重污染天气应急减排措施；企业拟按照</w:t>
                  </w:r>
                  <w:r>
                    <w:rPr>
                      <w:snapToGrid/>
                      <w:sz w:val="21"/>
                      <w:szCs w:val="21"/>
                      <w:lang w:eastAsia="zh-CN"/>
                    </w:rPr>
                    <w:t>GB/T24001</w:t>
                  </w:r>
                  <w:r>
                    <w:rPr>
                      <w:rFonts w:hint="eastAsia" w:ascii="仿宋" w:hAnsi="仿宋" w:cs="宋体"/>
                      <w:snapToGrid/>
                      <w:sz w:val="21"/>
                      <w:szCs w:val="21"/>
                      <w:lang w:eastAsia="zh-CN"/>
                    </w:rPr>
                    <w:t>要求建立环境管理体系，通过认证并持续有效运行。相符。</w:t>
                  </w:r>
                </w:p>
              </w:tc>
            </w:tr>
            <w:tr w14:paraId="59774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46258EED">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55982E0B">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10.2企业大气污染物排放应符合GB39726的要求。应配置完善的环保处理装置，废气、废水、噪声工业固体废物等排放与处置措施应符合国家及地方环保法规和标准的规定。</w:t>
                  </w:r>
                </w:p>
              </w:tc>
              <w:tc>
                <w:tcPr>
                  <w:tcW w:w="1727" w:type="pct"/>
                  <w:gridSpan w:val="2"/>
                  <w:vMerge w:val="continue"/>
                  <w:shd w:val="clear" w:color="auto" w:fill="auto"/>
                  <w:vAlign w:val="center"/>
                </w:tcPr>
                <w:p w14:paraId="68746EE0">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64536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72FB24EB">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655FE430">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10.3企业宜参照《重污染天气重点行业应急减排措施制定技术指南》的要求开展绩效分级管理，制定重污染天气应急减排措施。</w:t>
                  </w:r>
                </w:p>
              </w:tc>
              <w:tc>
                <w:tcPr>
                  <w:tcW w:w="1727" w:type="pct"/>
                  <w:gridSpan w:val="2"/>
                  <w:vMerge w:val="continue"/>
                  <w:shd w:val="clear" w:color="auto" w:fill="auto"/>
                  <w:vAlign w:val="center"/>
                </w:tcPr>
                <w:p w14:paraId="5E587270">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4DC8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5376B19">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0C10F566">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10.4企业可按照GB/T24001要求建立环境管理体系，通过认证并持续有效运行。</w:t>
                  </w:r>
                </w:p>
              </w:tc>
              <w:tc>
                <w:tcPr>
                  <w:tcW w:w="1727" w:type="pct"/>
                  <w:gridSpan w:val="2"/>
                  <w:vMerge w:val="continue"/>
                  <w:shd w:val="clear" w:color="auto" w:fill="auto"/>
                  <w:vAlign w:val="center"/>
                </w:tcPr>
                <w:p w14:paraId="4B70F773">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55EEE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restart"/>
                  <w:shd w:val="clear" w:color="auto" w:fill="auto"/>
                  <w:vAlign w:val="center"/>
                </w:tcPr>
                <w:p w14:paraId="407166E4">
                  <w:pPr>
                    <w:topLinePunct w:val="0"/>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bidi="ar-SA"/>
                    </w:rPr>
                  </w:pPr>
                  <w:r>
                    <w:rPr>
                      <w:rFonts w:eastAsia="宋体"/>
                      <w:snapToGrid/>
                      <w:sz w:val="21"/>
                      <w:szCs w:val="21"/>
                      <w:lang w:eastAsia="zh-CN"/>
                    </w:rPr>
                    <w:t>11</w:t>
                  </w:r>
                  <w:r>
                    <w:rPr>
                      <w:rFonts w:hint="eastAsia" w:ascii="仿宋" w:hAnsi="仿宋"/>
                      <w:snapToGrid/>
                      <w:sz w:val="21"/>
                      <w:szCs w:val="21"/>
                      <w:lang w:eastAsia="zh-CN"/>
                    </w:rPr>
                    <w:t>安全生产及职业健康</w:t>
                  </w:r>
                </w:p>
              </w:tc>
              <w:tc>
                <w:tcPr>
                  <w:tcW w:w="2636" w:type="pct"/>
                  <w:shd w:val="clear" w:color="auto" w:fill="auto"/>
                  <w:vAlign w:val="center"/>
                </w:tcPr>
                <w:p w14:paraId="60839DF8">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11.1企业应遵守国家安全生产相关法律法规和标准要求，建立健全安全设施并有效运行。</w:t>
                  </w:r>
                </w:p>
              </w:tc>
              <w:tc>
                <w:tcPr>
                  <w:tcW w:w="1727" w:type="pct"/>
                  <w:gridSpan w:val="2"/>
                  <w:vMerge w:val="restart"/>
                  <w:shd w:val="clear" w:color="auto" w:fill="auto"/>
                  <w:vAlign w:val="center"/>
                </w:tcPr>
                <w:p w14:paraId="375AE208">
                  <w:pPr>
                    <w:topLinePunct w:val="0"/>
                    <w:autoSpaceDE/>
                    <w:autoSpaceDN/>
                    <w:adjustRightInd/>
                    <w:snapToGrid/>
                    <w:spacing w:line="240" w:lineRule="auto"/>
                    <w:ind w:firstLine="0" w:firstLineChars="0"/>
                    <w:jc w:val="center"/>
                    <w:textAlignment w:val="auto"/>
                    <w:rPr>
                      <w:rFonts w:hint="eastAsia" w:ascii="仿宋" w:hAnsi="仿宋" w:eastAsia="仿宋" w:cs="宋体"/>
                      <w:snapToGrid/>
                      <w:kern w:val="2"/>
                      <w:sz w:val="21"/>
                      <w:szCs w:val="21"/>
                      <w:lang w:val="en-US" w:eastAsia="zh-CN" w:bidi="ar-SA"/>
                    </w:rPr>
                  </w:pPr>
                  <w:r>
                    <w:rPr>
                      <w:rFonts w:hint="eastAsia" w:ascii="仿宋" w:hAnsi="仿宋" w:cs="宋体"/>
                      <w:snapToGrid/>
                      <w:sz w:val="21"/>
                      <w:szCs w:val="21"/>
                      <w:lang w:eastAsia="zh-CN"/>
                    </w:rPr>
                    <w:t>企业拟遵守国家安全生产相关法律法规和标准要求，建立健全安全设施并有效运行；拟按国家职业健康相关法律法规和标准要求，建立健全职业危害防治设施和职业卫生管理制度并有效运行；拟参照铸造领域相关安全标准开展安全生产管理；拟按照</w:t>
                  </w:r>
                  <w:r>
                    <w:rPr>
                      <w:snapToGrid/>
                      <w:sz w:val="21"/>
                      <w:szCs w:val="21"/>
                      <w:lang w:eastAsia="zh-CN"/>
                    </w:rPr>
                    <w:t>GB/T45001</w:t>
                  </w:r>
                  <w:r>
                    <w:rPr>
                      <w:rFonts w:hint="eastAsia" w:ascii="仿宋" w:hAnsi="仿宋" w:cs="宋体"/>
                      <w:snapToGrid/>
                      <w:sz w:val="21"/>
                      <w:szCs w:val="21"/>
                      <w:lang w:eastAsia="zh-CN"/>
                    </w:rPr>
                    <w:t>标准要求建立职业健康安全管理体系，通过认证并持续有效运行；特殊岗位的人员持证上岗。相符。</w:t>
                  </w:r>
                </w:p>
              </w:tc>
            </w:tr>
            <w:tr w14:paraId="1989E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49E243B8">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4D28202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11.2企业应遵守国家职业健康相关法律法规和标准要求，建立健全职业危害防治设施和职业卫生管理制度并有效运行。</w:t>
                  </w:r>
                </w:p>
              </w:tc>
              <w:tc>
                <w:tcPr>
                  <w:tcW w:w="1727" w:type="pct"/>
                  <w:gridSpan w:val="2"/>
                  <w:vMerge w:val="continue"/>
                  <w:shd w:val="clear" w:color="auto" w:fill="auto"/>
                  <w:vAlign w:val="center"/>
                </w:tcPr>
                <w:p w14:paraId="105B2BA6">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05104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7CCCFBD9">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57EA8646">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11.3企业宜参照铸造领域相关安全标准开展安全生产管理。</w:t>
                  </w:r>
                </w:p>
              </w:tc>
              <w:tc>
                <w:tcPr>
                  <w:tcW w:w="1727" w:type="pct"/>
                  <w:gridSpan w:val="2"/>
                  <w:vMerge w:val="continue"/>
                  <w:shd w:val="clear" w:color="auto" w:fill="auto"/>
                  <w:vAlign w:val="center"/>
                </w:tcPr>
                <w:p w14:paraId="1880F0CA">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0B04C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37DBABB9">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59B653D2">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11.4企业可按照GB/T45001标准要求建立职业健康安全管理体系，通过认证并持续有效运行。</w:t>
                  </w:r>
                </w:p>
              </w:tc>
              <w:tc>
                <w:tcPr>
                  <w:tcW w:w="1727" w:type="pct"/>
                  <w:gridSpan w:val="2"/>
                  <w:vMerge w:val="continue"/>
                  <w:shd w:val="clear" w:color="auto" w:fill="auto"/>
                  <w:vAlign w:val="center"/>
                </w:tcPr>
                <w:p w14:paraId="22F3E5F8">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6152B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6" w:type="pct"/>
                  <w:gridSpan w:val="4"/>
                  <w:vMerge w:val="continue"/>
                  <w:shd w:val="clear" w:color="auto" w:fill="auto"/>
                  <w:vAlign w:val="center"/>
                </w:tcPr>
                <w:p w14:paraId="7621BC0E">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p>
              </w:tc>
              <w:tc>
                <w:tcPr>
                  <w:tcW w:w="2636" w:type="pct"/>
                  <w:shd w:val="clear" w:color="auto" w:fill="auto"/>
                  <w:vAlign w:val="center"/>
                </w:tcPr>
                <w:p w14:paraId="16DCA5BA">
                  <w:pPr>
                    <w:pStyle w:val="66"/>
                    <w:keepNext w:val="0"/>
                    <w:keepLines w:val="0"/>
                    <w:suppressLineNumbers w:val="0"/>
                    <w:spacing w:before="0" w:beforeAutospacing="0" w:after="0" w:afterAutospacing="0" w:line="240" w:lineRule="auto"/>
                    <w:ind w:left="0" w:leftChars="0" w:right="0" w:rightChars="0" w:firstLine="420" w:firstLineChars="20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11.5特种作业人员、特种设备操作人员、理化检验人员及无损探伤等特殊岗位的人员应具有经相应的资质部门颁发的资格证书，持证上岗率应达100%。</w:t>
                  </w:r>
                </w:p>
              </w:tc>
              <w:tc>
                <w:tcPr>
                  <w:tcW w:w="1727" w:type="pct"/>
                  <w:gridSpan w:val="2"/>
                  <w:vMerge w:val="continue"/>
                  <w:shd w:val="clear" w:color="auto" w:fill="auto"/>
                  <w:vAlign w:val="center"/>
                </w:tcPr>
                <w:p w14:paraId="19CF0F23">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p>
              </w:tc>
            </w:tr>
            <w:tr w14:paraId="483FC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05148CC2">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《关于推动全省铸造和锻压行业高质量发展的实施意见》的通知（苏工信装备〔2023〕403号）</w:t>
                  </w:r>
                </w:p>
              </w:tc>
            </w:tr>
            <w:tr w14:paraId="0D612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72" w:type="pct"/>
                  <w:gridSpan w:val="5"/>
                  <w:shd w:val="clear" w:color="auto" w:fill="auto"/>
                  <w:vAlign w:val="center"/>
                </w:tcPr>
                <w:p w14:paraId="7909F0DC">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发展先进工艺与装备。重点发展高紧实度粘土砂自动化造型、高效自硬砂铸造、精密组芯造型、壳型铸造、离心铸造、金属型铸造、铁模覆砂、消失模</w:t>
                  </w:r>
                  <w:r>
                    <w:rPr>
                      <w:rFonts w:hint="default" w:ascii="Times New Roman" w:hAnsi="Times New Roman" w:cs="Times New Roman"/>
                      <w:color w:val="auto"/>
                      <w:sz w:val="21"/>
                      <w:szCs w:val="21"/>
                      <w:lang w:val="en-US" w:eastAsia="zh-CN"/>
                    </w:rPr>
                    <w:t>/V</w:t>
                  </w:r>
                  <w:r>
                    <w:rPr>
                      <w:rFonts w:hint="eastAsia" w:ascii="Times New Roman" w:hAnsi="Times New Roman" w:cs="Times New Roman"/>
                      <w:color w:val="auto"/>
                      <w:sz w:val="21"/>
                      <w:szCs w:val="21"/>
                      <w:lang w:val="en-US" w:eastAsia="zh-CN"/>
                    </w:rPr>
                    <w:t>法</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实型铸造，轻合金高压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挤压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差压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低压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半固态</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调压铸造、硅溶胶熔模铸造、短流程铸造、砂型</w:t>
                  </w:r>
                  <w:r>
                    <w:rPr>
                      <w:rFonts w:hint="default" w:ascii="Times New Roman" w:hAnsi="Times New Roman" w:cs="Times New Roman"/>
                      <w:color w:val="auto"/>
                      <w:sz w:val="21"/>
                      <w:szCs w:val="21"/>
                      <w:lang w:val="en-US" w:eastAsia="zh-CN"/>
                    </w:rPr>
                    <w:t>3D</w:t>
                  </w:r>
                  <w:r>
                    <w:rPr>
                      <w:rFonts w:hint="eastAsia" w:ascii="Times New Roman" w:hAnsi="Times New Roman" w:cs="Times New Roman"/>
                      <w:color w:val="auto"/>
                      <w:sz w:val="21"/>
                      <w:szCs w:val="21"/>
                      <w:lang w:val="en-US" w:eastAsia="zh-CN"/>
                    </w:rPr>
                    <w:t>打印等先进铸造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省工业和信息化厅负责）</w:t>
                  </w:r>
                </w:p>
              </w:tc>
              <w:tc>
                <w:tcPr>
                  <w:tcW w:w="1727" w:type="pct"/>
                  <w:gridSpan w:val="2"/>
                  <w:shd w:val="clear" w:color="auto" w:fill="auto"/>
                  <w:vAlign w:val="center"/>
                </w:tcPr>
                <w:p w14:paraId="0E80C84B">
                  <w:pPr>
                    <w:pStyle w:val="66"/>
                    <w:keepNext w:val="0"/>
                    <w:keepLines w:val="0"/>
                    <w:suppressLineNumbers w:val="0"/>
                    <w:spacing w:before="0" w:beforeAutospacing="0" w:after="0" w:afterAutospacing="0" w:line="240" w:lineRule="auto"/>
                    <w:ind w:right="0" w:right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本项目采用高压铸造技术</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原料为</w:t>
                  </w:r>
                  <w:r>
                    <w:rPr>
                      <w:rFonts w:hint="eastAsia" w:cs="Times New Roman"/>
                      <w:color w:val="auto"/>
                      <w:sz w:val="21"/>
                      <w:szCs w:val="21"/>
                      <w:lang w:val="en-US" w:eastAsia="zh-CN"/>
                    </w:rPr>
                    <w:t>铝合金锭</w:t>
                  </w:r>
                  <w:r>
                    <w:rPr>
                      <w:rFonts w:hint="eastAsia" w:ascii="Times New Roman" w:hAnsi="Times New Roman" w:cs="Times New Roman"/>
                      <w:color w:val="auto"/>
                      <w:sz w:val="21"/>
                      <w:szCs w:val="21"/>
                      <w:lang w:val="en-US" w:eastAsia="zh-CN"/>
                    </w:rPr>
                    <w:t>，对照前文条款属于</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轻合金高压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挤压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差压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低压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半固态</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调压铸造</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中的轻合金高压铸造，属于重点发展的先进铸造工艺与装备。</w:t>
                  </w:r>
                  <w:r>
                    <w:rPr>
                      <w:rFonts w:hint="eastAsia" w:cs="Times New Roman"/>
                      <w:color w:val="auto"/>
                      <w:sz w:val="21"/>
                      <w:szCs w:val="21"/>
                      <w:lang w:val="en-US" w:eastAsia="zh-CN"/>
                    </w:rPr>
                    <w:t>相符。</w:t>
                  </w:r>
                </w:p>
              </w:tc>
            </w:tr>
            <w:tr w14:paraId="19ACE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72" w:type="pct"/>
                  <w:gridSpan w:val="5"/>
                  <w:shd w:val="clear" w:color="auto" w:fill="auto"/>
                  <w:vAlign w:val="center"/>
                </w:tcPr>
                <w:p w14:paraId="202F6A29">
                  <w:pPr>
                    <w:pStyle w:val="66"/>
                    <w:keepNext w:val="0"/>
                    <w:keepLines w:val="0"/>
                    <w:suppressLineNumbers w:val="0"/>
                    <w:spacing w:before="0" w:beforeAutospacing="0" w:after="0" w:afterAutospacing="0" w:line="240" w:lineRule="auto"/>
                    <w:ind w:right="0" w:right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引导行业规范发展。各级发展改革、工业和信息化、生态环境、应急管理、市场监管部门要严格执行节能、环保、质量、安全技术等相关法律法规标准和《产业结构调整指导目录》中限制类、淘汰类目录，依法依规淘汰工艺装备落后、污染物排放不达标、生产安全无保障的落后产能。各级生态环境部门要严格落实主要污染物排放总量控制，依法依规制定污染防治方案，推动源头减排、过程控制和末端治理全过程深度治理。各级发展改革、工业和信息化 </w:t>
                  </w:r>
                </w:p>
                <w:p w14:paraId="5CC5A4A0">
                  <w:pPr>
                    <w:pStyle w:val="66"/>
                    <w:keepNext w:val="0"/>
                    <w:keepLines w:val="0"/>
                    <w:suppressLineNumbers w:val="0"/>
                    <w:spacing w:before="0" w:beforeAutospacing="0" w:after="0" w:afterAutospacing="0" w:line="240" w:lineRule="auto"/>
                    <w:ind w:right="0" w:right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部门要有效落实能源消耗总量和强度调控制度，以降碳为方向，加强能力建设，健全配套制度，推动能耗双控逐步转向碳排放总量和强度双控制度。各级工业和信息化部门要严格按照国家和省有关产业政策，依法依规淘汰无芯工频感应电炉、无磁轭（</w:t>
                  </w:r>
                  <w:r>
                    <w:rPr>
                      <w:rFonts w:hint="default" w:ascii="Times New Roman" w:hAnsi="Times New Roman" w:cs="Times New Roman"/>
                      <w:color w:val="auto"/>
                      <w:sz w:val="21"/>
                      <w:szCs w:val="21"/>
                      <w:lang w:val="en-US" w:eastAsia="zh-CN"/>
                    </w:rPr>
                    <w:t>≥0.25</w:t>
                  </w:r>
                  <w:r>
                    <w:rPr>
                      <w:rFonts w:hint="eastAsia" w:ascii="Times New Roman" w:hAnsi="Times New Roman" w:cs="Times New Roman"/>
                      <w:color w:val="auto"/>
                      <w:sz w:val="21"/>
                      <w:szCs w:val="21"/>
                      <w:lang w:val="en-US" w:eastAsia="zh-CN"/>
                    </w:rPr>
                    <w:t>吨）铝壳中频感应电炉等落后工艺装备。新建、改扩建项目单位产品的能耗、物耗、水耗、资源综合利用和污染物排放量等指标应符合相关法律法规标准要求。（省发展改革委、省工业和信息化厅、省生态环境厅、省应急厅、省市场监管局，各设区市人民政府按职责分工负责）</w:t>
                  </w:r>
                </w:p>
                <w:p w14:paraId="3E38696E">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加强项目建设服务。各级发展改革、工业和信息化、生态环境、应急管理、行政审批部门要依照《江苏省企业投资项目核准和备案管理办法》《江苏省建设项目环境影响评价文件分级审批管理办法》《江苏省固定资产投资项目节能审查实施办法》《排污许可管理条例》《建设项目安全设施</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三同时</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监督管理办法》等文件要求开展项目服务，确保新建、改扩建项目备案、环评、排污许可、安评、节能审查等手续合规、完备，项目建设符合相关法律法规标准要求。加快存量项目升级改造，推进企业选择低污染、低能耗、经济高效的先进工艺技术，提升行业竞争能力。（省发展改革委、省工业和信息化厅、省生态环境厅、省应急厅，各设区市人民政府按职责分工负责）</w:t>
                  </w:r>
                </w:p>
              </w:tc>
              <w:tc>
                <w:tcPr>
                  <w:tcW w:w="1727" w:type="pct"/>
                  <w:gridSpan w:val="2"/>
                  <w:shd w:val="clear" w:color="auto" w:fill="auto"/>
                  <w:vAlign w:val="center"/>
                </w:tcPr>
                <w:p w14:paraId="0A3A0BD9">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本项目严格执行节能、环保、质量、安全技术等相关法律法规标准和《产业结构调整指导目录》等政策，污染物可达标排放。不使用无芯工频感应电炉、无磁轭（</w:t>
                  </w:r>
                  <w:r>
                    <w:rPr>
                      <w:rFonts w:hint="default" w:ascii="Times New Roman" w:hAnsi="Times New Roman" w:cs="Times New Roman"/>
                      <w:color w:val="auto"/>
                      <w:sz w:val="21"/>
                      <w:szCs w:val="21"/>
                      <w:lang w:val="en-US" w:eastAsia="zh-CN"/>
                    </w:rPr>
                    <w:t>≥0.25</w:t>
                  </w:r>
                  <w:r>
                    <w:rPr>
                      <w:rFonts w:hint="eastAsia" w:ascii="Times New Roman" w:hAnsi="Times New Roman" w:cs="Times New Roman"/>
                      <w:color w:val="auto"/>
                      <w:sz w:val="21"/>
                      <w:szCs w:val="21"/>
                      <w:lang w:val="en-US" w:eastAsia="zh-CN"/>
                    </w:rPr>
                    <w:t>吨）铝壳中频感应电炉、水玻璃熔模精密铸造氯化铵硬化模壳、铝合金六氯乙烷精炼等淘汰类工艺和装备。生产过程中采用低污染、低能耗、经济高效的先进工艺技术。</w:t>
                  </w:r>
                  <w:r>
                    <w:rPr>
                      <w:rFonts w:hint="eastAsia" w:cs="Times New Roman"/>
                      <w:color w:val="auto"/>
                      <w:sz w:val="21"/>
                      <w:szCs w:val="21"/>
                      <w:lang w:val="en-US" w:eastAsia="zh-CN"/>
                    </w:rPr>
                    <w:t>相符。</w:t>
                  </w:r>
                </w:p>
              </w:tc>
            </w:tr>
            <w:tr w14:paraId="74C30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72" w:type="pct"/>
                  <w:gridSpan w:val="5"/>
                  <w:shd w:val="clear" w:color="auto" w:fill="auto"/>
                  <w:vAlign w:val="center"/>
                </w:tcPr>
                <w:p w14:paraId="6E952B1D">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大环保治理力度。铸造和锻压企业应当依法申领排污许可证，严格持证排污、按证排污并按排污许可证规定落实自行监测、记录报告、信息公开等要求。铸造企业应当严格执行《铸造工业大气污染物排放标准》（</w:t>
                  </w:r>
                  <w:r>
                    <w:rPr>
                      <w:rFonts w:hint="default" w:ascii="Times New Roman" w:hAnsi="Times New Roman" w:cs="Times New Roman"/>
                      <w:color w:val="auto"/>
                      <w:sz w:val="21"/>
                      <w:szCs w:val="21"/>
                      <w:lang w:val="en-US" w:eastAsia="zh-CN"/>
                    </w:rPr>
                    <w:t>GB39726-2020</w:t>
                  </w:r>
                  <w:r>
                    <w:rPr>
                      <w:rFonts w:hint="eastAsia" w:ascii="Times New Roman" w:hAnsi="Times New Roman" w:cs="Times New Roman"/>
                      <w:color w:val="auto"/>
                      <w:sz w:val="21"/>
                      <w:szCs w:val="21"/>
                      <w:lang w:val="en-US" w:eastAsia="zh-CN"/>
                    </w:rPr>
                    <w:t>）及地方标准，加强无组织排放控制。不能稳定达标排放的，限期完成设施升级改造；不具备改造条件及改造后仍不能达标的，依法依规关停退出。（省生态环境厅，各设区市人民政府按职责分工负责）</w:t>
                  </w:r>
                </w:p>
              </w:tc>
              <w:tc>
                <w:tcPr>
                  <w:tcW w:w="1727" w:type="pct"/>
                  <w:gridSpan w:val="2"/>
                  <w:shd w:val="clear" w:color="auto" w:fill="auto"/>
                  <w:vAlign w:val="center"/>
                </w:tcPr>
                <w:p w14:paraId="3A1A2841">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本项目实施后依法申</w:t>
                  </w:r>
                  <w:r>
                    <w:rPr>
                      <w:rFonts w:hint="eastAsia" w:cs="Times New Roman"/>
                      <w:color w:val="auto"/>
                      <w:sz w:val="21"/>
                      <w:szCs w:val="21"/>
                      <w:lang w:val="en-US" w:eastAsia="zh-CN"/>
                    </w:rPr>
                    <w:t>领</w:t>
                  </w:r>
                  <w:r>
                    <w:rPr>
                      <w:rFonts w:hint="eastAsia" w:ascii="Times New Roman" w:hAnsi="Times New Roman" w:cs="Times New Roman"/>
                      <w:color w:val="auto"/>
                      <w:sz w:val="21"/>
                      <w:szCs w:val="21"/>
                      <w:lang w:val="en-US" w:eastAsia="zh-CN"/>
                    </w:rPr>
                    <w:t>排污许可证；企业严格执行《铸造工业大气污染物排放标准》（</w:t>
                  </w:r>
                  <w:r>
                    <w:rPr>
                      <w:rFonts w:hint="default" w:ascii="Times New Roman" w:hAnsi="Times New Roman" w:cs="Times New Roman"/>
                      <w:color w:val="auto"/>
                      <w:sz w:val="21"/>
                      <w:szCs w:val="21"/>
                      <w:lang w:val="en-US" w:eastAsia="zh-CN"/>
                    </w:rPr>
                    <w:t>GB39726-2020</w:t>
                  </w:r>
                  <w:r>
                    <w:rPr>
                      <w:rFonts w:hint="eastAsia" w:ascii="Times New Roman" w:hAnsi="Times New Roman" w:cs="Times New Roman"/>
                      <w:color w:val="auto"/>
                      <w:sz w:val="21"/>
                      <w:szCs w:val="21"/>
                      <w:lang w:val="en-US" w:eastAsia="zh-CN"/>
                    </w:rPr>
                    <w:t>）及地方标准，加强无组织</w:t>
                  </w:r>
                  <w:r>
                    <w:rPr>
                      <w:rFonts w:hint="eastAsia" w:cs="Times New Roman"/>
                      <w:color w:val="auto"/>
                      <w:sz w:val="21"/>
                      <w:szCs w:val="21"/>
                      <w:lang w:val="en-US" w:eastAsia="zh-CN"/>
                    </w:rPr>
                    <w:t>排</w:t>
                  </w:r>
                  <w:r>
                    <w:rPr>
                      <w:rFonts w:hint="eastAsia" w:ascii="Times New Roman" w:hAnsi="Times New Roman" w:cs="Times New Roman"/>
                      <w:color w:val="auto"/>
                      <w:sz w:val="21"/>
                      <w:szCs w:val="21"/>
                      <w:lang w:val="en-US" w:eastAsia="zh-CN"/>
                    </w:rPr>
                    <w:t>放控制。</w:t>
                  </w:r>
                </w:p>
              </w:tc>
            </w:tr>
            <w:tr w14:paraId="5F056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000" w:type="pct"/>
                  <w:gridSpan w:val="7"/>
                  <w:shd w:val="clear" w:color="auto" w:fill="auto"/>
                  <w:vAlign w:val="center"/>
                </w:tcPr>
                <w:p w14:paraId="55707609">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cs="Times New Roman"/>
                      <w:b/>
                      <w:bCs/>
                      <w:color w:val="auto"/>
                      <w:sz w:val="21"/>
                      <w:szCs w:val="21"/>
                      <w:lang w:val="en-US" w:eastAsia="zh-CN"/>
                    </w:rPr>
                    <w:t>《工业和信息化部国家发展和改革委员会生态环境部关于推动铸造和锻压行业高质量发展的指导意见》（工信部联通装〔</w:t>
                  </w:r>
                  <w:r>
                    <w:rPr>
                      <w:rFonts w:hint="default" w:cs="Times New Roman"/>
                      <w:b/>
                      <w:bCs/>
                      <w:color w:val="auto"/>
                      <w:sz w:val="21"/>
                      <w:szCs w:val="21"/>
                      <w:lang w:val="en-US" w:eastAsia="zh-CN"/>
                    </w:rPr>
                    <w:t>2023</w:t>
                  </w:r>
                  <w:r>
                    <w:rPr>
                      <w:rFonts w:hint="eastAsia" w:cs="Times New Roman"/>
                      <w:b/>
                      <w:bCs/>
                      <w:color w:val="auto"/>
                      <w:sz w:val="21"/>
                      <w:szCs w:val="21"/>
                      <w:lang w:val="en-US" w:eastAsia="zh-CN"/>
                    </w:rPr>
                    <w:t>〕</w:t>
                  </w:r>
                  <w:r>
                    <w:rPr>
                      <w:rFonts w:hint="default" w:cs="Times New Roman"/>
                      <w:b/>
                      <w:bCs/>
                      <w:color w:val="auto"/>
                      <w:sz w:val="21"/>
                      <w:szCs w:val="21"/>
                      <w:lang w:val="en-US" w:eastAsia="zh-CN"/>
                    </w:rPr>
                    <w:t>40</w:t>
                  </w:r>
                  <w:r>
                    <w:rPr>
                      <w:rFonts w:hint="eastAsia" w:cs="Times New Roman"/>
                      <w:b/>
                      <w:bCs/>
                      <w:color w:val="auto"/>
                      <w:sz w:val="21"/>
                      <w:szCs w:val="21"/>
                      <w:lang w:val="en-US" w:eastAsia="zh-CN"/>
                    </w:rPr>
                    <w:t>号）</w:t>
                  </w:r>
                </w:p>
              </w:tc>
            </w:tr>
            <w:tr w14:paraId="07A6B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shd w:val="clear" w:color="auto" w:fill="auto"/>
                  <w:vAlign w:val="center"/>
                </w:tcPr>
                <w:p w14:paraId="6156E75B">
                  <w:pPr>
                    <w:pStyle w:val="66"/>
                    <w:keepNext w:val="0"/>
                    <w:keepLines w:val="0"/>
                    <w:suppressLineNumbers w:val="0"/>
                    <w:spacing w:before="0" w:beforeAutospacing="0" w:after="0" w:afterAutospacing="0" w:line="240" w:lineRule="auto"/>
                    <w:ind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提高行业创新能力</w:t>
                  </w:r>
                </w:p>
              </w:tc>
              <w:tc>
                <w:tcPr>
                  <w:tcW w:w="2672" w:type="pct"/>
                  <w:gridSpan w:val="2"/>
                  <w:shd w:val="clear" w:color="auto" w:fill="auto"/>
                  <w:vAlign w:val="center"/>
                </w:tcPr>
                <w:p w14:paraId="12F17623">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发展先进铸造工艺与装备。重点发展高紧实度粘土砂自动化造型、高效自硬砂铸造、精密组芯造型、壳型铸造、离心铸造、金属型铸造、铁模覆砂、消失模</w:t>
                  </w:r>
                  <w:r>
                    <w:rPr>
                      <w:rFonts w:hint="default" w:ascii="Times New Roman" w:hAnsi="Times New Roman" w:cs="Times New Roman"/>
                      <w:color w:val="auto"/>
                      <w:sz w:val="21"/>
                      <w:szCs w:val="21"/>
                      <w:lang w:val="en-US" w:eastAsia="zh-CN"/>
                    </w:rPr>
                    <w:t>/V</w:t>
                  </w:r>
                  <w:r>
                    <w:rPr>
                      <w:rFonts w:hint="eastAsia" w:ascii="Times New Roman" w:hAnsi="Times New Roman" w:cs="Times New Roman"/>
                      <w:color w:val="auto"/>
                      <w:sz w:val="21"/>
                      <w:szCs w:val="21"/>
                      <w:lang w:val="en-US" w:eastAsia="zh-CN"/>
                    </w:rPr>
                    <w:t>法</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实型铸造、轻合金高压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挤压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差压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低压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半固态</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调压铸造、硅溶胶熔模铸造、短流程铸造、砂型</w:t>
                  </w:r>
                  <w:r>
                    <w:rPr>
                      <w:rFonts w:hint="default" w:ascii="Times New Roman" w:hAnsi="Times New Roman" w:cs="Times New Roman"/>
                      <w:color w:val="auto"/>
                      <w:sz w:val="21"/>
                      <w:szCs w:val="21"/>
                      <w:lang w:val="en-US" w:eastAsia="zh-CN"/>
                    </w:rPr>
                    <w:t>3D</w:t>
                  </w:r>
                  <w:r>
                    <w:rPr>
                      <w:rFonts w:hint="eastAsia" w:ascii="Times New Roman" w:hAnsi="Times New Roman" w:cs="Times New Roman"/>
                      <w:color w:val="auto"/>
                      <w:sz w:val="21"/>
                      <w:szCs w:val="21"/>
                      <w:lang w:val="en-US" w:eastAsia="zh-CN"/>
                    </w:rPr>
                    <w:t>打印等先进铸造工艺与装备。</w:t>
                  </w:r>
                </w:p>
              </w:tc>
              <w:tc>
                <w:tcPr>
                  <w:tcW w:w="1727" w:type="pct"/>
                  <w:gridSpan w:val="2"/>
                  <w:shd w:val="clear" w:color="auto" w:fill="auto"/>
                  <w:vAlign w:val="center"/>
                </w:tcPr>
                <w:p w14:paraId="33C55007">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本项目采用高压铸造技术，原料为铝合金锭，属于“轻合金高压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挤压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差压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低压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半固态</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调压铸造”中的轻合金高压铸造，属于重点发展的先进铸造工艺与装备。相符。</w:t>
                  </w:r>
                </w:p>
              </w:tc>
            </w:tr>
            <w:tr w14:paraId="1E5AC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restart"/>
                  <w:shd w:val="clear" w:color="auto" w:fill="auto"/>
                  <w:vAlign w:val="center"/>
                </w:tcPr>
                <w:p w14:paraId="61E8D9EE">
                  <w:pPr>
                    <w:pStyle w:val="66"/>
                    <w:keepNext w:val="0"/>
                    <w:keepLines w:val="0"/>
                    <w:suppressLineNumbers w:val="0"/>
                    <w:spacing w:before="0" w:beforeAutospacing="0" w:after="0" w:afterAutospacing="0" w:line="240" w:lineRule="auto"/>
                    <w:ind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推进行业规范发展</w:t>
                  </w:r>
                </w:p>
              </w:tc>
              <w:tc>
                <w:tcPr>
                  <w:tcW w:w="2672" w:type="pct"/>
                  <w:gridSpan w:val="2"/>
                  <w:shd w:val="clear" w:color="auto" w:fill="auto"/>
                  <w:vAlign w:val="center"/>
                </w:tcPr>
                <w:p w14:paraId="2E5FEFF4">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铸造企业不得采用无芯工频感应电炉、无磁轭（</w:t>
                  </w:r>
                  <w:r>
                    <w:rPr>
                      <w:rFonts w:hint="default" w:ascii="Times New Roman" w:hAnsi="Times New Roman" w:cs="Times New Roman"/>
                      <w:color w:val="auto"/>
                      <w:sz w:val="21"/>
                      <w:szCs w:val="21"/>
                      <w:lang w:val="en-US" w:eastAsia="zh-CN"/>
                    </w:rPr>
                    <w:t>≥0.25</w:t>
                  </w:r>
                  <w:r>
                    <w:rPr>
                      <w:rFonts w:hint="eastAsia" w:ascii="Times New Roman" w:hAnsi="Times New Roman" w:cs="Times New Roman"/>
                      <w:color w:val="auto"/>
                      <w:sz w:val="21"/>
                      <w:szCs w:val="21"/>
                      <w:lang w:val="en-US" w:eastAsia="zh-CN"/>
                    </w:rPr>
                    <w:t>吨）铝壳中频感应电炉、水玻璃熔模精密铸造氯化铵硬化模壳、铝合金六氯乙烷精炼等淘汰类工艺和装备。加快存量项目升级改造，推进企业合理选择低污染、低能耗、经济高效的先进工艺技术，提升行业竞争能力。强化铸造和锻压与装备制造业协同布局，引导具备条件的企业入园集聚发展，提升产业链供应链协同配套能力，构建布局合理、错位互补、供需联动、协同发展的产业格局。</w:t>
                  </w:r>
                </w:p>
              </w:tc>
              <w:tc>
                <w:tcPr>
                  <w:tcW w:w="1727" w:type="pct"/>
                  <w:gridSpan w:val="2"/>
                  <w:shd w:val="clear" w:color="auto" w:fill="auto"/>
                  <w:vAlign w:val="center"/>
                </w:tcPr>
                <w:p w14:paraId="30606E75">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符合各项节能、环保、质量、安全技术等相关法律法规标准和《产业结构调整指导目录》等政策，不涉及落后工艺及装备，污染物能够达标排放，生产安全能够有效保障。项目采用低污染、低能耗、经济高效的先进工艺技术。</w:t>
                  </w:r>
                </w:p>
              </w:tc>
            </w:tr>
            <w:tr w14:paraId="74C2C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continue"/>
                  <w:shd w:val="clear" w:color="auto" w:fill="auto"/>
                  <w:vAlign w:val="center"/>
                </w:tcPr>
                <w:p w14:paraId="53823DD8">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2DC1E6AC">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支持高端项目建设。推动落实全国统一大市场建设，打通制约行业发展的关键堵点。引导各地结合实际谋划新建或改造升级的高端建设项目落地实施，支持企业围绕主机厂或重大项目配套生产，保障装备制造业产业链供应链安全稳定。严格审批新建、改扩建项目，确保项目备案、环评、排污许可、安评、节能审查等手续清晰、完备，项目建设符合国家相关法律法规标准要求。严格落实主要污染物排放总量控制、能源消耗总量和强度调控制度，坚决遏制不符合要求的项目盲目发展和低水平重复建设，防止产能盲目扩张，切实推进产业结构优化升级。</w:t>
                  </w:r>
                </w:p>
              </w:tc>
              <w:tc>
                <w:tcPr>
                  <w:tcW w:w="1727" w:type="pct"/>
                  <w:gridSpan w:val="2"/>
                  <w:shd w:val="clear" w:color="auto" w:fill="auto"/>
                  <w:vAlign w:val="center"/>
                </w:tcPr>
                <w:p w14:paraId="76D09A53">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本项目以目前先进可靠的生产工艺（金属型铸造、高压铸造）为基础，以</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绿色发展</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和</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智能制造</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为导向，本着</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高端、智能、绿色</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的原则，进行建设，属于文件支持建设的高端铸造项目</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且将按要求落实主要污染物排放总量控制、能源消耗总量和强度调控制度</w:t>
                  </w:r>
                  <w:r>
                    <w:rPr>
                      <w:rFonts w:hint="eastAsia" w:cs="Times New Roman"/>
                      <w:color w:val="auto"/>
                      <w:sz w:val="21"/>
                      <w:szCs w:val="21"/>
                      <w:lang w:val="en-US" w:eastAsia="zh-CN"/>
                    </w:rPr>
                    <w:t>。</w:t>
                  </w:r>
                </w:p>
              </w:tc>
            </w:tr>
            <w:tr w14:paraId="33469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restart"/>
                  <w:shd w:val="clear" w:color="auto" w:fill="auto"/>
                  <w:vAlign w:val="center"/>
                </w:tcPr>
                <w:p w14:paraId="6B091375">
                  <w:pPr>
                    <w:pStyle w:val="66"/>
                    <w:keepNext w:val="0"/>
                    <w:keepLines w:val="0"/>
                    <w:suppressLineNumbers w:val="0"/>
                    <w:spacing w:before="0" w:beforeAutospacing="0" w:after="0" w:afterAutospacing="0" w:line="240" w:lineRule="auto"/>
                    <w:ind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加快行业绿色发展</w:t>
                  </w:r>
                </w:p>
              </w:tc>
              <w:tc>
                <w:tcPr>
                  <w:tcW w:w="2672" w:type="pct"/>
                  <w:gridSpan w:val="2"/>
                  <w:shd w:val="clear" w:color="auto" w:fill="auto"/>
                  <w:vAlign w:val="center"/>
                </w:tcPr>
                <w:p w14:paraId="073DF07A">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快绿色低碳转型。推进绿色方式贯穿铸造和锻压生产全流程，开发绿色原辅材料、推广绿色工艺、建设绿色工厂、发展绿色园区，深入推进园区循环化改造。推动企业依法披露环境信息，接受社会监督。积极开展清洁生产，做好节能监察执法、节能诊断服务工作，深入挖掘节能潜力。鼓励企业采用高效节能熔炼、热处理等设备，提高余热利用水平。推广短流程铸造，鼓励铸造行业冲天炉（</w:t>
                  </w: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吨</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小时及以下）改为电炉。推进铸造废砂再生处理技术应用、废旧金属循环再生与利用。推广整体化大型化短流程低成本锻压技术，推广环保润滑介质应用，加大非调质钢使用比例等。</w:t>
                  </w:r>
                </w:p>
              </w:tc>
              <w:tc>
                <w:tcPr>
                  <w:tcW w:w="1727" w:type="pct"/>
                  <w:gridSpan w:val="2"/>
                  <w:shd w:val="clear" w:color="auto" w:fill="auto"/>
                  <w:vAlign w:val="center"/>
                </w:tcPr>
                <w:p w14:paraId="0C0A03D8">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本项目采用高效节能铸造设备，提高生产效率，节约能源消耗。</w:t>
                  </w:r>
                </w:p>
              </w:tc>
            </w:tr>
            <w:tr w14:paraId="784E6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continue"/>
                  <w:shd w:val="clear" w:color="auto" w:fill="auto"/>
                  <w:vAlign w:val="center"/>
                </w:tcPr>
                <w:p w14:paraId="3C28816C">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627BB57B">
                  <w:pPr>
                    <w:pStyle w:val="66"/>
                    <w:keepNext w:val="0"/>
                    <w:keepLines w:val="0"/>
                    <w:suppressLineNumbers w:val="0"/>
                    <w:spacing w:before="0" w:beforeAutospacing="0" w:after="0" w:afterAutospacing="0" w:line="240" w:lineRule="auto"/>
                    <w:ind w:right="0" w:rightChars="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提升环保治理水平。依法申领排污许可证，严格持证排污、按证排污并按排污许可证规定落实自行监测、台账记录、执行报告、 </w:t>
                  </w:r>
                </w:p>
                <w:p w14:paraId="4CA19431">
                  <w:pPr>
                    <w:pStyle w:val="66"/>
                    <w:keepNext w:val="0"/>
                    <w:keepLines w:val="0"/>
                    <w:suppressLineNumbers w:val="0"/>
                    <w:spacing w:before="0" w:beforeAutospacing="0" w:after="0" w:afterAutospacing="0" w:line="240" w:lineRule="auto"/>
                    <w:ind w:right="0" w:rightChars="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信息公开等要求。综合考虑生产工艺、原辅材料使用、无组织排放控制、污染治理设施运行效果等，建设一批达到重污染天气应对绩效分级</w:t>
                  </w:r>
                  <w:r>
                    <w:rPr>
                      <w:rFonts w:hint="default" w:ascii="Times New Roman" w:hAnsi="Times New Roman" w:cs="Times New Roman"/>
                      <w:color w:val="auto"/>
                      <w:sz w:val="21"/>
                      <w:szCs w:val="21"/>
                      <w:lang w:val="en-US" w:eastAsia="zh-CN"/>
                    </w:rPr>
                    <w:t>A</w:t>
                  </w:r>
                  <w:r>
                    <w:rPr>
                      <w:rFonts w:hint="eastAsia" w:ascii="Times New Roman" w:hAnsi="Times New Roman" w:cs="Times New Roman"/>
                      <w:color w:val="auto"/>
                      <w:sz w:val="21"/>
                      <w:szCs w:val="21"/>
                      <w:lang w:val="en-US" w:eastAsia="zh-CN"/>
                    </w:rPr>
                    <w:t>级水平的环保标杆企业，带动行业环保水平提升。铸造企业严格执行《铸造工业大气污染物排放标准》（</w:t>
                  </w:r>
                  <w:r>
                    <w:rPr>
                      <w:rFonts w:hint="default" w:ascii="Times New Roman" w:hAnsi="Times New Roman" w:cs="Times New Roman"/>
                      <w:color w:val="auto"/>
                      <w:sz w:val="21"/>
                      <w:szCs w:val="21"/>
                      <w:lang w:val="en-US" w:eastAsia="zh-CN"/>
                    </w:rPr>
                    <w:t>GB39726</w:t>
                  </w:r>
                  <w:r>
                    <w:rPr>
                      <w:rFonts w:hint="eastAsia" w:ascii="Times New Roman" w:hAnsi="Times New Roman" w:cs="Times New Roman"/>
                      <w:color w:val="auto"/>
                      <w:sz w:val="21"/>
                      <w:szCs w:val="21"/>
                      <w:lang w:val="en-US" w:eastAsia="zh-CN"/>
                    </w:rPr>
                    <w:t>）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tc>
              <w:tc>
                <w:tcPr>
                  <w:tcW w:w="1727" w:type="pct"/>
                  <w:gridSpan w:val="2"/>
                  <w:shd w:val="clear" w:color="auto" w:fill="auto"/>
                  <w:vAlign w:val="center"/>
                </w:tcPr>
                <w:p w14:paraId="52BAF02D">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本项目将持续提升环保治理水平，依法申领排污许可证，并严格落实各项要求，努力争创重污染天气应对绩效分级</w:t>
                  </w:r>
                  <w:r>
                    <w:rPr>
                      <w:rFonts w:hint="default" w:ascii="Times New Roman" w:hAnsi="Times New Roman" w:cs="Times New Roman"/>
                      <w:color w:val="auto"/>
                      <w:sz w:val="21"/>
                      <w:szCs w:val="21"/>
                      <w:lang w:val="en-US" w:eastAsia="zh-CN"/>
                    </w:rPr>
                    <w:t>A</w:t>
                  </w:r>
                  <w:r>
                    <w:rPr>
                      <w:rFonts w:hint="eastAsia" w:ascii="Times New Roman" w:hAnsi="Times New Roman" w:cs="Times New Roman"/>
                      <w:color w:val="auto"/>
                      <w:sz w:val="21"/>
                      <w:szCs w:val="21"/>
                      <w:lang w:val="en-US" w:eastAsia="zh-CN"/>
                    </w:rPr>
                    <w:t>级水平的环保标杆企业，带动行业环保水平提升。本项目严格执行《铸造工业大气污染物排放标准》及地方排放标准要求。</w:t>
                  </w:r>
                </w:p>
              </w:tc>
            </w:tr>
            <w:tr w14:paraId="25A7F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shd w:val="clear" w:color="auto" w:fill="auto"/>
                  <w:vAlign w:val="center"/>
                </w:tcPr>
                <w:p w14:paraId="427130BF">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推进行业智能化改造</w:t>
                  </w:r>
                </w:p>
              </w:tc>
              <w:tc>
                <w:tcPr>
                  <w:tcW w:w="2672" w:type="pct"/>
                  <w:gridSpan w:val="2"/>
                  <w:shd w:val="clear" w:color="auto" w:fill="auto"/>
                  <w:vAlign w:val="center"/>
                </w:tcPr>
                <w:p w14:paraId="00617F96">
                  <w:pPr>
                    <w:pStyle w:val="66"/>
                    <w:keepNext w:val="0"/>
                    <w:keepLines w:val="0"/>
                    <w:suppressLineNumbers w:val="0"/>
                    <w:spacing w:before="0" w:beforeAutospacing="0" w:after="0" w:afterAutospacing="0" w:line="240" w:lineRule="auto"/>
                    <w:ind w:right="0" w:rightChars="0"/>
                    <w:jc w:val="left"/>
                    <w:rPr>
                      <w:rFonts w:hint="eastAsia" w:cs="Times New Roman"/>
                      <w:color w:val="auto"/>
                      <w:sz w:val="21"/>
                      <w:szCs w:val="21"/>
                      <w:lang w:val="en-US" w:eastAsia="zh-CN"/>
                    </w:rPr>
                  </w:pPr>
                  <w:r>
                    <w:rPr>
                      <w:rFonts w:hint="eastAsia" w:cs="Times New Roman"/>
                      <w:color w:val="auto"/>
                      <w:sz w:val="21"/>
                      <w:szCs w:val="21"/>
                      <w:lang w:val="en-US" w:eastAsia="zh-CN"/>
                    </w:rPr>
                    <w:t>加快新一代信息技术与铸造和锻压生产全过程、全要素深度融合，支持企业利用数字化技术改造传统工艺装备及生产线，引导重点企业开展远程监测、故障诊断、预测性维护、产品质量控制等服务，加强数值模拟仿真技术在工艺优化中的应用，推动行业企业工艺革新、装备升级、管理优化和生产过程智能化。鼓励装备制造业龙头企业开放应用场景，加大国产工业软件应用创新，建设数字化协同平台，带动上下游企业同步实施智能制造，引导中小企业上云用平台，推进供应链协同制造和新技术新模式创新应用。大力开展智能制造示范推广，梳理遴选一批铸造和锻压领域智能制造典型场景，建设一批智能制造示范工厂，培育一批优质系统解决方案供应商。强化铸造和锻压行业智能制造标准体系建设，鼓励企业开展智能制造能力成熟度评估。</w:t>
                  </w:r>
                </w:p>
              </w:tc>
              <w:tc>
                <w:tcPr>
                  <w:tcW w:w="1727" w:type="pct"/>
                  <w:gridSpan w:val="2"/>
                  <w:shd w:val="clear" w:color="auto" w:fill="auto"/>
                  <w:vAlign w:val="center"/>
                </w:tcPr>
                <w:p w14:paraId="6ADA900B">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本项目压铸过程自动加料、自动出料，全自动运行，控制系统采用</w:t>
                  </w:r>
                  <w:r>
                    <w:rPr>
                      <w:rFonts w:hint="eastAsia" w:cs="Times New Roman"/>
                      <w:color w:val="auto"/>
                      <w:sz w:val="21"/>
                      <w:szCs w:val="21"/>
                      <w:lang w:val="en-US" w:eastAsia="zh-CN"/>
                    </w:rPr>
                    <w:t>P</w:t>
                  </w:r>
                  <w:r>
                    <w:rPr>
                      <w:rFonts w:hint="default" w:ascii="Times New Roman" w:hAnsi="Times New Roman" w:cs="Times New Roman"/>
                      <w:color w:val="auto"/>
                      <w:sz w:val="21"/>
                      <w:szCs w:val="21"/>
                      <w:lang w:val="en-US" w:eastAsia="zh-CN"/>
                    </w:rPr>
                    <w:t>LC</w:t>
                  </w:r>
                  <w:r>
                    <w:rPr>
                      <w:rFonts w:hint="eastAsia" w:ascii="Times New Roman" w:hAnsi="Times New Roman" w:cs="Times New Roman"/>
                      <w:color w:val="auto"/>
                      <w:sz w:val="21"/>
                      <w:szCs w:val="21"/>
                      <w:lang w:val="en-US" w:eastAsia="zh-CN"/>
                    </w:rPr>
                    <w:t>可编程控制器，熔化炉温控系统实时检测炉内温度。</w:t>
                  </w:r>
                </w:p>
              </w:tc>
            </w:tr>
            <w:tr w14:paraId="2B464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restart"/>
                  <w:shd w:val="clear" w:color="auto" w:fill="auto"/>
                  <w:vAlign w:val="center"/>
                </w:tcPr>
                <w:p w14:paraId="14B91A82">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提升行业质量效益</w:t>
                  </w:r>
                </w:p>
              </w:tc>
              <w:tc>
                <w:tcPr>
                  <w:tcW w:w="2672" w:type="pct"/>
                  <w:gridSpan w:val="2"/>
                  <w:shd w:val="clear" w:color="auto" w:fill="auto"/>
                  <w:vAlign w:val="center"/>
                </w:tcPr>
                <w:p w14:paraId="1448FF53">
                  <w:pPr>
                    <w:pStyle w:val="66"/>
                    <w:keepNext w:val="0"/>
                    <w:keepLines w:val="0"/>
                    <w:suppressLineNumbers w:val="0"/>
                    <w:spacing w:before="0" w:beforeAutospacing="0" w:after="0" w:afterAutospacing="0" w:line="240" w:lineRule="auto"/>
                    <w:ind w:right="0" w:rightChars="0"/>
                    <w:jc w:val="left"/>
                    <w:rPr>
                      <w:rFonts w:hint="eastAsia" w:cs="Times New Roman"/>
                      <w:color w:val="auto"/>
                      <w:sz w:val="21"/>
                      <w:szCs w:val="21"/>
                      <w:lang w:val="en-US" w:eastAsia="zh-CN"/>
                    </w:rPr>
                  </w:pPr>
                  <w:r>
                    <w:rPr>
                      <w:rFonts w:hint="eastAsia" w:cs="Times New Roman"/>
                      <w:color w:val="auto"/>
                      <w:sz w:val="21"/>
                      <w:szCs w:val="21"/>
                      <w:lang w:val="en-US" w:eastAsia="zh-CN"/>
                    </w:rPr>
                    <w:t>强化标准引领。着力建设和完善新型铸造和锻压标准体系，促进国家标准、行业标准、地方标准、团体标准等协调发展。围绕行业发展特点和要求，对标国际先进能效水平，及时开展标准制修订、推广应用等工作。建立健全行业能耗、物耗、污染防治、资源综合利用及清洁生产等标准规范，引导企业向清洁、高效、低碳、循环方向发展。深度参与国际标准制定，推动优势领域标准加快向国际标准转化。</w:t>
                  </w:r>
                </w:p>
              </w:tc>
              <w:tc>
                <w:tcPr>
                  <w:tcW w:w="1727" w:type="pct"/>
                  <w:gridSpan w:val="2"/>
                  <w:shd w:val="clear" w:color="auto" w:fill="auto"/>
                  <w:vAlign w:val="center"/>
                </w:tcPr>
                <w:p w14:paraId="3200A194">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本项目符合各项标准规范，本次建设对公司转型提升有极大的促进作用，有利于公司向清洁、高效、低碳、循环方向发展。</w:t>
                  </w:r>
                </w:p>
              </w:tc>
            </w:tr>
            <w:tr w14:paraId="23517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continue"/>
                  <w:shd w:val="clear" w:color="auto" w:fill="auto"/>
                  <w:vAlign w:val="center"/>
                </w:tcPr>
                <w:p w14:paraId="5CE676B1">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2E7BEADC">
                  <w:pPr>
                    <w:pStyle w:val="66"/>
                    <w:keepNext w:val="0"/>
                    <w:keepLines w:val="0"/>
                    <w:suppressLineNumbers w:val="0"/>
                    <w:spacing w:before="0" w:beforeAutospacing="0" w:after="0" w:afterAutospacing="0" w:line="240" w:lineRule="auto"/>
                    <w:ind w:right="0" w:rightChars="0"/>
                    <w:jc w:val="left"/>
                    <w:rPr>
                      <w:rFonts w:hint="eastAsia" w:cs="Times New Roman"/>
                      <w:color w:val="auto"/>
                      <w:sz w:val="21"/>
                      <w:szCs w:val="21"/>
                      <w:lang w:val="en-US" w:eastAsia="zh-CN"/>
                    </w:rPr>
                  </w:pPr>
                  <w:r>
                    <w:rPr>
                      <w:rFonts w:hint="eastAsia" w:cs="Times New Roman"/>
                      <w:color w:val="auto"/>
                      <w:sz w:val="21"/>
                      <w:szCs w:val="21"/>
                      <w:lang w:val="en-US" w:eastAsia="zh-CN"/>
                    </w:rPr>
                    <w:t>提升产品质量。加强企业质量保障体系建设，推进标准、认证、计量、检测检验、质量控制技术等在企业质量控制与质量管理中的应用。引导企业开展质量追溯、风险分析和质量改进，提升质量管理水平。进一步加强知识产权保护，引导企业建立以质量为基础的品牌发展战略，提升品牌形象和影响力。鼓励行业协会及专业机构建立铸造和锻压生产全流程质量控制与评价标准，着力提升产品质量稳定性、一致性和可靠性。</w:t>
                  </w:r>
                </w:p>
              </w:tc>
              <w:tc>
                <w:tcPr>
                  <w:tcW w:w="1727" w:type="pct"/>
                  <w:gridSpan w:val="2"/>
                  <w:shd w:val="clear" w:color="auto" w:fill="auto"/>
                  <w:vAlign w:val="center"/>
                </w:tcPr>
                <w:p w14:paraId="183C57C1">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本项目将严格落实生产中各个环节的检验检测任务，确保产品质量不断提升。</w:t>
                  </w:r>
                </w:p>
              </w:tc>
            </w:tr>
            <w:tr w14:paraId="33D58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7B265785">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cs="Times New Roman"/>
                      <w:b/>
                      <w:bCs/>
                      <w:color w:val="auto"/>
                      <w:sz w:val="21"/>
                      <w:szCs w:val="21"/>
                      <w:lang w:val="en-US" w:eastAsia="zh-CN"/>
                    </w:rPr>
                    <w:t>《江苏省铸造行业大气污染综合治理方案》（苏环办〔</w:t>
                  </w:r>
                  <w:r>
                    <w:rPr>
                      <w:rFonts w:hint="default" w:cs="Times New Roman"/>
                      <w:b/>
                      <w:bCs/>
                      <w:color w:val="auto"/>
                      <w:sz w:val="21"/>
                      <w:szCs w:val="21"/>
                      <w:lang w:val="en-US" w:eastAsia="zh-CN"/>
                    </w:rPr>
                    <w:t>2023</w:t>
                  </w:r>
                  <w:r>
                    <w:rPr>
                      <w:rFonts w:hint="eastAsia" w:cs="Times New Roman"/>
                      <w:b/>
                      <w:bCs/>
                      <w:color w:val="auto"/>
                      <w:sz w:val="21"/>
                      <w:szCs w:val="21"/>
                      <w:lang w:val="en-US" w:eastAsia="zh-CN"/>
                    </w:rPr>
                    <w:t>〕</w:t>
                  </w:r>
                  <w:r>
                    <w:rPr>
                      <w:rFonts w:hint="default" w:cs="Times New Roman"/>
                      <w:b/>
                      <w:bCs/>
                      <w:color w:val="auto"/>
                      <w:sz w:val="21"/>
                      <w:szCs w:val="21"/>
                      <w:lang w:val="en-US" w:eastAsia="zh-CN"/>
                    </w:rPr>
                    <w:t>242</w:t>
                  </w:r>
                  <w:r>
                    <w:rPr>
                      <w:rFonts w:hint="eastAsia" w:cs="Times New Roman"/>
                      <w:b/>
                      <w:bCs/>
                      <w:color w:val="auto"/>
                      <w:sz w:val="21"/>
                      <w:szCs w:val="21"/>
                      <w:lang w:val="en-US" w:eastAsia="zh-CN"/>
                    </w:rPr>
                    <w:t>号）</w:t>
                  </w:r>
                </w:p>
              </w:tc>
            </w:tr>
            <w:tr w14:paraId="00CBB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shd w:val="clear" w:color="auto" w:fill="auto"/>
                  <w:vAlign w:val="center"/>
                </w:tcPr>
                <w:p w14:paraId="6F95C640">
                  <w:pPr>
                    <w:pStyle w:val="66"/>
                    <w:keepNext w:val="0"/>
                    <w:keepLines w:val="0"/>
                    <w:suppressLineNumbers w:val="0"/>
                    <w:spacing w:before="0" w:beforeAutospacing="0" w:after="0" w:afterAutospacing="0" w:line="240" w:lineRule="auto"/>
                    <w:ind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二、大气污染防治要求</w:t>
                  </w:r>
                </w:p>
              </w:tc>
              <w:tc>
                <w:tcPr>
                  <w:tcW w:w="2672" w:type="pct"/>
                  <w:gridSpan w:val="2"/>
                  <w:shd w:val="clear" w:color="auto" w:fill="auto"/>
                  <w:vAlign w:val="center"/>
                </w:tcPr>
                <w:p w14:paraId="193289B5">
                  <w:pPr>
                    <w:pStyle w:val="66"/>
                    <w:keepNext w:val="0"/>
                    <w:keepLines w:val="0"/>
                    <w:suppressLineNumbers w:val="0"/>
                    <w:spacing w:before="0" w:beforeAutospacing="0" w:after="0" w:afterAutospacing="0" w:line="240" w:lineRule="auto"/>
                    <w:ind w:right="0" w:rightChars="0"/>
                    <w:jc w:val="left"/>
                    <w:rPr>
                      <w:rFonts w:hint="eastAsia" w:cs="Times New Roman"/>
                      <w:color w:val="auto"/>
                      <w:sz w:val="21"/>
                      <w:szCs w:val="21"/>
                      <w:lang w:val="en-US" w:eastAsia="zh-CN"/>
                    </w:rPr>
                  </w:pPr>
                  <w:r>
                    <w:rPr>
                      <w:rFonts w:hint="eastAsia" w:cs="Times New Roman"/>
                      <w:color w:val="auto"/>
                      <w:sz w:val="21"/>
                      <w:szCs w:val="21"/>
                      <w:lang w:val="en-US" w:eastAsia="zh-CN"/>
                    </w:rPr>
                    <w:t xml:space="preserve">（一）有组织排放控制要求 </w:t>
                  </w:r>
                </w:p>
                <w:p w14:paraId="6D84D1AE">
                  <w:pPr>
                    <w:pStyle w:val="66"/>
                    <w:keepNext w:val="0"/>
                    <w:keepLines w:val="0"/>
                    <w:suppressLineNumbers w:val="0"/>
                    <w:spacing w:before="0" w:beforeAutospacing="0" w:after="0" w:afterAutospacing="0" w:line="240" w:lineRule="auto"/>
                    <w:ind w:right="0" w:rightChars="0"/>
                    <w:jc w:val="left"/>
                    <w:rPr>
                      <w:rFonts w:hint="eastAsia" w:cs="Times New Roman"/>
                      <w:color w:val="auto"/>
                      <w:sz w:val="21"/>
                      <w:szCs w:val="21"/>
                      <w:lang w:val="en-US" w:eastAsia="zh-CN"/>
                    </w:rPr>
                  </w:pPr>
                  <w:r>
                    <w:rPr>
                      <w:rFonts w:hint="eastAsia" w:cs="Times New Roman"/>
                      <w:color w:val="auto"/>
                      <w:sz w:val="21"/>
                      <w:szCs w:val="21"/>
                      <w:lang w:val="en-US" w:eastAsia="zh-CN"/>
                    </w:rPr>
                    <w:t>冲天炉烟气颗粒物、二氧化硫、氮氧化物浓度小时均值分别不高于</w:t>
                  </w:r>
                  <w:r>
                    <w:rPr>
                      <w:rFonts w:hint="default" w:cs="Times New Roman"/>
                      <w:color w:val="auto"/>
                      <w:sz w:val="21"/>
                      <w:szCs w:val="21"/>
                      <w:lang w:val="en-US" w:eastAsia="zh-CN"/>
                    </w:rPr>
                    <w:t>40</w:t>
                  </w:r>
                  <w:r>
                    <w:rPr>
                      <w:rFonts w:hint="eastAsia" w:cs="Times New Roman"/>
                      <w:color w:val="auto"/>
                      <w:sz w:val="21"/>
                      <w:szCs w:val="21"/>
                      <w:lang w:val="en-US" w:eastAsia="zh-CN"/>
                    </w:rPr>
                    <w:t>、</w:t>
                  </w:r>
                  <w:r>
                    <w:rPr>
                      <w:rFonts w:hint="default" w:cs="Times New Roman"/>
                      <w:color w:val="auto"/>
                      <w:sz w:val="21"/>
                      <w:szCs w:val="21"/>
                      <w:lang w:val="en-US" w:eastAsia="zh-CN"/>
                    </w:rPr>
                    <w:t>200</w:t>
                  </w:r>
                  <w:r>
                    <w:rPr>
                      <w:rFonts w:hint="eastAsia" w:cs="Times New Roman"/>
                      <w:color w:val="auto"/>
                      <w:sz w:val="21"/>
                      <w:szCs w:val="21"/>
                      <w:lang w:val="en-US" w:eastAsia="zh-CN"/>
                    </w:rPr>
                    <w:t>、</w:t>
                  </w:r>
                  <w:r>
                    <w:rPr>
                      <w:rFonts w:hint="default" w:cs="Times New Roman"/>
                      <w:color w:val="auto"/>
                      <w:sz w:val="21"/>
                      <w:szCs w:val="21"/>
                      <w:lang w:val="en-US" w:eastAsia="zh-CN"/>
                    </w:rPr>
                    <w:t>300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立方米；燃气炉烟气颗粒物、二氧化硫、氮氧化物浓度小时均值分别不高于</w:t>
                  </w:r>
                  <w:r>
                    <w:rPr>
                      <w:rFonts w:hint="default" w:cs="Times New Roman"/>
                      <w:color w:val="auto"/>
                      <w:sz w:val="21"/>
                      <w:szCs w:val="21"/>
                      <w:lang w:val="en-US" w:eastAsia="zh-CN"/>
                    </w:rPr>
                    <w:t>30</w:t>
                  </w:r>
                  <w:r>
                    <w:rPr>
                      <w:rFonts w:hint="eastAsia" w:cs="Times New Roman"/>
                      <w:color w:val="auto"/>
                      <w:sz w:val="21"/>
                      <w:szCs w:val="21"/>
                      <w:lang w:val="en-US" w:eastAsia="zh-CN"/>
                    </w:rPr>
                    <w:t>、</w:t>
                  </w:r>
                  <w:r>
                    <w:rPr>
                      <w:rFonts w:hint="default" w:cs="Times New Roman"/>
                      <w:color w:val="auto"/>
                      <w:sz w:val="21"/>
                      <w:szCs w:val="21"/>
                      <w:lang w:val="en-US" w:eastAsia="zh-CN"/>
                    </w:rPr>
                    <w:t>100</w:t>
                  </w:r>
                  <w:r>
                    <w:rPr>
                      <w:rFonts w:hint="eastAsia" w:cs="Times New Roman"/>
                      <w:color w:val="auto"/>
                      <w:sz w:val="21"/>
                      <w:szCs w:val="21"/>
                      <w:lang w:val="en-US" w:eastAsia="zh-CN"/>
                    </w:rPr>
                    <w:t>、</w:t>
                  </w:r>
                  <w:r>
                    <w:rPr>
                      <w:rFonts w:hint="default" w:cs="Times New Roman"/>
                      <w:color w:val="auto"/>
                      <w:sz w:val="21"/>
                      <w:szCs w:val="21"/>
                      <w:lang w:val="en-US" w:eastAsia="zh-CN"/>
                    </w:rPr>
                    <w:t>400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立方米；电弧炉、感应电炉、精炼炉等其他熔炼（化）炉、保温炉烟气颗粒物浓度小时均值不高于</w:t>
                  </w:r>
                  <w:r>
                    <w:rPr>
                      <w:rFonts w:hint="default" w:cs="Times New Roman"/>
                      <w:color w:val="auto"/>
                      <w:sz w:val="21"/>
                      <w:szCs w:val="21"/>
                      <w:lang w:val="en-US" w:eastAsia="zh-CN"/>
                    </w:rPr>
                    <w:t>30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立方米。自硬砂及干砂等造型设备、落砂机和抛（喷）丸机等清理设备、加砂和制芯设备、浇注区的颗粒物浓度小时均值不高于3</w:t>
                  </w:r>
                  <w:r>
                    <w:rPr>
                      <w:rFonts w:hint="default" w:cs="Times New Roman"/>
                      <w:color w:val="auto"/>
                      <w:sz w:val="21"/>
                      <w:szCs w:val="21"/>
                      <w:lang w:val="en-US" w:eastAsia="zh-CN"/>
                    </w:rPr>
                    <w:t>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立方米。砂处理及废砂再生设备烟气颗粒物、二氧化硫、氮氧化物浓度小时均值分别不高于</w:t>
                  </w:r>
                  <w:r>
                    <w:rPr>
                      <w:rFonts w:hint="default" w:cs="Times New Roman"/>
                      <w:color w:val="auto"/>
                      <w:sz w:val="21"/>
                      <w:szCs w:val="21"/>
                      <w:lang w:val="en-US" w:eastAsia="zh-CN"/>
                    </w:rPr>
                    <w:t>30</w:t>
                  </w:r>
                  <w:r>
                    <w:rPr>
                      <w:rFonts w:hint="eastAsia" w:cs="Times New Roman"/>
                      <w:color w:val="auto"/>
                      <w:sz w:val="21"/>
                      <w:szCs w:val="21"/>
                      <w:lang w:val="en-US" w:eastAsia="zh-CN"/>
                    </w:rPr>
                    <w:t>、</w:t>
                  </w:r>
                  <w:r>
                    <w:rPr>
                      <w:rFonts w:hint="default" w:cs="Times New Roman"/>
                      <w:color w:val="auto"/>
                      <w:sz w:val="21"/>
                      <w:szCs w:val="21"/>
                      <w:lang w:val="en-US" w:eastAsia="zh-CN"/>
                    </w:rPr>
                    <w:t>150</w:t>
                  </w:r>
                  <w:r>
                    <w:rPr>
                      <w:rFonts w:hint="eastAsia" w:cs="Times New Roman"/>
                      <w:color w:val="auto"/>
                      <w:sz w:val="21"/>
                      <w:szCs w:val="21"/>
                      <w:lang w:val="en-US" w:eastAsia="zh-CN"/>
                    </w:rPr>
                    <w:t>、</w:t>
                  </w:r>
                  <w:r>
                    <w:rPr>
                      <w:rFonts w:hint="default" w:cs="Times New Roman"/>
                      <w:color w:val="auto"/>
                      <w:sz w:val="21"/>
                      <w:szCs w:val="21"/>
                      <w:lang w:val="en-US" w:eastAsia="zh-CN"/>
                    </w:rPr>
                    <w:t>300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立方米；铸件热处理设备烟气颗粒物、二氧化硫、氮氧化物浓度小时均值分别不高于</w:t>
                  </w:r>
                  <w:r>
                    <w:rPr>
                      <w:rFonts w:hint="default" w:cs="Times New Roman"/>
                      <w:color w:val="auto"/>
                      <w:sz w:val="21"/>
                      <w:szCs w:val="21"/>
                      <w:lang w:val="en-US" w:eastAsia="zh-CN"/>
                    </w:rPr>
                    <w:t>30</w:t>
                  </w:r>
                  <w:r>
                    <w:rPr>
                      <w:rFonts w:hint="eastAsia" w:cs="Times New Roman"/>
                      <w:color w:val="auto"/>
                      <w:sz w:val="21"/>
                      <w:szCs w:val="21"/>
                      <w:lang w:val="en-US" w:eastAsia="zh-CN"/>
                    </w:rPr>
                    <w:t>、</w:t>
                  </w:r>
                  <w:r>
                    <w:rPr>
                      <w:rFonts w:hint="default" w:cs="Times New Roman"/>
                      <w:color w:val="auto"/>
                      <w:sz w:val="21"/>
                      <w:szCs w:val="21"/>
                      <w:lang w:val="en-US" w:eastAsia="zh-CN"/>
                    </w:rPr>
                    <w:t>100</w:t>
                  </w:r>
                  <w:r>
                    <w:rPr>
                      <w:rFonts w:hint="eastAsia" w:cs="Times New Roman"/>
                      <w:color w:val="auto"/>
                      <w:sz w:val="21"/>
                      <w:szCs w:val="21"/>
                      <w:lang w:val="en-US" w:eastAsia="zh-CN"/>
                    </w:rPr>
                    <w:t>、</w:t>
                  </w:r>
                  <w:r>
                    <w:rPr>
                      <w:rFonts w:hint="default" w:cs="Times New Roman"/>
                      <w:color w:val="auto"/>
                      <w:sz w:val="21"/>
                      <w:szCs w:val="21"/>
                      <w:lang w:val="en-US" w:eastAsia="zh-CN"/>
                    </w:rPr>
                    <w:t>300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立方米。表面涂装设备（线）烟气的颗粒物、苯、苯系物、</w:t>
                  </w:r>
                  <w:r>
                    <w:rPr>
                      <w:rFonts w:hint="default" w:cs="Times New Roman"/>
                      <w:color w:val="auto"/>
                      <w:sz w:val="21"/>
                      <w:szCs w:val="21"/>
                      <w:lang w:val="en-US" w:eastAsia="zh-CN"/>
                    </w:rPr>
                    <w:t>NMHC</w:t>
                  </w:r>
                  <w:r>
                    <w:rPr>
                      <w:rFonts w:hint="eastAsia" w:cs="Times New Roman"/>
                      <w:color w:val="auto"/>
                      <w:sz w:val="21"/>
                      <w:szCs w:val="21"/>
                      <w:lang w:val="en-US" w:eastAsia="zh-CN"/>
                    </w:rPr>
                    <w:t>（非甲烷总烃）、</w:t>
                  </w:r>
                  <w:r>
                    <w:rPr>
                      <w:rFonts w:hint="default" w:cs="Times New Roman"/>
                      <w:color w:val="auto"/>
                      <w:sz w:val="21"/>
                      <w:szCs w:val="21"/>
                      <w:lang w:val="en-US" w:eastAsia="zh-CN"/>
                    </w:rPr>
                    <w:t>TVOC</w:t>
                  </w:r>
                  <w:r>
                    <w:rPr>
                      <w:rFonts w:hint="eastAsia" w:cs="Times New Roman"/>
                      <w:color w:val="auto"/>
                      <w:sz w:val="21"/>
                      <w:szCs w:val="21"/>
                      <w:lang w:val="en-US" w:eastAsia="zh-CN"/>
                    </w:rPr>
                    <w:t>（总挥发性有机物）浓度小时均值分别不高于</w:t>
                  </w:r>
                  <w:r>
                    <w:rPr>
                      <w:rFonts w:hint="default" w:cs="Times New Roman"/>
                      <w:color w:val="auto"/>
                      <w:sz w:val="21"/>
                      <w:szCs w:val="21"/>
                      <w:lang w:val="en-US" w:eastAsia="zh-CN"/>
                    </w:rPr>
                    <w:t>30</w:t>
                  </w:r>
                  <w:r>
                    <w:rPr>
                      <w:rFonts w:hint="eastAsia" w:cs="Times New Roman"/>
                      <w:color w:val="auto"/>
                      <w:sz w:val="21"/>
                      <w:szCs w:val="21"/>
                      <w:lang w:val="en-US" w:eastAsia="zh-CN"/>
                    </w:rPr>
                    <w:t>、</w:t>
                  </w:r>
                  <w:r>
                    <w:rPr>
                      <w:rFonts w:hint="default" w:cs="Times New Roman"/>
                      <w:color w:val="auto"/>
                      <w:sz w:val="21"/>
                      <w:szCs w:val="21"/>
                      <w:lang w:val="en-US" w:eastAsia="zh-CN"/>
                    </w:rPr>
                    <w:t>1</w:t>
                  </w:r>
                  <w:r>
                    <w:rPr>
                      <w:rFonts w:hint="eastAsia" w:cs="Times New Roman"/>
                      <w:color w:val="auto"/>
                      <w:sz w:val="21"/>
                      <w:szCs w:val="21"/>
                      <w:lang w:val="en-US" w:eastAsia="zh-CN"/>
                    </w:rPr>
                    <w:t>、</w:t>
                  </w:r>
                  <w:r>
                    <w:rPr>
                      <w:rFonts w:hint="default" w:cs="Times New Roman"/>
                      <w:color w:val="auto"/>
                      <w:sz w:val="21"/>
                      <w:szCs w:val="21"/>
                      <w:lang w:val="en-US" w:eastAsia="zh-CN"/>
                    </w:rPr>
                    <w:t>60</w:t>
                  </w:r>
                  <w:r>
                    <w:rPr>
                      <w:rFonts w:hint="eastAsia" w:cs="Times New Roman"/>
                      <w:color w:val="auto"/>
                      <w:sz w:val="21"/>
                      <w:szCs w:val="21"/>
                      <w:lang w:val="en-US" w:eastAsia="zh-CN"/>
                    </w:rPr>
                    <w:t>、</w:t>
                  </w:r>
                  <w:r>
                    <w:rPr>
                      <w:rFonts w:hint="default" w:cs="Times New Roman"/>
                      <w:color w:val="auto"/>
                      <w:sz w:val="21"/>
                      <w:szCs w:val="21"/>
                      <w:lang w:val="en-US" w:eastAsia="zh-CN"/>
                    </w:rPr>
                    <w:t>100</w:t>
                  </w:r>
                  <w:r>
                    <w:rPr>
                      <w:rFonts w:hint="eastAsia" w:cs="Times New Roman"/>
                      <w:color w:val="auto"/>
                      <w:sz w:val="21"/>
                      <w:szCs w:val="21"/>
                      <w:lang w:val="en-US" w:eastAsia="zh-CN"/>
                    </w:rPr>
                    <w:t>、</w:t>
                  </w:r>
                  <w:r>
                    <w:rPr>
                      <w:rFonts w:hint="default" w:cs="Times New Roman"/>
                      <w:color w:val="auto"/>
                      <w:sz w:val="21"/>
                      <w:szCs w:val="21"/>
                      <w:lang w:val="en-US" w:eastAsia="zh-CN"/>
                    </w:rPr>
                    <w:t>120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立方米。其他生产工序或设备、设施烟气颗粒物浓度不高于</w:t>
                  </w:r>
                  <w:r>
                    <w:rPr>
                      <w:rFonts w:hint="default" w:cs="Times New Roman"/>
                      <w:color w:val="auto"/>
                      <w:sz w:val="21"/>
                      <w:szCs w:val="21"/>
                      <w:lang w:val="en-US" w:eastAsia="zh-CN"/>
                    </w:rPr>
                    <w:t>30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立方米。车间或生产设施排气中</w:t>
                  </w:r>
                  <w:r>
                    <w:rPr>
                      <w:rFonts w:hint="default" w:cs="Times New Roman"/>
                      <w:color w:val="auto"/>
                      <w:sz w:val="21"/>
                      <w:szCs w:val="21"/>
                      <w:lang w:val="en-US" w:eastAsia="zh-CN"/>
                    </w:rPr>
                    <w:t>NMHC</w:t>
                  </w:r>
                  <w:r>
                    <w:rPr>
                      <w:rFonts w:hint="eastAsia" w:cs="Times New Roman"/>
                      <w:color w:val="auto"/>
                      <w:sz w:val="21"/>
                      <w:szCs w:val="21"/>
                      <w:lang w:val="en-US" w:eastAsia="zh-CN"/>
                    </w:rPr>
                    <w:t>初始排放速率</w:t>
                  </w:r>
                  <w:r>
                    <w:rPr>
                      <w:rFonts w:hint="default" w:cs="Times New Roman"/>
                      <w:color w:val="auto"/>
                      <w:sz w:val="21"/>
                      <w:szCs w:val="21"/>
                      <w:lang w:val="en-US" w:eastAsia="zh-CN"/>
                    </w:rPr>
                    <w:t>≥2kg/h</w:t>
                  </w:r>
                  <w:r>
                    <w:rPr>
                      <w:rFonts w:hint="eastAsia" w:cs="Times New Roman"/>
                      <w:color w:val="auto"/>
                      <w:sz w:val="21"/>
                      <w:szCs w:val="21"/>
                      <w:lang w:val="en-US" w:eastAsia="zh-CN"/>
                    </w:rPr>
                    <w:t>的，</w:t>
                  </w:r>
                  <w:r>
                    <w:rPr>
                      <w:rFonts w:hint="default" w:cs="Times New Roman"/>
                      <w:color w:val="auto"/>
                      <w:sz w:val="21"/>
                      <w:szCs w:val="21"/>
                      <w:lang w:val="en-US" w:eastAsia="zh-CN"/>
                    </w:rPr>
                    <w:t>VOCs</w:t>
                  </w:r>
                  <w:r>
                    <w:rPr>
                      <w:rFonts w:hint="eastAsia" w:cs="Times New Roman"/>
                      <w:color w:val="auto"/>
                      <w:sz w:val="21"/>
                      <w:szCs w:val="21"/>
                      <w:lang w:val="en-US" w:eastAsia="zh-CN"/>
                    </w:rPr>
                    <w:t>（挥发性有机物）处理设施的处理效率不低于</w:t>
                  </w:r>
                  <w:r>
                    <w:rPr>
                      <w:rFonts w:hint="default" w:cs="Times New Roman"/>
                      <w:color w:val="auto"/>
                      <w:sz w:val="21"/>
                      <w:szCs w:val="21"/>
                      <w:lang w:val="en-US" w:eastAsia="zh-CN"/>
                    </w:rPr>
                    <w:t>80%</w:t>
                  </w:r>
                  <w:r>
                    <w:rPr>
                      <w:rFonts w:hint="eastAsia" w:cs="Times New Roman"/>
                      <w:color w:val="auto"/>
                      <w:sz w:val="21"/>
                      <w:szCs w:val="21"/>
                      <w:lang w:val="en-US" w:eastAsia="zh-CN"/>
                    </w:rPr>
                    <w:t>。</w:t>
                  </w:r>
                </w:p>
              </w:tc>
              <w:tc>
                <w:tcPr>
                  <w:tcW w:w="1727" w:type="pct"/>
                  <w:gridSpan w:val="2"/>
                  <w:shd w:val="clear" w:color="auto" w:fill="auto"/>
                  <w:vAlign w:val="center"/>
                </w:tcPr>
                <w:p w14:paraId="57BA0099">
                  <w:pPr>
                    <w:pStyle w:val="66"/>
                    <w:keepNext w:val="0"/>
                    <w:keepLines w:val="0"/>
                    <w:suppressLineNumbers w:val="0"/>
                    <w:spacing w:before="0" w:beforeAutospacing="0" w:after="0" w:afterAutospacing="0" w:line="240" w:lineRule="auto"/>
                    <w:ind w:right="0" w:right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本项目采用天然气加热熔化铝锭，熔化、压铸废气颗粒物排放浓度＜</w:t>
                  </w:r>
                  <w:r>
                    <w:rPr>
                      <w:rFonts w:hint="default" w:ascii="Times New Roman" w:hAnsi="Times New Roman" w:cs="Times New Roman"/>
                      <w:color w:val="auto"/>
                      <w:sz w:val="21"/>
                      <w:szCs w:val="21"/>
                      <w:lang w:val="en-US" w:eastAsia="zh-CN"/>
                    </w:rPr>
                    <w:t>30mg/m</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，满足《铸造工业大气污染物排放标准》（</w:t>
                  </w:r>
                  <w:r>
                    <w:rPr>
                      <w:rFonts w:hint="default" w:ascii="Times New Roman" w:hAnsi="Times New Roman" w:cs="Times New Roman"/>
                      <w:color w:val="auto"/>
                      <w:sz w:val="21"/>
                      <w:szCs w:val="21"/>
                      <w:lang w:val="en-US" w:eastAsia="zh-CN"/>
                    </w:rPr>
                    <w:t>GB39276-2020</w:t>
                  </w:r>
                  <w:r>
                    <w:rPr>
                      <w:rFonts w:hint="eastAsia" w:ascii="Times New Roman" w:hAnsi="Times New Roman" w:cs="Times New Roman"/>
                      <w:color w:val="auto"/>
                      <w:sz w:val="21"/>
                      <w:szCs w:val="21"/>
                      <w:lang w:val="en-US" w:eastAsia="zh-CN"/>
                    </w:rPr>
                    <w:t>）表</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限值；</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（挥发性有机物）处理设施的处理效率不低于</w:t>
                  </w:r>
                  <w:r>
                    <w:rPr>
                      <w:rFonts w:hint="default" w:ascii="Times New Roman" w:hAnsi="Times New Roman" w:cs="Times New Roman"/>
                      <w:color w:val="auto"/>
                      <w:sz w:val="21"/>
                      <w:szCs w:val="21"/>
                      <w:lang w:val="en-US" w:eastAsia="zh-CN"/>
                    </w:rPr>
                    <w:t>90%</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相符。</w:t>
                  </w:r>
                </w:p>
              </w:tc>
            </w:tr>
            <w:tr w14:paraId="68EC7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shd w:val="clear" w:color="auto" w:fill="auto"/>
                  <w:vAlign w:val="center"/>
                </w:tcPr>
                <w:p w14:paraId="7D4DEFEA">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2A84AB9D">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 xml:space="preserve">（二）无组织排放控制要求 </w:t>
                  </w:r>
                </w:p>
                <w:p w14:paraId="4B5C82B8">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1.</w:t>
                  </w:r>
                  <w:r>
                    <w:rPr>
                      <w:rFonts w:hint="eastAsia" w:cs="Times New Roman"/>
                      <w:color w:val="auto"/>
                      <w:sz w:val="21"/>
                      <w:szCs w:val="21"/>
                      <w:lang w:val="en-US" w:eastAsia="zh-CN"/>
                    </w:rPr>
                    <w:t>颗粒物无组织排放控制要求。企业厂区内颗粒物无组织排放</w:t>
                  </w:r>
                  <w:r>
                    <w:rPr>
                      <w:rFonts w:hint="default" w:cs="Times New Roman"/>
                      <w:color w:val="auto"/>
                      <w:sz w:val="21"/>
                      <w:szCs w:val="21"/>
                      <w:lang w:val="en-US" w:eastAsia="zh-CN"/>
                    </w:rPr>
                    <w:t>1</w:t>
                  </w:r>
                  <w:r>
                    <w:rPr>
                      <w:rFonts w:hint="eastAsia" w:cs="Times New Roman"/>
                      <w:color w:val="auto"/>
                      <w:sz w:val="21"/>
                      <w:szCs w:val="21"/>
                      <w:lang w:val="en-US" w:eastAsia="zh-CN"/>
                    </w:rPr>
                    <w:t>小时平均浓度值不高于</w:t>
                  </w:r>
                  <w:r>
                    <w:rPr>
                      <w:rFonts w:hint="default" w:cs="Times New Roman"/>
                      <w:color w:val="auto"/>
                      <w:sz w:val="21"/>
                      <w:szCs w:val="21"/>
                      <w:lang w:val="en-US" w:eastAsia="zh-CN"/>
                    </w:rPr>
                    <w:t>5</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 xml:space="preserve">立方米。物料储存：煤粉、膨润土等粉状物料和硅砂应袋装或罐装，并储存于封闭储库或半封闭料场（堆棚）中。生铁、废钢、焦炭和铁合金等粒状、块状 </w:t>
                  </w:r>
                </w:p>
                <w:p w14:paraId="731083BB">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散装物料应储存于封闭储库、料仓中，或储存于半封闭料场（堆棚）中。物料转移和输送：粉状、粒状等易散发粉尘的物料厂内转移、输送过程，应封闭；转移、输送、装卸过程中产尘点应采取集气除尘措施，或喷淋（雾）等抑尘措施；除尘器卸灰口应采取遮挡等抑尘措施，除尘灰不得直接卸落到地面；除尘灰采取袋装、罐装等密闭措施收集、存放和运输；厂区道路应硬化，并采取定期清扫、洒水等措施，保持清洁。铸造：冲天炉加料口应为负压状态，防止粉尘外泄。废钢、回炉料等原料加工工序和孕育、变质、炉外精炼等金属液处理工序产尘点应安装集气罩，并配备除尘设施。造型、制芯、浇注工序产尘点应安装集气罩并配备除尘设施，或采取喷淋（雾）等抑尘措施。落砂、抛丸清理、砂处理工序应在封闭空间内操作，废气收集至除尘设施；未在封闭空间内操作的，应采用固定式、移动式集气设备，并配备除尘设施。清理（去除浇冒口、铲飞边毛刺等）和浇包、渣包的维修工序应在封闭空间内操作，废气收集至除尘设施；未在封闭空间内操作的，应采用固定式、移动式集气设备并配备除尘设施。车间外不得有可见烟粉尘外逸。</w:t>
                  </w:r>
                </w:p>
                <w:p w14:paraId="08B419EC">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2.VOCs</w:t>
                  </w:r>
                  <w:r>
                    <w:rPr>
                      <w:rFonts w:hint="eastAsia" w:cs="Times New Roman"/>
                      <w:color w:val="auto"/>
                      <w:sz w:val="21"/>
                      <w:szCs w:val="21"/>
                      <w:lang w:val="en-US" w:eastAsia="zh-CN"/>
                    </w:rPr>
                    <w:t>无组织排放控制要求。厂区内</w:t>
                  </w:r>
                  <w:r>
                    <w:rPr>
                      <w:rFonts w:hint="default" w:cs="Times New Roman"/>
                      <w:color w:val="auto"/>
                      <w:sz w:val="21"/>
                      <w:szCs w:val="21"/>
                      <w:lang w:val="en-US" w:eastAsia="zh-CN"/>
                    </w:rPr>
                    <w:t>NMHC</w:t>
                  </w:r>
                  <w:r>
                    <w:rPr>
                      <w:rFonts w:hint="eastAsia" w:cs="Times New Roman"/>
                      <w:color w:val="auto"/>
                      <w:sz w:val="21"/>
                      <w:szCs w:val="21"/>
                      <w:lang w:val="en-US" w:eastAsia="zh-CN"/>
                    </w:rPr>
                    <w:t>无组织排放</w:t>
                  </w:r>
                  <w:r>
                    <w:rPr>
                      <w:rFonts w:hint="default" w:cs="Times New Roman"/>
                      <w:color w:val="auto"/>
                      <w:sz w:val="21"/>
                      <w:szCs w:val="21"/>
                      <w:lang w:val="en-US" w:eastAsia="zh-CN"/>
                    </w:rPr>
                    <w:t>1</w:t>
                  </w:r>
                  <w:r>
                    <w:rPr>
                      <w:rFonts w:hint="eastAsia" w:cs="Times New Roman"/>
                      <w:color w:val="auto"/>
                      <w:sz w:val="21"/>
                      <w:szCs w:val="21"/>
                      <w:lang w:val="en-US" w:eastAsia="zh-CN"/>
                    </w:rPr>
                    <w:t>小时平均浓度不高于</w:t>
                  </w:r>
                  <w:r>
                    <w:rPr>
                      <w:rFonts w:hint="default" w:cs="Times New Roman"/>
                      <w:color w:val="auto"/>
                      <w:sz w:val="21"/>
                      <w:szCs w:val="21"/>
                      <w:lang w:val="en-US" w:eastAsia="zh-CN"/>
                    </w:rPr>
                    <w:t xml:space="preserve">10 </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立方米，任意一次浓度不高于</w:t>
                  </w:r>
                  <w:r>
                    <w:rPr>
                      <w:rFonts w:hint="default" w:cs="Times New Roman"/>
                      <w:color w:val="auto"/>
                      <w:sz w:val="21"/>
                      <w:szCs w:val="21"/>
                      <w:lang w:val="en-US" w:eastAsia="zh-CN"/>
                    </w:rPr>
                    <w:t>30</w:t>
                  </w:r>
                  <w:r>
                    <w:rPr>
                      <w:rFonts w:hint="eastAsia" w:cs="Times New Roman"/>
                      <w:color w:val="auto"/>
                      <w:sz w:val="21"/>
                      <w:szCs w:val="21"/>
                      <w:lang w:val="en-US" w:eastAsia="zh-CN"/>
                    </w:rPr>
                    <w:t>毫克</w:t>
                  </w:r>
                  <w:r>
                    <w:rPr>
                      <w:rFonts w:hint="default" w:cs="Times New Roman"/>
                      <w:color w:val="auto"/>
                      <w:sz w:val="21"/>
                      <w:szCs w:val="21"/>
                      <w:lang w:val="en-US" w:eastAsia="zh-CN"/>
                    </w:rPr>
                    <w:t>/</w:t>
                  </w:r>
                  <w:r>
                    <w:rPr>
                      <w:rFonts w:hint="eastAsia" w:cs="Times New Roman"/>
                      <w:color w:val="auto"/>
                      <w:sz w:val="21"/>
                      <w:szCs w:val="21"/>
                      <w:lang w:val="en-US" w:eastAsia="zh-CN"/>
                    </w:rPr>
                    <w:t>立方米。</w:t>
                  </w:r>
                  <w:r>
                    <w:rPr>
                      <w:rFonts w:hint="default" w:cs="Times New Roman"/>
                      <w:color w:val="auto"/>
                      <w:sz w:val="21"/>
                      <w:szCs w:val="21"/>
                      <w:lang w:val="en-US" w:eastAsia="zh-CN"/>
                    </w:rPr>
                    <w:t>VOCs</w:t>
                  </w:r>
                  <w:r>
                    <w:rPr>
                      <w:rFonts w:hint="eastAsia" w:cs="Times New Roman"/>
                      <w:color w:val="auto"/>
                      <w:sz w:val="21"/>
                      <w:szCs w:val="21"/>
                      <w:lang w:val="en-US" w:eastAsia="zh-CN"/>
                    </w:rPr>
                    <w:t>物料的储存和转移：涂料、树脂、固化剂、稀释剂、清洗剂等</w:t>
                  </w:r>
                  <w:r>
                    <w:rPr>
                      <w:rFonts w:hint="default" w:cs="Times New Roman"/>
                      <w:color w:val="auto"/>
                      <w:sz w:val="21"/>
                      <w:szCs w:val="21"/>
                      <w:lang w:val="en-US" w:eastAsia="zh-CN"/>
                    </w:rPr>
                    <w:t>VOCs</w:t>
                  </w:r>
                  <w:r>
                    <w:rPr>
                      <w:rFonts w:hint="eastAsia" w:cs="Times New Roman"/>
                      <w:color w:val="auto"/>
                      <w:sz w:val="21"/>
                      <w:szCs w:val="21"/>
                      <w:lang w:val="en-US" w:eastAsia="zh-CN"/>
                    </w:rPr>
                    <w:t>物料应储存于密闭的容器、包装袋、储库中。盛装</w:t>
                  </w:r>
                  <w:r>
                    <w:rPr>
                      <w:rFonts w:hint="default" w:cs="Times New Roman"/>
                      <w:color w:val="auto"/>
                      <w:sz w:val="21"/>
                      <w:szCs w:val="21"/>
                      <w:lang w:val="en-US" w:eastAsia="zh-CN"/>
                    </w:rPr>
                    <w:t>VOCs</w:t>
                  </w:r>
                  <w:r>
                    <w:rPr>
                      <w:rFonts w:hint="eastAsia" w:cs="Times New Roman"/>
                      <w:color w:val="auto"/>
                      <w:sz w:val="21"/>
                      <w:szCs w:val="21"/>
                      <w:lang w:val="en-US" w:eastAsia="zh-CN"/>
                    </w:rPr>
                    <w:t>物料的容器或包装袋应存放于室内，或存放于设置有雨棚、遮阳和防渗的专用场地；盛装</w:t>
                  </w:r>
                  <w:r>
                    <w:rPr>
                      <w:rFonts w:hint="default" w:cs="Times New Roman"/>
                      <w:color w:val="auto"/>
                      <w:sz w:val="21"/>
                      <w:szCs w:val="21"/>
                      <w:lang w:val="en-US" w:eastAsia="zh-CN"/>
                    </w:rPr>
                    <w:t>VOCs</w:t>
                  </w:r>
                  <w:r>
                    <w:rPr>
                      <w:rFonts w:hint="eastAsia" w:cs="Times New Roman"/>
                      <w:color w:val="auto"/>
                      <w:sz w:val="21"/>
                      <w:szCs w:val="21"/>
                      <w:lang w:val="en-US" w:eastAsia="zh-CN"/>
                    </w:rPr>
                    <w:t>物料的容器或包装袋在非取用状态时应加盖、封口，保持密闭；转移</w:t>
                  </w:r>
                  <w:r>
                    <w:rPr>
                      <w:rFonts w:hint="default" w:cs="Times New Roman"/>
                      <w:color w:val="auto"/>
                      <w:sz w:val="21"/>
                      <w:szCs w:val="21"/>
                      <w:lang w:val="en-US" w:eastAsia="zh-CN"/>
                    </w:rPr>
                    <w:t>VOCs</w:t>
                  </w:r>
                  <w:r>
                    <w:rPr>
                      <w:rFonts w:hint="eastAsia" w:cs="Times New Roman"/>
                      <w:color w:val="auto"/>
                      <w:sz w:val="21"/>
                      <w:szCs w:val="21"/>
                      <w:lang w:val="en-US" w:eastAsia="zh-CN"/>
                    </w:rPr>
                    <w:t>物料时，应采用密闭容器。表面涂装：表面涂装的配料、涂装和清洗作业应在密闭空间内进行，废气应排至废气收集处理系统；无法密闭的，应采取局部气体收集处理措施。设备与管线组件</w:t>
                  </w:r>
                  <w:r>
                    <w:rPr>
                      <w:rFonts w:hint="default" w:cs="Times New Roman"/>
                      <w:color w:val="auto"/>
                      <w:sz w:val="21"/>
                      <w:szCs w:val="21"/>
                      <w:lang w:val="en-US" w:eastAsia="zh-CN"/>
                    </w:rPr>
                    <w:t>VOCs</w:t>
                  </w:r>
                  <w:r>
                    <w:rPr>
                      <w:rFonts w:hint="eastAsia" w:cs="Times New Roman"/>
                      <w:color w:val="auto"/>
                      <w:sz w:val="21"/>
                      <w:szCs w:val="21"/>
                      <w:lang w:val="en-US" w:eastAsia="zh-CN"/>
                    </w:rPr>
                    <w:t>泄漏控制要求、敞开液面</w:t>
                  </w:r>
                  <w:r>
                    <w:rPr>
                      <w:rFonts w:hint="default" w:cs="Times New Roman"/>
                      <w:color w:val="auto"/>
                      <w:sz w:val="21"/>
                      <w:szCs w:val="21"/>
                      <w:lang w:val="en-US" w:eastAsia="zh-CN"/>
                    </w:rPr>
                    <w:t>VOCs</w:t>
                  </w:r>
                  <w:r>
                    <w:rPr>
                      <w:rFonts w:hint="eastAsia" w:cs="Times New Roman"/>
                      <w:color w:val="auto"/>
                      <w:sz w:val="21"/>
                      <w:szCs w:val="21"/>
                      <w:lang w:val="en-US" w:eastAsia="zh-CN"/>
                    </w:rPr>
                    <w:t>无组织排放控制要求等，应符合《挥发性有机物无组织排放控制标准》（</w:t>
                  </w:r>
                  <w:r>
                    <w:rPr>
                      <w:rFonts w:hint="default" w:cs="Times New Roman"/>
                      <w:color w:val="auto"/>
                      <w:sz w:val="21"/>
                      <w:szCs w:val="21"/>
                      <w:lang w:val="en-US" w:eastAsia="zh-CN"/>
                    </w:rPr>
                    <w:t>GB37822</w:t>
                  </w:r>
                  <w:r>
                    <w:rPr>
                      <w:rFonts w:hint="eastAsia" w:cs="Times New Roman"/>
                      <w:color w:val="auto"/>
                      <w:sz w:val="21"/>
                      <w:szCs w:val="21"/>
                      <w:lang w:val="en-US" w:eastAsia="zh-CN"/>
                    </w:rPr>
                    <w:t>-</w:t>
                  </w:r>
                  <w:r>
                    <w:rPr>
                      <w:rFonts w:hint="default" w:cs="Times New Roman"/>
                      <w:color w:val="auto"/>
                      <w:sz w:val="21"/>
                      <w:szCs w:val="21"/>
                      <w:lang w:val="en-US" w:eastAsia="zh-CN"/>
                    </w:rPr>
                    <w:t>2019</w:t>
                  </w:r>
                  <w:r>
                    <w:rPr>
                      <w:rFonts w:hint="eastAsia" w:cs="Times New Roman"/>
                      <w:color w:val="auto"/>
                      <w:sz w:val="21"/>
                      <w:szCs w:val="21"/>
                      <w:lang w:val="en-US" w:eastAsia="zh-CN"/>
                    </w:rPr>
                    <w:t>）。</w:t>
                  </w:r>
                </w:p>
              </w:tc>
              <w:tc>
                <w:tcPr>
                  <w:tcW w:w="1727" w:type="pct"/>
                  <w:gridSpan w:val="2"/>
                  <w:shd w:val="clear" w:color="auto" w:fill="auto"/>
                  <w:vAlign w:val="center"/>
                </w:tcPr>
                <w:p w14:paraId="0235DAF4">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①本项目无粉状物料，铝锭等固体物料存放于原料堆场内，暂存、运输过程中不涉及扬尘；</w:t>
                  </w:r>
                </w:p>
                <w:p w14:paraId="02C4545B">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②</w:t>
                  </w:r>
                  <w:r>
                    <w:rPr>
                      <w:rFonts w:hint="eastAsia" w:cs="Times New Roman"/>
                      <w:color w:val="auto"/>
                      <w:sz w:val="21"/>
                      <w:szCs w:val="21"/>
                      <w:lang w:val="en-US" w:eastAsia="zh-CN"/>
                    </w:rPr>
                    <w:t>天然气</w:t>
                  </w:r>
                  <w:r>
                    <w:rPr>
                      <w:rFonts w:hint="eastAsia" w:ascii="Times New Roman" w:hAnsi="Times New Roman" w:cs="Times New Roman"/>
                      <w:color w:val="auto"/>
                      <w:sz w:val="21"/>
                      <w:szCs w:val="21"/>
                      <w:lang w:val="en-US" w:eastAsia="zh-CN"/>
                    </w:rPr>
                    <w:t>熔化炉</w:t>
                  </w:r>
                  <w:r>
                    <w:rPr>
                      <w:rFonts w:hint="eastAsia" w:cs="Times New Roman"/>
                      <w:color w:val="auto"/>
                      <w:sz w:val="21"/>
                      <w:szCs w:val="21"/>
                      <w:lang w:val="en-US" w:eastAsia="zh-CN"/>
                    </w:rPr>
                    <w:t>、压铸机</w:t>
                  </w:r>
                  <w:r>
                    <w:rPr>
                      <w:rFonts w:hint="eastAsia" w:ascii="Times New Roman" w:hAnsi="Times New Roman" w:cs="Times New Roman"/>
                      <w:color w:val="auto"/>
                      <w:sz w:val="21"/>
                      <w:szCs w:val="21"/>
                      <w:lang w:val="en-US" w:eastAsia="zh-CN"/>
                    </w:rPr>
                    <w:t>上方设置集气罩，能有效收集熔化</w:t>
                  </w:r>
                  <w:r>
                    <w:rPr>
                      <w:rFonts w:hint="eastAsia" w:cs="Times New Roman"/>
                      <w:color w:val="auto"/>
                      <w:sz w:val="21"/>
                      <w:szCs w:val="21"/>
                      <w:lang w:val="en-US" w:eastAsia="zh-CN"/>
                    </w:rPr>
                    <w:t>、压铸</w:t>
                  </w:r>
                  <w:r>
                    <w:rPr>
                      <w:rFonts w:hint="eastAsia" w:ascii="Times New Roman" w:hAnsi="Times New Roman" w:cs="Times New Roman"/>
                      <w:color w:val="auto"/>
                      <w:sz w:val="21"/>
                      <w:szCs w:val="21"/>
                      <w:lang w:val="en-US" w:eastAsia="zh-CN"/>
                    </w:rPr>
                    <w:t>废气，熔化</w:t>
                  </w:r>
                  <w:r>
                    <w:rPr>
                      <w:rFonts w:hint="eastAsia" w:cs="Times New Roman"/>
                      <w:color w:val="auto"/>
                      <w:sz w:val="21"/>
                      <w:szCs w:val="21"/>
                      <w:lang w:val="en-US" w:eastAsia="zh-CN"/>
                    </w:rPr>
                    <w:t>、压铸</w:t>
                  </w:r>
                  <w:r>
                    <w:rPr>
                      <w:rFonts w:hint="eastAsia" w:ascii="Times New Roman" w:hAnsi="Times New Roman" w:cs="Times New Roman"/>
                      <w:color w:val="auto"/>
                      <w:sz w:val="21"/>
                      <w:szCs w:val="21"/>
                      <w:lang w:val="en-US" w:eastAsia="zh-CN"/>
                    </w:rPr>
                    <w:t>废气经过集气罩收集后经过“</w:t>
                  </w:r>
                  <w:r>
                    <w:rPr>
                      <w:rFonts w:hint="eastAsia" w:cs="Times New Roman"/>
                      <w:color w:val="auto"/>
                      <w:sz w:val="21"/>
                      <w:szCs w:val="21"/>
                      <w:lang w:val="en-US" w:eastAsia="zh-CN"/>
                    </w:rPr>
                    <w:t>水喷淋+干式过滤+二级活性炭吸附装置</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TA001</w:t>
                  </w:r>
                  <w:r>
                    <w:rPr>
                      <w:rFonts w:hint="eastAsia" w:ascii="Times New Roman" w:hAnsi="Times New Roman" w:cs="Times New Roman"/>
                      <w:color w:val="auto"/>
                      <w:sz w:val="21"/>
                      <w:szCs w:val="21"/>
                      <w:lang w:val="en-US" w:eastAsia="zh-CN"/>
                    </w:rPr>
                    <w:t>）处理后有组织排放；</w:t>
                  </w:r>
                </w:p>
                <w:p w14:paraId="43F31470">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③项目使用的脱模剂等含</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物料均采用密闭包装方式，储存于原料堆场中，在非取用状态时全部加盖保持密闭。</w:t>
                  </w:r>
                </w:p>
                <w:p w14:paraId="55FF66D9">
                  <w:pPr>
                    <w:pStyle w:val="66"/>
                    <w:keepNext w:val="0"/>
                    <w:keepLines w:val="0"/>
                    <w:suppressLineNumbers w:val="0"/>
                    <w:spacing w:before="0" w:beforeAutospacing="0" w:after="0" w:afterAutospacing="0" w:line="240" w:lineRule="auto"/>
                    <w:ind w:right="0" w:rightChars="0"/>
                    <w:jc w:val="left"/>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相符。</w:t>
                  </w:r>
                </w:p>
              </w:tc>
            </w:tr>
            <w:tr w14:paraId="77961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restart"/>
                  <w:shd w:val="clear" w:color="auto" w:fill="auto"/>
                  <w:vAlign w:val="center"/>
                </w:tcPr>
                <w:p w14:paraId="1DCD43AE">
                  <w:pPr>
                    <w:pStyle w:val="66"/>
                    <w:keepNext w:val="0"/>
                    <w:keepLines w:val="0"/>
                    <w:suppressLineNumbers w:val="0"/>
                    <w:spacing w:before="0" w:beforeAutospacing="0" w:after="0" w:afterAutospacing="0" w:line="240" w:lineRule="auto"/>
                    <w:ind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三、重点任务</w:t>
                  </w:r>
                </w:p>
              </w:tc>
              <w:tc>
                <w:tcPr>
                  <w:tcW w:w="2672" w:type="pct"/>
                  <w:gridSpan w:val="2"/>
                  <w:shd w:val="clear" w:color="auto" w:fill="auto"/>
                  <w:vAlign w:val="center"/>
                </w:tcPr>
                <w:p w14:paraId="5BC58545">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 xml:space="preserve">（一）制定专项治理方案。各地应根据排污许可证管理信息、环境统计、第二次污染源普查结果、工信部部门铸造企业名单、 </w:t>
                  </w:r>
                </w:p>
                <w:p w14:paraId="7C4AB3EA">
                  <w:pPr>
                    <w:pStyle w:val="66"/>
                    <w:keepNext w:val="0"/>
                    <w:keepLines w:val="0"/>
                    <w:suppressLineNumbers w:val="0"/>
                    <w:spacing w:before="0" w:beforeAutospacing="0" w:after="0" w:afterAutospacing="0" w:line="240" w:lineRule="auto"/>
                    <w:ind w:right="0" w:rightChars="0"/>
                    <w:jc w:val="both"/>
                    <w:rPr>
                      <w:rFonts w:hint="default" w:cs="Times New Roman"/>
                      <w:color w:val="auto"/>
                      <w:sz w:val="21"/>
                      <w:szCs w:val="21"/>
                      <w:lang w:val="en-US" w:eastAsia="zh-CN"/>
                    </w:rPr>
                  </w:pPr>
                  <w:r>
                    <w:rPr>
                      <w:rFonts w:hint="eastAsia" w:cs="Times New Roman"/>
                      <w:color w:val="auto"/>
                      <w:sz w:val="21"/>
                      <w:szCs w:val="21"/>
                      <w:lang w:val="en-US" w:eastAsia="zh-CN"/>
                    </w:rPr>
                    <w:t>市场监管部门清单、电力部门重点用电大户清单等对区域内铸造企业进行全面排查，实现铸造企业全覆盖，全面掌握核实铸造企业是否持证排污和按证排污、分布、产品类别、产能、规模、燃料类型、主要燃料年消耗量、治污设施、治污工艺、是否安装自动监控设施、大气污染物排放情况、噪声和异味投诉等情况，</w:t>
                  </w:r>
                  <w:r>
                    <w:rPr>
                      <w:rFonts w:hint="default" w:cs="Times New Roman"/>
                      <w:color w:val="auto"/>
                      <w:sz w:val="21"/>
                      <w:szCs w:val="21"/>
                      <w:lang w:val="en-US" w:eastAsia="zh-CN"/>
                    </w:rPr>
                    <w:t>2023</w:t>
                  </w:r>
                  <w:r>
                    <w:rPr>
                      <w:rFonts w:hint="eastAsia" w:cs="Times New Roman"/>
                      <w:color w:val="auto"/>
                      <w:sz w:val="21"/>
                      <w:szCs w:val="21"/>
                      <w:lang w:val="en-US" w:eastAsia="zh-CN"/>
                    </w:rPr>
                    <w:t>年底前建立详细管理台账，依法依规制定专项治理方案。通过“淘汰一批、替代一批、治理一批、入园一批”，提升铸造行业总体发展水平。聚焦铸造企业环境污染问题严重和信访突出的企业，加大综合治理力度。</w:t>
                  </w:r>
                </w:p>
              </w:tc>
              <w:tc>
                <w:tcPr>
                  <w:tcW w:w="1727" w:type="pct"/>
                  <w:gridSpan w:val="2"/>
                  <w:shd w:val="clear" w:color="auto" w:fill="auto"/>
                  <w:vAlign w:val="center"/>
                </w:tcPr>
                <w:p w14:paraId="794C2B16">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公司遵守国家环保相关法律法规和标准要求，在取得环评批复后将积极申领排污许可证；本项目配置完善的环保处理装置，废气、废水、噪声、固体废弃物、危险废弃物等排放与处置措施符合国家及地方环保法规和标准的规定；公司按要求建立环境管理体系。</w:t>
                  </w:r>
                </w:p>
              </w:tc>
            </w:tr>
            <w:tr w14:paraId="35ED7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599" w:type="pct"/>
                  <w:gridSpan w:val="3"/>
                  <w:vMerge w:val="continue"/>
                  <w:shd w:val="clear" w:color="auto" w:fill="auto"/>
                  <w:vAlign w:val="center"/>
                </w:tcPr>
                <w:p w14:paraId="4B0B54CC">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6635B122">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二）推进产业结构优化。严格执行质量、环保、能耗、安全等相关法律法规标准和《产业结构调整指导目录》等政策，配合工信、发改等部门依法依规淘汰工艺设备落后、污染排放不达标、生产安全无保障的落后产能。加快存量项目升级改造，推进企业合理选择成熟高效的污染治理技术和先进工艺，提高行业竞争能力。严格审批新建、改扩建项目，新建、改扩建项目清洁生产水平达到先进水平，确保项目备案、环评、排污许可、安评、节能、审查等手续清晰、完备，项目建设符合相关法律法规标准要求。严格落实主要污染物排放总量控制、能源消耗总量和强度调度控制，坚决遏制不符合要求的项目盲目发展和低水平重复建设，防止产能盲目扩张，切实推进铸造行业产业结构优化升级。</w:t>
                  </w:r>
                </w:p>
              </w:tc>
              <w:tc>
                <w:tcPr>
                  <w:tcW w:w="1727" w:type="pct"/>
                  <w:gridSpan w:val="2"/>
                  <w:shd w:val="clear" w:color="auto" w:fill="auto"/>
                  <w:vAlign w:val="center"/>
                </w:tcPr>
                <w:p w14:paraId="10A18578">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①本项目符合国家和地方的产业政策，不涉及淘汰工艺设备。建设单位将严格执行质量、环保、能耗、安全等相关法律法规标准。</w:t>
                  </w:r>
                </w:p>
                <w:p w14:paraId="33FA6123">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②本项目使用成熟、低污染、低排放、低能耗、经济高效的铸造工艺；不使用明令禁止的生产工艺。</w:t>
                  </w:r>
                </w:p>
                <w:p w14:paraId="798D80BC">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③本项目清洁生产水平可达先进水平。</w:t>
                  </w:r>
                </w:p>
                <w:p w14:paraId="7871157C">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④项目严格落实主要污染物排放总量控制、能源消耗总量和强度调度控制相关；主要污染物排放总量可在经开区内平衡。</w:t>
                  </w:r>
                </w:p>
              </w:tc>
            </w:tr>
            <w:tr w14:paraId="03D31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continue"/>
                  <w:shd w:val="clear" w:color="auto" w:fill="auto"/>
                  <w:vAlign w:val="center"/>
                </w:tcPr>
                <w:p w14:paraId="2B8588B3">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03B84153">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三）确保全面达标排放。铸造企业依法申领排污许可证，严格持证排污、按证排污并按排污许可规定落实自行监测、台账记录、执行报告、信息公开等要求。推动现有企业和新建企业参照装备水平及生产工艺、污染治理技术、排放限值、无组织排放、监测监控水平、环境管理水平和运输方式等绩效差异化指标要求，积极培育环保绩效</w:t>
                  </w:r>
                  <w:r>
                    <w:rPr>
                      <w:rFonts w:hint="default" w:cs="Times New Roman"/>
                      <w:color w:val="auto"/>
                      <w:sz w:val="21"/>
                      <w:szCs w:val="21"/>
                      <w:lang w:val="en-US" w:eastAsia="zh-CN"/>
                    </w:rPr>
                    <w:t>AB</w:t>
                  </w:r>
                  <w:r>
                    <w:rPr>
                      <w:rFonts w:hint="eastAsia" w:cs="Times New Roman"/>
                      <w:color w:val="auto"/>
                      <w:sz w:val="21"/>
                      <w:szCs w:val="21"/>
                      <w:lang w:val="en-US" w:eastAsia="zh-CN"/>
                    </w:rPr>
                    <w:t>级的标杆铸造企业，带动全行业污染治理水平提升。铸造企业严格执行《铸造工业大气污染物排放标准》（</w:t>
                  </w:r>
                  <w:r>
                    <w:rPr>
                      <w:rFonts w:hint="default" w:cs="Times New Roman"/>
                      <w:color w:val="auto"/>
                      <w:sz w:val="21"/>
                      <w:szCs w:val="21"/>
                      <w:lang w:val="en-US" w:eastAsia="zh-CN"/>
                    </w:rPr>
                    <w:t>GB 39726-2020</w:t>
                  </w:r>
                  <w:r>
                    <w:rPr>
                      <w:rFonts w:hint="eastAsia" w:cs="Times New Roman"/>
                      <w:color w:val="auto"/>
                      <w:sz w:val="21"/>
                      <w:szCs w:val="21"/>
                      <w:lang w:val="en-US" w:eastAsia="zh-CN"/>
                    </w:rPr>
                    <w:t>），加强无组织排放控制，不能稳定达标排放的，限期完成设施升级改造，不具备改造条件及改造后仍不能达标的，依法依规进行淘汰。推动铸造用生铁企业参照钢铁行业超低排放改造要求，开展有组织、无组织和清洁运输超低排放改造和评估监测。铸造企业应安装自动监测、视频监控、用电监控等监测监控设施，强化全过程全流程精细化管理。对物料储存与输送、金属熔炼（化）、造型、制芯、浇注、清理、砂处理、废砂再生、铸件热处理等主要产尘点位和设施安装高清视频监控设施，生产设施和治污设施应安装用电监控设施，生产车间门口和厂区内物料运输主干道路口等关键点位布设空气质量监测微站，有条件的铸造企业应安装分布控制系统（</w:t>
                  </w:r>
                  <w:r>
                    <w:rPr>
                      <w:rFonts w:hint="default" w:cs="Times New Roman"/>
                      <w:color w:val="auto"/>
                      <w:sz w:val="21"/>
                      <w:szCs w:val="21"/>
                      <w:lang w:val="en-US" w:eastAsia="zh-CN"/>
                    </w:rPr>
                    <w:t>DCS</w:t>
                  </w:r>
                  <w:r>
                    <w:rPr>
                      <w:rFonts w:hint="eastAsia" w:cs="Times New Roman"/>
                      <w:color w:val="auto"/>
                      <w:sz w:val="21"/>
                      <w:szCs w:val="21"/>
                      <w:lang w:val="en-US" w:eastAsia="zh-CN"/>
                    </w:rPr>
                    <w:t>）。推进铸造企业建设全厂一体化环境管控平台，记录有组织排放、无组织排放相关监测监控和治理设施运行情况。自动监测、用电监控、空气质量监测微站、</w:t>
                  </w:r>
                  <w:r>
                    <w:rPr>
                      <w:rFonts w:hint="default" w:cs="Times New Roman"/>
                      <w:color w:val="auto"/>
                      <w:sz w:val="21"/>
                      <w:szCs w:val="21"/>
                      <w:lang w:val="en-US" w:eastAsia="zh-CN"/>
                    </w:rPr>
                    <w:t>DCS</w:t>
                  </w:r>
                  <w:r>
                    <w:rPr>
                      <w:rFonts w:hint="eastAsia" w:cs="Times New Roman"/>
                      <w:color w:val="auto"/>
                      <w:sz w:val="21"/>
                      <w:szCs w:val="21"/>
                      <w:lang w:val="en-US" w:eastAsia="zh-CN"/>
                    </w:rPr>
                    <w:t>系统等数据至少保存五年以上，高清视频监控数据至少保存一年以上。</w:t>
                  </w:r>
                </w:p>
              </w:tc>
              <w:tc>
                <w:tcPr>
                  <w:tcW w:w="1727" w:type="pct"/>
                  <w:gridSpan w:val="2"/>
                  <w:shd w:val="clear" w:color="auto" w:fill="auto"/>
                  <w:vAlign w:val="center"/>
                </w:tcPr>
                <w:p w14:paraId="41B1A42D">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①项目建成后将依法申领排污许可证，并持证排污、按证排污，落实自行监测、台账记录、执行报告、信息公开等要求；</w:t>
                  </w:r>
                </w:p>
                <w:p w14:paraId="0FFACF24">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②根据《江苏省污染源自动监测监控管理办法（</w:t>
                  </w:r>
                  <w:r>
                    <w:rPr>
                      <w:rFonts w:hint="default" w:cs="Times New Roman"/>
                      <w:color w:val="auto"/>
                      <w:sz w:val="21"/>
                      <w:szCs w:val="21"/>
                      <w:lang w:val="en-US" w:eastAsia="zh-CN"/>
                    </w:rPr>
                    <w:t>2022</w:t>
                  </w:r>
                  <w:r>
                    <w:rPr>
                      <w:rFonts w:hint="eastAsia" w:cs="Times New Roman"/>
                      <w:color w:val="auto"/>
                      <w:sz w:val="21"/>
                      <w:szCs w:val="21"/>
                      <w:lang w:val="en-US" w:eastAsia="zh-CN"/>
                    </w:rPr>
                    <w:t>年修订）》（苏环发〔</w:t>
                  </w:r>
                  <w:r>
                    <w:rPr>
                      <w:rFonts w:hint="default" w:cs="Times New Roman"/>
                      <w:color w:val="auto"/>
                      <w:sz w:val="21"/>
                      <w:szCs w:val="21"/>
                      <w:lang w:val="en-US" w:eastAsia="zh-CN"/>
                    </w:rPr>
                    <w:t>2022</w:t>
                  </w:r>
                  <w:r>
                    <w:rPr>
                      <w:rFonts w:hint="eastAsia" w:cs="Times New Roman"/>
                      <w:color w:val="auto"/>
                      <w:sz w:val="21"/>
                      <w:szCs w:val="21"/>
                      <w:lang w:val="en-US" w:eastAsia="zh-CN"/>
                    </w:rPr>
                    <w:t>〕</w:t>
                  </w:r>
                  <w:r>
                    <w:rPr>
                      <w:rFonts w:hint="default" w:cs="Times New Roman"/>
                      <w:color w:val="auto"/>
                      <w:sz w:val="21"/>
                      <w:szCs w:val="21"/>
                      <w:lang w:val="en-US" w:eastAsia="zh-CN"/>
                    </w:rPr>
                    <w:t>5</w:t>
                  </w:r>
                  <w:r>
                    <w:rPr>
                      <w:rFonts w:hint="eastAsia" w:cs="Times New Roman"/>
                      <w:color w:val="auto"/>
                      <w:sz w:val="21"/>
                      <w:szCs w:val="21"/>
                      <w:lang w:val="en-US" w:eastAsia="zh-CN"/>
                    </w:rPr>
                    <w:t>号）要求：</w:t>
                  </w:r>
                  <w:r>
                    <w:rPr>
                      <w:rFonts w:hint="default" w:cs="Times New Roman"/>
                      <w:color w:val="auto"/>
                      <w:sz w:val="21"/>
                      <w:szCs w:val="21"/>
                      <w:lang w:val="en-US" w:eastAsia="zh-CN"/>
                    </w:rPr>
                    <w:t>“</w:t>
                  </w:r>
                  <w:r>
                    <w:rPr>
                      <w:rFonts w:hint="eastAsia" w:cs="Times New Roman"/>
                      <w:color w:val="auto"/>
                      <w:sz w:val="21"/>
                      <w:szCs w:val="21"/>
                      <w:lang w:val="en-US" w:eastAsia="zh-CN"/>
                    </w:rPr>
                    <w:t>单排放口</w:t>
                  </w:r>
                  <w:r>
                    <w:rPr>
                      <w:rFonts w:hint="default" w:cs="Times New Roman"/>
                      <w:color w:val="auto"/>
                      <w:sz w:val="21"/>
                      <w:szCs w:val="21"/>
                      <w:lang w:val="en-US" w:eastAsia="zh-CN"/>
                    </w:rPr>
                    <w:t>VOCs</w:t>
                  </w:r>
                  <w:r>
                    <w:rPr>
                      <w:rFonts w:hint="eastAsia" w:cs="Times New Roman"/>
                      <w:color w:val="auto"/>
                      <w:sz w:val="21"/>
                      <w:szCs w:val="21"/>
                      <w:lang w:val="en-US" w:eastAsia="zh-CN"/>
                    </w:rPr>
                    <w:t>排放设计小时废气排放量</w:t>
                  </w:r>
                  <w:r>
                    <w:rPr>
                      <w:rFonts w:hint="default" w:cs="Times New Roman"/>
                      <w:color w:val="auto"/>
                      <w:sz w:val="21"/>
                      <w:szCs w:val="21"/>
                      <w:lang w:val="en-US" w:eastAsia="zh-CN"/>
                    </w:rPr>
                    <w:t>1</w:t>
                  </w:r>
                  <w:r>
                    <w:rPr>
                      <w:rFonts w:hint="eastAsia" w:cs="Times New Roman"/>
                      <w:color w:val="auto"/>
                      <w:sz w:val="21"/>
                      <w:szCs w:val="21"/>
                      <w:lang w:val="en-US" w:eastAsia="zh-CN"/>
                    </w:rPr>
                    <w:t>万立方米及以上的化工行业、</w:t>
                  </w:r>
                  <w:r>
                    <w:rPr>
                      <w:rFonts w:hint="default" w:cs="Times New Roman"/>
                      <w:color w:val="auto"/>
                      <w:sz w:val="21"/>
                      <w:szCs w:val="21"/>
                      <w:lang w:val="en-US" w:eastAsia="zh-CN"/>
                    </w:rPr>
                    <w:t>3</w:t>
                  </w:r>
                  <w:r>
                    <w:rPr>
                      <w:rFonts w:hint="eastAsia" w:cs="Times New Roman"/>
                      <w:color w:val="auto"/>
                      <w:sz w:val="21"/>
                      <w:szCs w:val="21"/>
                      <w:lang w:val="en-US" w:eastAsia="zh-CN"/>
                    </w:rPr>
                    <w:t>万立方米及以上的其他行业安装</w:t>
                  </w:r>
                  <w:r>
                    <w:rPr>
                      <w:rFonts w:hint="default" w:cs="Times New Roman"/>
                      <w:color w:val="auto"/>
                      <w:sz w:val="21"/>
                      <w:szCs w:val="21"/>
                      <w:lang w:val="en-US" w:eastAsia="zh-CN"/>
                    </w:rPr>
                    <w:t>VOCs</w:t>
                  </w:r>
                  <w:r>
                    <w:rPr>
                      <w:rFonts w:hint="eastAsia" w:cs="Times New Roman"/>
                      <w:color w:val="auto"/>
                      <w:sz w:val="21"/>
                      <w:szCs w:val="21"/>
                      <w:lang w:val="en-US" w:eastAsia="zh-CN"/>
                    </w:rPr>
                    <w:t>自动监测设备。”本项目属于文件中其他行业，排气筒风量小于</w:t>
                  </w:r>
                  <w:r>
                    <w:rPr>
                      <w:rFonts w:hint="default" w:cs="Times New Roman"/>
                      <w:color w:val="auto"/>
                      <w:sz w:val="21"/>
                      <w:szCs w:val="21"/>
                      <w:lang w:val="en-US" w:eastAsia="zh-CN"/>
                    </w:rPr>
                    <w:t>30000m</w:t>
                  </w:r>
                  <w:r>
                    <w:rPr>
                      <w:rFonts w:hint="default" w:cs="Times New Roman"/>
                      <w:color w:val="auto"/>
                      <w:sz w:val="21"/>
                      <w:szCs w:val="21"/>
                      <w:vertAlign w:val="superscript"/>
                      <w:lang w:val="en-US" w:eastAsia="zh-CN"/>
                    </w:rPr>
                    <w:t>3</w:t>
                  </w:r>
                  <w:r>
                    <w:rPr>
                      <w:rFonts w:hint="default" w:cs="Times New Roman"/>
                      <w:color w:val="auto"/>
                      <w:sz w:val="21"/>
                      <w:szCs w:val="21"/>
                      <w:lang w:val="en-US" w:eastAsia="zh-CN"/>
                    </w:rPr>
                    <w:t>/h</w:t>
                  </w:r>
                  <w:r>
                    <w:rPr>
                      <w:rFonts w:hint="eastAsia" w:cs="Times New Roman"/>
                      <w:color w:val="auto"/>
                      <w:sz w:val="21"/>
                      <w:szCs w:val="21"/>
                      <w:lang w:val="en-US" w:eastAsia="zh-CN"/>
                    </w:rPr>
                    <w:t xml:space="preserve">，无需安装 </w:t>
                  </w:r>
                  <w:r>
                    <w:rPr>
                      <w:rFonts w:hint="default" w:cs="Times New Roman"/>
                      <w:color w:val="auto"/>
                      <w:sz w:val="21"/>
                      <w:szCs w:val="21"/>
                      <w:lang w:val="en-US" w:eastAsia="zh-CN"/>
                    </w:rPr>
                    <w:t>VOCs</w:t>
                  </w:r>
                  <w:r>
                    <w:rPr>
                      <w:rFonts w:hint="eastAsia" w:cs="Times New Roman"/>
                      <w:color w:val="auto"/>
                      <w:sz w:val="21"/>
                      <w:szCs w:val="21"/>
                      <w:lang w:val="en-US" w:eastAsia="zh-CN"/>
                    </w:rPr>
                    <w:t>在线监测设备；</w:t>
                  </w:r>
                </w:p>
                <w:p w14:paraId="0BF896EE">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③本项目在物料储存与输送、金属熔炼（化）、浇注等主要产尘点位和设施安装高清视频监控设施；同时建立管理机制，建立每日生产及废气设施运行台账。系统、监控数据按要求保存。</w:t>
                  </w:r>
                </w:p>
              </w:tc>
            </w:tr>
            <w:tr w14:paraId="37147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continue"/>
                  <w:shd w:val="clear" w:color="auto" w:fill="auto"/>
                  <w:vAlign w:val="center"/>
                </w:tcPr>
                <w:p w14:paraId="74869110">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0ED3A93B">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（四）推动实施深度治理。各地组织铸造企业根据《铸造工业大气污染防治可行性技术指南》（</w:t>
                  </w:r>
                  <w:r>
                    <w:rPr>
                      <w:rFonts w:hint="default" w:cs="Times New Roman"/>
                      <w:color w:val="auto"/>
                      <w:sz w:val="21"/>
                      <w:szCs w:val="21"/>
                      <w:lang w:val="en-US" w:eastAsia="zh-CN"/>
                    </w:rPr>
                    <w:t>HJ1292-2023</w:t>
                  </w:r>
                  <w:r>
                    <w:rPr>
                      <w:rFonts w:hint="eastAsia" w:cs="Times New Roman"/>
                      <w:color w:val="auto"/>
                      <w:sz w:val="21"/>
                      <w:szCs w:val="21"/>
                      <w:lang w:val="en-US" w:eastAsia="zh-CN"/>
                    </w:rPr>
                    <w:t xml:space="preserve">），选择适合自 </w:t>
                  </w:r>
                </w:p>
                <w:p w14:paraId="4CA68963">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身的高效污染防治技术开展深度治理，实现源头减排、过程控制和末端治理的全流程深度治理。源头减排方面，可采用少</w:t>
                  </w:r>
                  <w:r>
                    <w:rPr>
                      <w:rFonts w:hint="default" w:cs="Times New Roman"/>
                      <w:color w:val="auto"/>
                      <w:sz w:val="21"/>
                      <w:szCs w:val="21"/>
                      <w:lang w:val="en-US" w:eastAsia="zh-CN"/>
                    </w:rPr>
                    <w:t>/</w:t>
                  </w:r>
                  <w:r>
                    <w:rPr>
                      <w:rFonts w:hint="eastAsia" w:cs="Times New Roman"/>
                      <w:color w:val="auto"/>
                      <w:sz w:val="21"/>
                      <w:szCs w:val="21"/>
                      <w:lang w:val="en-US" w:eastAsia="zh-CN"/>
                    </w:rPr>
                    <w:t>无煤粉粘土砂添加替代技术、改性树脂粘结剂（含固化剂）替代技术、陶瓷砂替代技术、无机粘结剂替代技术、水基铸型涂料替代技术、低（无）</w:t>
                  </w:r>
                  <w:r>
                    <w:rPr>
                      <w:rFonts w:hint="default" w:cs="Times New Roman"/>
                      <w:color w:val="auto"/>
                      <w:sz w:val="21"/>
                      <w:szCs w:val="21"/>
                      <w:lang w:val="en-US" w:eastAsia="zh-CN"/>
                    </w:rPr>
                    <w:t>VOCs</w:t>
                  </w:r>
                  <w:r>
                    <w:rPr>
                      <w:rFonts w:hint="eastAsia" w:cs="Times New Roman"/>
                      <w:color w:val="auto"/>
                      <w:sz w:val="21"/>
                      <w:szCs w:val="21"/>
                      <w:lang w:val="en-US" w:eastAsia="zh-CN"/>
                    </w:rPr>
                    <w:t>含量涂料替代技术等实现煤粉、粘结剂、硅砂、涂料等原辅材料的替代。过程控制方面，可采用炉盖与除尘一体化技术、金属液定点处理技术、微量喷涂技术、金属液封闭转运技术、静电喷涂技术、阴极电泳技术、湿式机械加工技术，实现废气高效收集、涂料高效喷涂和重复利用。颗粒物治理，可采用旋风除尘技术、袋式除尘技术、滤筒除尘技术、湿式除尘技术、漆雾处理技术等。</w:t>
                  </w:r>
                  <w:r>
                    <w:rPr>
                      <w:rFonts w:hint="default" w:cs="Times New Roman"/>
                      <w:color w:val="auto"/>
                      <w:sz w:val="21"/>
                      <w:szCs w:val="21"/>
                      <w:lang w:val="en-US" w:eastAsia="zh-CN"/>
                    </w:rPr>
                    <w:t>SO2</w:t>
                  </w:r>
                  <w:r>
                    <w:rPr>
                      <w:rFonts w:hint="eastAsia" w:cs="Times New Roman"/>
                      <w:color w:val="auto"/>
                      <w:sz w:val="21"/>
                      <w:szCs w:val="21"/>
                      <w:lang w:val="en-US" w:eastAsia="zh-CN"/>
                    </w:rPr>
                    <w:t>（二氧化硫）治理，可采用湿法脱硫技术（钠碱法脱硫技术和双碱法脱硫技术，需配合自动添加脱硫剂设备、自动</w:t>
                  </w:r>
                  <w:r>
                    <w:rPr>
                      <w:rFonts w:hint="default" w:cs="Times New Roman"/>
                      <w:color w:val="auto"/>
                      <w:sz w:val="21"/>
                      <w:szCs w:val="21"/>
                      <w:lang w:val="en-US" w:eastAsia="zh-CN"/>
                    </w:rPr>
                    <w:t>pH</w:t>
                  </w:r>
                  <w:r>
                    <w:rPr>
                      <w:rFonts w:hint="eastAsia" w:cs="Times New Roman"/>
                      <w:color w:val="auto"/>
                      <w:sz w:val="21"/>
                      <w:szCs w:val="21"/>
                      <w:lang w:val="en-US" w:eastAsia="zh-CN"/>
                    </w:rPr>
                    <w:t>值监测、曝气等系列设施配套使用）、干法脱硫技术（钠基吸收剂细度一般不小于</w:t>
                  </w:r>
                  <w:r>
                    <w:rPr>
                      <w:rFonts w:hint="default" w:cs="Times New Roman"/>
                      <w:color w:val="auto"/>
                      <w:sz w:val="21"/>
                      <w:szCs w:val="21"/>
                      <w:lang w:val="en-US" w:eastAsia="zh-CN"/>
                    </w:rPr>
                    <w:t>800</w:t>
                  </w:r>
                  <w:r>
                    <w:rPr>
                      <w:rFonts w:hint="eastAsia" w:cs="Times New Roman"/>
                      <w:color w:val="auto"/>
                      <w:sz w:val="21"/>
                      <w:szCs w:val="21"/>
                      <w:lang w:val="en-US" w:eastAsia="zh-CN"/>
                    </w:rPr>
                    <w:t>目，钙基吸收剂细度一般不小于</w:t>
                  </w:r>
                  <w:r>
                    <w:rPr>
                      <w:rFonts w:hint="default" w:cs="Times New Roman"/>
                      <w:color w:val="auto"/>
                      <w:sz w:val="21"/>
                      <w:szCs w:val="21"/>
                      <w:lang w:val="en-US" w:eastAsia="zh-CN"/>
                    </w:rPr>
                    <w:t xml:space="preserve">300 </w:t>
                  </w:r>
                  <w:r>
                    <w:rPr>
                      <w:rFonts w:hint="eastAsia" w:cs="Times New Roman"/>
                      <w:color w:val="auto"/>
                      <w:sz w:val="21"/>
                      <w:szCs w:val="21"/>
                      <w:lang w:val="en-US" w:eastAsia="zh-CN"/>
                    </w:rPr>
                    <w:t>目）等。</w:t>
                  </w:r>
                  <w:r>
                    <w:rPr>
                      <w:rFonts w:hint="default" w:cs="Times New Roman"/>
                      <w:color w:val="auto"/>
                      <w:sz w:val="21"/>
                      <w:szCs w:val="21"/>
                      <w:lang w:val="en-US" w:eastAsia="zh-CN"/>
                    </w:rPr>
                    <w:t>NOx</w:t>
                  </w:r>
                  <w:r>
                    <w:rPr>
                      <w:rFonts w:hint="eastAsia" w:cs="Times New Roman"/>
                      <w:color w:val="auto"/>
                      <w:sz w:val="21"/>
                      <w:szCs w:val="21"/>
                      <w:lang w:val="en-US" w:eastAsia="zh-CN"/>
                    </w:rPr>
                    <w:t>（氮氧化物）治理，可采用低氮燃烧、</w:t>
                  </w:r>
                  <w:r>
                    <w:rPr>
                      <w:rFonts w:hint="default" w:cs="Times New Roman"/>
                      <w:color w:val="auto"/>
                      <w:sz w:val="21"/>
                      <w:szCs w:val="21"/>
                      <w:lang w:val="en-US" w:eastAsia="zh-CN"/>
                    </w:rPr>
                    <w:t>SCR</w:t>
                  </w:r>
                  <w:r>
                    <w:rPr>
                      <w:rFonts w:hint="eastAsia" w:cs="Times New Roman"/>
                      <w:color w:val="auto"/>
                      <w:sz w:val="21"/>
                      <w:szCs w:val="21"/>
                      <w:lang w:val="en-US" w:eastAsia="zh-CN"/>
                    </w:rPr>
                    <w:t>（选择性催化还原）、</w:t>
                  </w:r>
                  <w:r>
                    <w:rPr>
                      <w:rFonts w:hint="default" w:cs="Times New Roman"/>
                      <w:color w:val="auto"/>
                      <w:sz w:val="21"/>
                      <w:szCs w:val="21"/>
                      <w:lang w:val="en-US" w:eastAsia="zh-CN"/>
                    </w:rPr>
                    <w:t>SNCR</w:t>
                  </w:r>
                  <w:r>
                    <w:rPr>
                      <w:rFonts w:hint="eastAsia" w:cs="Times New Roman"/>
                      <w:color w:val="auto"/>
                      <w:sz w:val="21"/>
                      <w:szCs w:val="21"/>
                      <w:lang w:val="en-US" w:eastAsia="zh-CN"/>
                    </w:rPr>
                    <w:t>（选择性非催化还原）等高效脱硝技术。</w:t>
                  </w:r>
                  <w:r>
                    <w:rPr>
                      <w:rFonts w:hint="default" w:cs="Times New Roman"/>
                      <w:color w:val="auto"/>
                      <w:sz w:val="21"/>
                      <w:szCs w:val="21"/>
                      <w:lang w:val="en-US" w:eastAsia="zh-CN"/>
                    </w:rPr>
                    <w:t>VOCs</w:t>
                  </w:r>
                  <w:r>
                    <w:rPr>
                      <w:rFonts w:hint="eastAsia" w:cs="Times New Roman"/>
                      <w:color w:val="auto"/>
                      <w:sz w:val="21"/>
                      <w:szCs w:val="21"/>
                      <w:lang w:val="en-US" w:eastAsia="zh-CN"/>
                    </w:rPr>
                    <w:t xml:space="preserve">治理，可 </w:t>
                  </w:r>
                </w:p>
                <w:p w14:paraId="2EA5743A">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采用吸附技术（固定床吸附和旋转式吸附）、燃烧技术（催化燃烧、蓄热燃烧、热力燃烧）、吸收技术（化学吸收、物理吸收）等。油雾治理，可采用机械过滤技术和静电净化技术等。鼓励铸造企业的大宗物料和产业运输采用铁路、水路、管道或管状带式输送机等清洁运输方式，运输车辆优先采用新能源汽车。</w:t>
                  </w:r>
                </w:p>
              </w:tc>
              <w:tc>
                <w:tcPr>
                  <w:tcW w:w="1727" w:type="pct"/>
                  <w:gridSpan w:val="2"/>
                  <w:shd w:val="clear" w:color="auto" w:fill="auto"/>
                  <w:vAlign w:val="center"/>
                </w:tcPr>
                <w:p w14:paraId="1082B356">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①本项目通过设备内部的喷雾机定量将脱模剂精确喷涂在模具表面实现微量喷涂技术；</w:t>
                  </w:r>
                </w:p>
                <w:p w14:paraId="3B2A8279">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②本项目熔化、压铸废气经过集气罩收集后经过“水喷淋+干式过滤+二级活性炭吸附装置”（</w:t>
                  </w:r>
                  <w:r>
                    <w:rPr>
                      <w:rFonts w:hint="default" w:cs="Times New Roman"/>
                      <w:color w:val="auto"/>
                      <w:sz w:val="21"/>
                      <w:szCs w:val="21"/>
                      <w:lang w:val="en-US" w:eastAsia="zh-CN"/>
                    </w:rPr>
                    <w:t>TA001</w:t>
                  </w:r>
                  <w:r>
                    <w:rPr>
                      <w:rFonts w:hint="eastAsia" w:cs="Times New Roman"/>
                      <w:color w:val="auto"/>
                      <w:sz w:val="21"/>
                      <w:szCs w:val="21"/>
                      <w:lang w:val="en-US" w:eastAsia="zh-CN"/>
                    </w:rPr>
                    <w:t>）处理后有组织排放，根据《排污许可证申请与核发技术规范-金属铸造工业》（</w:t>
                  </w:r>
                  <w:r>
                    <w:rPr>
                      <w:rFonts w:hint="default" w:cs="Times New Roman"/>
                      <w:color w:val="auto"/>
                      <w:sz w:val="21"/>
                      <w:szCs w:val="21"/>
                      <w:lang w:val="en-US" w:eastAsia="zh-CN"/>
                    </w:rPr>
                    <w:t>HJ1115-2020</w:t>
                  </w:r>
                  <w:r>
                    <w:rPr>
                      <w:rFonts w:hint="eastAsia" w:cs="Times New Roman"/>
                      <w:color w:val="auto"/>
                      <w:sz w:val="21"/>
                      <w:szCs w:val="21"/>
                      <w:lang w:val="en-US" w:eastAsia="zh-CN"/>
                    </w:rPr>
                    <w:t>）及《铸造工业大气污染防治可行技术指南》（</w:t>
                  </w:r>
                  <w:r>
                    <w:rPr>
                      <w:rFonts w:hint="default" w:cs="Times New Roman"/>
                      <w:color w:val="auto"/>
                      <w:sz w:val="21"/>
                      <w:szCs w:val="21"/>
                      <w:lang w:val="en-US" w:eastAsia="zh-CN"/>
                    </w:rPr>
                    <w:t>HJ1292-2023</w:t>
                  </w:r>
                  <w:r>
                    <w:rPr>
                      <w:rFonts w:hint="eastAsia" w:cs="Times New Roman"/>
                      <w:color w:val="auto"/>
                      <w:sz w:val="21"/>
                      <w:szCs w:val="21"/>
                      <w:lang w:val="en-US" w:eastAsia="zh-CN"/>
                    </w:rPr>
                    <w:t>）上述废气治理工艺均属于废气处理可行技术；</w:t>
                  </w:r>
                </w:p>
                <w:p w14:paraId="79E608BE">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③项目后续建设和运行过程中将落实清洁运输方式，运输车辆优先采用新能源汽车。</w:t>
                  </w:r>
                </w:p>
              </w:tc>
            </w:tr>
            <w:tr w14:paraId="23C6C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vMerge w:val="continue"/>
                  <w:shd w:val="clear" w:color="auto" w:fill="auto"/>
                  <w:vAlign w:val="center"/>
                </w:tcPr>
                <w:p w14:paraId="23EBA09B">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27192135">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五）加快行业绿色发展。推进绿色方式贯穿铸造生产全流程，开发绿色原辅材料、推广绿色工艺、建设绿色工厂、发展绿色园区，深入推进园区循环化改造。推动企业依法披露环境信息，接受社会监督。积极开展铸造行业清洁生产审核，环保绩效达到</w:t>
                  </w:r>
                  <w:r>
                    <w:rPr>
                      <w:rFonts w:hint="default" w:cs="Times New Roman"/>
                      <w:color w:val="auto"/>
                      <w:sz w:val="21"/>
                      <w:szCs w:val="21"/>
                      <w:lang w:val="en-US" w:eastAsia="zh-CN"/>
                    </w:rPr>
                    <w:t>AB</w:t>
                  </w:r>
                  <w:r>
                    <w:rPr>
                      <w:rFonts w:hint="eastAsia" w:cs="Times New Roman"/>
                      <w:color w:val="auto"/>
                      <w:sz w:val="21"/>
                      <w:szCs w:val="21"/>
                      <w:lang w:val="en-US" w:eastAsia="zh-CN"/>
                    </w:rPr>
                    <w:t>级的铸造企业应主动开展清洁生产审核，深入挖掘企业节能、降碳、减污潜力。鼓励企业采用高效节能熔炼、热处理设备，提高余热利用水平。推广短流程铸造，推进铸造行业冲天炉（</w:t>
                  </w:r>
                  <w:r>
                    <w:rPr>
                      <w:rFonts w:hint="default" w:cs="Times New Roman"/>
                      <w:color w:val="auto"/>
                      <w:sz w:val="21"/>
                      <w:szCs w:val="21"/>
                      <w:lang w:val="en-US" w:eastAsia="zh-CN"/>
                    </w:rPr>
                    <w:t>10</w:t>
                  </w:r>
                  <w:r>
                    <w:rPr>
                      <w:rFonts w:hint="eastAsia" w:cs="Times New Roman"/>
                      <w:color w:val="auto"/>
                      <w:sz w:val="21"/>
                      <w:szCs w:val="21"/>
                      <w:lang w:val="en-US" w:eastAsia="zh-CN"/>
                    </w:rPr>
                    <w:t>吨</w:t>
                  </w:r>
                  <w:r>
                    <w:rPr>
                      <w:rFonts w:hint="default" w:cs="Times New Roman"/>
                      <w:color w:val="auto"/>
                      <w:sz w:val="21"/>
                      <w:szCs w:val="21"/>
                      <w:lang w:val="en-US" w:eastAsia="zh-CN"/>
                    </w:rPr>
                    <w:t>/</w:t>
                  </w:r>
                  <w:r>
                    <w:rPr>
                      <w:rFonts w:hint="eastAsia" w:cs="Times New Roman"/>
                      <w:color w:val="auto"/>
                      <w:sz w:val="21"/>
                      <w:szCs w:val="21"/>
                      <w:lang w:val="en-US" w:eastAsia="zh-CN"/>
                    </w:rPr>
                    <w:t>小时及以下）改为电炉。推进铸造废砂再生处理技术应用、废旧金属循环再生与利用。协同推进铸造行业降碳、减污、扩绿、增长，推进生态优化、节约集约、绿色低碳发展。</w:t>
                  </w:r>
                </w:p>
              </w:tc>
              <w:tc>
                <w:tcPr>
                  <w:tcW w:w="1727" w:type="pct"/>
                  <w:gridSpan w:val="2"/>
                  <w:shd w:val="clear" w:color="auto" w:fill="auto"/>
                  <w:vAlign w:val="center"/>
                </w:tcPr>
                <w:p w14:paraId="6E5ECA8A">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本项目采用高效节能铸造设备，提高生产效率，节约能源消耗，努力争创重污染天气应对绩效分级</w:t>
                  </w:r>
                  <w:r>
                    <w:rPr>
                      <w:rFonts w:hint="default" w:cs="Times New Roman"/>
                      <w:color w:val="auto"/>
                      <w:sz w:val="21"/>
                      <w:szCs w:val="21"/>
                      <w:lang w:val="en-US" w:eastAsia="zh-CN"/>
                    </w:rPr>
                    <w:t>A</w:t>
                  </w:r>
                  <w:r>
                    <w:rPr>
                      <w:rFonts w:hint="eastAsia" w:cs="Times New Roman"/>
                      <w:color w:val="auto"/>
                      <w:sz w:val="21"/>
                      <w:szCs w:val="21"/>
                      <w:lang w:val="en-US" w:eastAsia="zh-CN"/>
                    </w:rPr>
                    <w:t>级水平的环保标杆企业，带动行业环保水平提升。</w:t>
                  </w:r>
                </w:p>
              </w:tc>
            </w:tr>
            <w:tr w14:paraId="7E359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17BA491D">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b/>
                      <w:bCs/>
                      <w:color w:val="auto"/>
                      <w:sz w:val="21"/>
                      <w:szCs w:val="21"/>
                      <w:lang w:val="en-US" w:eastAsia="zh-CN"/>
                    </w:rPr>
                    <w:t>常州市“危污乱散低”专项治理领导小组办公室铸造行业“危污乱散低”综合治理联席会议纪要（</w:t>
                  </w:r>
                  <w:r>
                    <w:rPr>
                      <w:rFonts w:hint="default" w:cs="Times New Roman"/>
                      <w:b/>
                      <w:bCs/>
                      <w:color w:val="auto"/>
                      <w:sz w:val="21"/>
                      <w:szCs w:val="21"/>
                      <w:lang w:val="en-US" w:eastAsia="zh-CN"/>
                    </w:rPr>
                    <w:t>2023</w:t>
                  </w:r>
                  <w:r>
                    <w:rPr>
                      <w:rFonts w:hint="eastAsia" w:cs="Times New Roman"/>
                      <w:b/>
                      <w:bCs/>
                      <w:color w:val="auto"/>
                      <w:sz w:val="21"/>
                      <w:szCs w:val="21"/>
                      <w:lang w:val="en-US" w:eastAsia="zh-CN"/>
                    </w:rPr>
                    <w:t>年第</w:t>
                  </w:r>
                  <w:r>
                    <w:rPr>
                      <w:rFonts w:hint="default" w:cs="Times New Roman"/>
                      <w:b/>
                      <w:bCs/>
                      <w:color w:val="auto"/>
                      <w:sz w:val="21"/>
                      <w:szCs w:val="21"/>
                      <w:lang w:val="en-US" w:eastAsia="zh-CN"/>
                    </w:rPr>
                    <w:t>2</w:t>
                  </w:r>
                  <w:r>
                    <w:rPr>
                      <w:rFonts w:hint="eastAsia" w:cs="Times New Roman"/>
                      <w:b/>
                      <w:bCs/>
                      <w:color w:val="auto"/>
                      <w:sz w:val="21"/>
                      <w:szCs w:val="21"/>
                      <w:lang w:val="en-US" w:eastAsia="zh-CN"/>
                    </w:rPr>
                    <w:t>号）</w:t>
                  </w:r>
                </w:p>
              </w:tc>
            </w:tr>
            <w:tr w14:paraId="7E827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shd w:val="clear" w:color="auto" w:fill="auto"/>
                  <w:vAlign w:val="center"/>
                </w:tcPr>
                <w:p w14:paraId="2F7D5B24">
                  <w:pPr>
                    <w:keepNext w:val="0"/>
                    <w:keepLines w:val="0"/>
                    <w:widowControl/>
                    <w:suppressLineNumbers w:val="0"/>
                    <w:spacing w:line="240" w:lineRule="auto"/>
                    <w:jc w:val="center"/>
                    <w:rPr>
                      <w:rFonts w:hint="eastAsia" w:cs="Times New Roman"/>
                      <w:color w:val="auto"/>
                      <w:sz w:val="21"/>
                      <w:szCs w:val="21"/>
                      <w:lang w:val="en-US" w:eastAsia="zh-CN"/>
                    </w:rPr>
                  </w:pPr>
                  <w:r>
                    <w:rPr>
                      <w:rFonts w:ascii="仿宋" w:hAnsi="仿宋" w:eastAsia="仿宋" w:cs="仿宋"/>
                      <w:color w:val="000000"/>
                      <w:kern w:val="0"/>
                      <w:sz w:val="20"/>
                      <w:szCs w:val="20"/>
                      <w:lang w:val="en-US" w:eastAsia="zh-CN" w:bidi="ar"/>
                    </w:rPr>
                    <w:t>一、确立我市开展新</w:t>
                  </w:r>
                  <w:r>
                    <w:rPr>
                      <w:rFonts w:hint="eastAsia" w:ascii="仿宋" w:hAnsi="仿宋" w:eastAsia="仿宋" w:cs="仿宋"/>
                      <w:color w:val="000000"/>
                      <w:kern w:val="0"/>
                      <w:sz w:val="20"/>
                      <w:szCs w:val="20"/>
                      <w:lang w:val="en-US" w:eastAsia="zh-CN" w:bidi="ar"/>
                    </w:rPr>
                    <w:t>建、技术改造铸造项目的评审原则，明确我市铸造行业发展目标</w:t>
                  </w:r>
                </w:p>
              </w:tc>
              <w:tc>
                <w:tcPr>
                  <w:tcW w:w="2672" w:type="pct"/>
                  <w:gridSpan w:val="2"/>
                  <w:shd w:val="clear" w:color="auto" w:fill="auto"/>
                  <w:vAlign w:val="center"/>
                </w:tcPr>
                <w:p w14:paraId="20DDC886">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1</w:t>
                  </w:r>
                  <w:r>
                    <w:rPr>
                      <w:rFonts w:hint="eastAsia" w:cs="Times New Roman"/>
                      <w:color w:val="auto"/>
                      <w:sz w:val="21"/>
                      <w:szCs w:val="21"/>
                      <w:lang w:val="en-US" w:eastAsia="zh-CN"/>
                    </w:rPr>
                    <w:t>、优化产业布局。强化铸造与装备制造业协同布局，支持企业围绕主机厂或重大项目配套生产，鼓励布局新能源、高端装备制造等行业铸件制造，提升产业链供应链协同配套能力，构建布局合理、供需联动、协同发展的产业格局。</w:t>
                  </w:r>
                </w:p>
                <w:p w14:paraId="4CA3813A">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2</w:t>
                  </w:r>
                  <w:r>
                    <w:rPr>
                      <w:rFonts w:hint="eastAsia" w:cs="Times New Roman"/>
                      <w:color w:val="auto"/>
                      <w:sz w:val="21"/>
                      <w:szCs w:val="21"/>
                      <w:lang w:val="en-US" w:eastAsia="zh-CN"/>
                    </w:rPr>
                    <w:t>、严格项目审批。支持高端项目建设，鼓励企业在重点领域高端铸件产品取得突破，掌握一批具有自主知识产权的核心技术。严格落实主要污染物排放总量控制、能源消耗总量和强度调控制度，鼓励企业参照《铸造企业规范条件》（</w:t>
                  </w:r>
                  <w:r>
                    <w:rPr>
                      <w:rFonts w:hint="default" w:cs="Times New Roman"/>
                      <w:color w:val="auto"/>
                      <w:sz w:val="21"/>
                      <w:szCs w:val="21"/>
                      <w:lang w:val="en-US" w:eastAsia="zh-CN"/>
                    </w:rPr>
                    <w:t>T/CFA0310021</w:t>
                  </w:r>
                  <w:r>
                    <w:rPr>
                      <w:rFonts w:hint="eastAsia" w:cs="Times New Roman"/>
                      <w:color w:val="auto"/>
                      <w:sz w:val="21"/>
                      <w:szCs w:val="21"/>
                      <w:lang w:val="en-US" w:eastAsia="zh-CN"/>
                    </w:rPr>
                    <w:t>）发展，坚决遏制不符合要求的项目盲目发展和低水平重复建设，防止产能盲目扩张。严格审批新建、改扩建项目，确保项目备案、环评、排污许可、安评、节能审查等手续清晰、完备，项目建设符合国家相关法律法规标准要求。</w:t>
                  </w:r>
                </w:p>
                <w:p w14:paraId="7CABB649">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3</w:t>
                  </w:r>
                  <w:r>
                    <w:rPr>
                      <w:rFonts w:hint="eastAsia" w:cs="Times New Roman"/>
                      <w:color w:val="auto"/>
                      <w:sz w:val="21"/>
                      <w:szCs w:val="21"/>
                      <w:lang w:val="en-US" w:eastAsia="zh-CN"/>
                    </w:rPr>
                    <w:t>、推进存量升级。提高行业创新能力，鼓励企业开展关键核心技术攻关，聚焦国家战略和产业发展需求，实施产业基础再造工程；引导企业发展先进铸造工艺与装备，推进企业合理选择低污染、低能耗、经济高效的先进工艺技术，提升行业竞争能力；鼓励行业绿色发展加快绿色低碳转型，推进绿色方式贯穿铸造生产全流程；推进行业智能化改造，加快新一代信息技术与铸造生产全过程、全要素深度融合。</w:t>
                  </w:r>
                </w:p>
                <w:p w14:paraId="6FD7BA33">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4</w:t>
                  </w:r>
                  <w:r>
                    <w:rPr>
                      <w:rFonts w:hint="eastAsia" w:cs="Times New Roman"/>
                      <w:color w:val="auto"/>
                      <w:sz w:val="21"/>
                      <w:szCs w:val="21"/>
                      <w:lang w:val="en-US" w:eastAsia="zh-CN"/>
                    </w:rPr>
                    <w:t>、加快项目淘汰。严格执行节能、环保、质量、安全技术等相关法律法规标准和《产业结构调整指导目录》等政策，依法依规淘汰工艺装备落后、污染物排放不达标、生产安全无保障的落后产能；严格执行《铸造工业大气污染物排放标准》（</w:t>
                  </w:r>
                  <w:r>
                    <w:rPr>
                      <w:rFonts w:hint="default" w:cs="Times New Roman"/>
                      <w:color w:val="auto"/>
                      <w:sz w:val="21"/>
                      <w:szCs w:val="21"/>
                      <w:lang w:val="en-US" w:eastAsia="zh-CN"/>
                    </w:rPr>
                    <w:t>GB39726</w:t>
                  </w:r>
                  <w:r>
                    <w:rPr>
                      <w:rFonts w:hint="eastAsia" w:cs="Times New Roman"/>
                      <w:color w:val="auto"/>
                      <w:sz w:val="21"/>
                      <w:szCs w:val="21"/>
                      <w:lang w:val="en-US" w:eastAsia="zh-CN"/>
                    </w:rPr>
                    <w:t>）及地方排放标准，加强无组织排放控制，不能稳定达标排放的，限期完成设施升级改造，不具备改造条件及改造后仍不能达标的，依法依规进行淘汰。</w:t>
                  </w:r>
                </w:p>
              </w:tc>
              <w:tc>
                <w:tcPr>
                  <w:tcW w:w="1727" w:type="pct"/>
                  <w:gridSpan w:val="2"/>
                  <w:shd w:val="clear" w:color="auto" w:fill="auto"/>
                  <w:vAlign w:val="center"/>
                </w:tcPr>
                <w:p w14:paraId="5ECC40B6">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本项目位于常州经济开发区，与区域规划及产业定位相符；已对照《铸造企业规范条件》（</w:t>
                  </w:r>
                  <w:r>
                    <w:rPr>
                      <w:rFonts w:hint="default" w:cs="Times New Roman"/>
                      <w:color w:val="auto"/>
                      <w:sz w:val="21"/>
                      <w:szCs w:val="21"/>
                      <w:lang w:val="en-US" w:eastAsia="zh-CN"/>
                    </w:rPr>
                    <w:t>T/CFA0310021-2023</w:t>
                  </w:r>
                  <w:r>
                    <w:rPr>
                      <w:rFonts w:hint="eastAsia" w:cs="Times New Roman"/>
                      <w:color w:val="auto"/>
                      <w:sz w:val="21"/>
                      <w:szCs w:val="21"/>
                      <w:lang w:val="en-US" w:eastAsia="zh-CN"/>
                    </w:rPr>
                    <w:t>），符合相关法律法规标准要求；本项目采用金属型铸造、高压铸造工艺和技术装备，属于先进铸造工艺与装备；本项目不涉及工艺装备、污染物排放不达标、生产安全无保障的落后产能。</w:t>
                  </w:r>
                </w:p>
              </w:tc>
            </w:tr>
            <w:tr w14:paraId="0EE3A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9" w:type="pct"/>
                  <w:gridSpan w:val="3"/>
                  <w:shd w:val="clear" w:color="auto" w:fill="auto"/>
                  <w:vAlign w:val="center"/>
                </w:tcPr>
                <w:p w14:paraId="1EC2B05F">
                  <w:pPr>
                    <w:pStyle w:val="66"/>
                    <w:keepNext w:val="0"/>
                    <w:keepLines w:val="0"/>
                    <w:suppressLineNumbers w:val="0"/>
                    <w:spacing w:before="0" w:beforeAutospacing="0" w:after="0" w:afterAutospacing="0" w:line="240" w:lineRule="auto"/>
                    <w:ind w:right="0" w:rightChars="0"/>
                    <w:jc w:val="center"/>
                    <w:rPr>
                      <w:rFonts w:hint="eastAsia" w:cs="Times New Roman"/>
                      <w:color w:val="auto"/>
                      <w:sz w:val="21"/>
                      <w:szCs w:val="21"/>
                      <w:lang w:val="en-US" w:eastAsia="zh-CN"/>
                    </w:rPr>
                  </w:pPr>
                </w:p>
              </w:tc>
              <w:tc>
                <w:tcPr>
                  <w:tcW w:w="2672" w:type="pct"/>
                  <w:gridSpan w:val="2"/>
                  <w:shd w:val="clear" w:color="auto" w:fill="auto"/>
                  <w:vAlign w:val="center"/>
                </w:tcPr>
                <w:p w14:paraId="0694851B">
                  <w:pPr>
                    <w:pStyle w:val="66"/>
                    <w:keepNext w:val="0"/>
                    <w:keepLines w:val="0"/>
                    <w:suppressLineNumbers w:val="0"/>
                    <w:spacing w:before="0" w:beforeAutospacing="0" w:after="0" w:afterAutospacing="0" w:line="240" w:lineRule="auto"/>
                    <w:ind w:right="0" w:rightChars="0"/>
                    <w:jc w:val="both"/>
                    <w:rPr>
                      <w:rFonts w:hint="default" w:cs="Times New Roman"/>
                      <w:color w:val="auto"/>
                      <w:sz w:val="21"/>
                      <w:szCs w:val="21"/>
                      <w:lang w:val="en-US" w:eastAsia="zh-CN"/>
                    </w:rPr>
                  </w:pPr>
                  <w:r>
                    <w:rPr>
                      <w:rFonts w:hint="default" w:cs="Times New Roman"/>
                      <w:color w:val="auto"/>
                      <w:sz w:val="21"/>
                      <w:szCs w:val="21"/>
                      <w:lang w:val="en-US" w:eastAsia="zh-CN"/>
                    </w:rPr>
                    <w:t>1、装备技术水平方面。符合国家有关产业政策，具备先进的生</w:t>
                  </w:r>
                  <w:r>
                    <w:rPr>
                      <w:rFonts w:hint="eastAsia" w:cs="Times New Roman"/>
                      <w:color w:val="auto"/>
                      <w:sz w:val="21"/>
                      <w:szCs w:val="21"/>
                      <w:lang w:val="en-US" w:eastAsia="zh-CN"/>
                    </w:rPr>
                    <w:t>产工艺、装备技术水平，原则上应当列入国家发改委《产业结构调整指导目录（</w:t>
                  </w:r>
                  <w:r>
                    <w:rPr>
                      <w:rFonts w:hint="default" w:cs="Times New Roman"/>
                      <w:color w:val="auto"/>
                      <w:sz w:val="21"/>
                      <w:szCs w:val="21"/>
                      <w:lang w:val="en-US" w:eastAsia="zh-CN"/>
                    </w:rPr>
                    <w:t>2019</w:t>
                  </w:r>
                  <w:r>
                    <w:rPr>
                      <w:rFonts w:hint="eastAsia" w:cs="Times New Roman"/>
                      <w:color w:val="auto"/>
                      <w:sz w:val="21"/>
                      <w:szCs w:val="21"/>
                      <w:lang w:val="en-US" w:eastAsia="zh-CN"/>
                    </w:rPr>
                    <w:t>年本）鼓励类》或《指导意见》中“发展先进铸造工艺与装备重点发展种类”。</w:t>
                  </w:r>
                </w:p>
                <w:p w14:paraId="5DB2519E">
                  <w:pPr>
                    <w:pStyle w:val="66"/>
                    <w:keepNext w:val="0"/>
                    <w:keepLines w:val="0"/>
                    <w:suppressLineNumbers w:val="0"/>
                    <w:spacing w:before="0" w:beforeAutospacing="0" w:after="0" w:afterAutospacing="0" w:line="240" w:lineRule="auto"/>
                    <w:ind w:right="0" w:rightChars="0"/>
                    <w:jc w:val="both"/>
                    <w:rPr>
                      <w:rFonts w:hint="default" w:cs="Times New Roman"/>
                      <w:color w:val="auto"/>
                      <w:sz w:val="21"/>
                      <w:szCs w:val="21"/>
                      <w:lang w:val="en-US" w:eastAsia="zh-CN"/>
                    </w:rPr>
                  </w:pPr>
                  <w:r>
                    <w:rPr>
                      <w:rFonts w:hint="default" w:cs="Times New Roman"/>
                      <w:color w:val="auto"/>
                      <w:sz w:val="21"/>
                      <w:szCs w:val="21"/>
                      <w:lang w:val="en-US" w:eastAsia="zh-CN"/>
                    </w:rPr>
                    <w:t>2</w:t>
                  </w:r>
                  <w:r>
                    <w:rPr>
                      <w:rFonts w:hint="eastAsia" w:cs="Times New Roman"/>
                      <w:color w:val="auto"/>
                      <w:sz w:val="21"/>
                      <w:szCs w:val="21"/>
                      <w:lang w:val="en-US" w:eastAsia="zh-CN"/>
                    </w:rPr>
                    <w:t>、污染物排放方面。铸造项目应当符合国家安全生产相关法律法规和标准要求，并满足《铸造工业大气污染物排放标准》（</w:t>
                  </w:r>
                  <w:r>
                    <w:rPr>
                      <w:rFonts w:hint="default" w:cs="Times New Roman"/>
                      <w:color w:val="auto"/>
                      <w:sz w:val="21"/>
                      <w:szCs w:val="21"/>
                      <w:lang w:val="en-US" w:eastAsia="zh-CN"/>
                    </w:rPr>
                    <w:t>GB39726</w:t>
                  </w:r>
                  <w:r>
                    <w:rPr>
                      <w:rFonts w:hint="eastAsia" w:cs="Times New Roman"/>
                      <w:color w:val="auto"/>
                      <w:sz w:val="21"/>
                      <w:szCs w:val="21"/>
                      <w:lang w:val="en-US" w:eastAsia="zh-CN"/>
                    </w:rPr>
                    <w:t>）。鼓励企业采取低（无）挥发性有机物（</w:t>
                  </w:r>
                  <w:r>
                    <w:rPr>
                      <w:rFonts w:hint="default" w:cs="Times New Roman"/>
                      <w:color w:val="auto"/>
                      <w:sz w:val="21"/>
                      <w:szCs w:val="21"/>
                      <w:lang w:val="en-US" w:eastAsia="zh-CN"/>
                    </w:rPr>
                    <w:t>VOCs</w:t>
                  </w:r>
                  <w:r>
                    <w:rPr>
                      <w:rFonts w:hint="eastAsia" w:cs="Times New Roman"/>
                      <w:color w:val="auto"/>
                      <w:sz w:val="21"/>
                      <w:szCs w:val="21"/>
                      <w:lang w:val="en-US" w:eastAsia="zh-CN"/>
                    </w:rPr>
                    <w:t>）含量原辅材料的源头替代，确有需要的应当确保所有产生</w:t>
                  </w:r>
                  <w:r>
                    <w:rPr>
                      <w:rFonts w:hint="default" w:cs="Times New Roman"/>
                      <w:color w:val="auto"/>
                      <w:sz w:val="21"/>
                      <w:szCs w:val="21"/>
                      <w:lang w:val="en-US" w:eastAsia="zh-CN"/>
                    </w:rPr>
                    <w:t>VOCs</w:t>
                  </w:r>
                  <w:r>
                    <w:rPr>
                      <w:rFonts w:hint="eastAsia" w:cs="Times New Roman"/>
                      <w:color w:val="auto"/>
                      <w:sz w:val="21"/>
                      <w:szCs w:val="21"/>
                      <w:lang w:val="en-US" w:eastAsia="zh-CN"/>
                    </w:rPr>
                    <w:t>和颗粒物的工序应配备高效收集和处理装置，企业在物料储存、输送等环节，在保障安全生产的前提下，应采取密闭、封闭等有效措施控制无组织排放，全面实现铸造废砂再生循环利用。</w:t>
                  </w:r>
                </w:p>
                <w:p w14:paraId="4CE6D9DB">
                  <w:pPr>
                    <w:pStyle w:val="66"/>
                    <w:keepNext w:val="0"/>
                    <w:keepLines w:val="0"/>
                    <w:suppressLineNumbers w:val="0"/>
                    <w:spacing w:before="0" w:beforeAutospacing="0" w:after="0" w:afterAutospacing="0" w:line="240" w:lineRule="auto"/>
                    <w:ind w:right="0" w:rightChars="0"/>
                    <w:jc w:val="both"/>
                    <w:rPr>
                      <w:rFonts w:hint="default" w:cs="Times New Roman"/>
                      <w:color w:val="auto"/>
                      <w:sz w:val="21"/>
                      <w:szCs w:val="21"/>
                      <w:lang w:val="en-US" w:eastAsia="zh-CN"/>
                    </w:rPr>
                  </w:pPr>
                  <w:r>
                    <w:rPr>
                      <w:rFonts w:hint="default" w:cs="Times New Roman"/>
                      <w:color w:val="auto"/>
                      <w:sz w:val="21"/>
                      <w:szCs w:val="21"/>
                      <w:lang w:val="en-US" w:eastAsia="zh-CN"/>
                    </w:rPr>
                    <w:t>3</w:t>
                  </w:r>
                  <w:r>
                    <w:rPr>
                      <w:rFonts w:hint="eastAsia" w:cs="Times New Roman"/>
                      <w:color w:val="auto"/>
                      <w:sz w:val="21"/>
                      <w:szCs w:val="21"/>
                      <w:lang w:val="en-US" w:eastAsia="zh-CN"/>
                    </w:rPr>
                    <w:t>、能源消费方面。新建、技术改造铸造项目需符合绿色发展、低碳节能的生产理念，使用天然气或电力等清洁能源，严格控制能耗强度，用能设备达到一级能效水平标准，能耗强度不得高于《单位能耗限额江苏省地方标准》（附件</w:t>
                  </w:r>
                  <w:r>
                    <w:rPr>
                      <w:rFonts w:hint="default" w:cs="Times New Roman"/>
                      <w:color w:val="auto"/>
                      <w:sz w:val="21"/>
                      <w:szCs w:val="21"/>
                      <w:lang w:val="en-US" w:eastAsia="zh-CN"/>
                    </w:rPr>
                    <w:t>2</w:t>
                  </w:r>
                  <w:r>
                    <w:rPr>
                      <w:rFonts w:hint="eastAsia" w:cs="Times New Roman"/>
                      <w:color w:val="auto"/>
                      <w:sz w:val="21"/>
                      <w:szCs w:val="21"/>
                      <w:lang w:val="en-US" w:eastAsia="zh-CN"/>
                    </w:rPr>
                    <w:t>）铸造行业的准入标准。技术改造铸造项目实施后，能耗强度应当有所下降。</w:t>
                  </w:r>
                </w:p>
                <w:p w14:paraId="17E56B0D">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default" w:cs="Times New Roman"/>
                      <w:color w:val="auto"/>
                      <w:sz w:val="21"/>
                      <w:szCs w:val="21"/>
                      <w:lang w:val="en-US" w:eastAsia="zh-CN"/>
                    </w:rPr>
                    <w:t>4.</w:t>
                  </w:r>
                  <w:r>
                    <w:rPr>
                      <w:rFonts w:hint="eastAsia" w:cs="Times New Roman"/>
                      <w:color w:val="auto"/>
                      <w:sz w:val="21"/>
                      <w:szCs w:val="21"/>
                      <w:lang w:val="en-US" w:eastAsia="zh-CN"/>
                    </w:rPr>
                    <w:t>安全生产方面。申报项目不得使用应当淘汰的危及生产安全的工艺、设备，符合《国家安全监管总局关于发布金属冶炼企业禁止使用的设备及工艺目录（第一批）的通知》（安监总管四﹝</w:t>
                  </w:r>
                  <w:r>
                    <w:rPr>
                      <w:rFonts w:hint="default" w:cs="Times New Roman"/>
                      <w:color w:val="auto"/>
                      <w:sz w:val="21"/>
                      <w:szCs w:val="21"/>
                      <w:lang w:val="en-US" w:eastAsia="zh-CN"/>
                    </w:rPr>
                    <w:t>2017</w:t>
                  </w:r>
                  <w:r>
                    <w:rPr>
                      <w:rFonts w:hint="eastAsia" w:cs="Times New Roman"/>
                      <w:color w:val="auto"/>
                      <w:sz w:val="21"/>
                      <w:szCs w:val="21"/>
                      <w:lang w:val="en-US" w:eastAsia="zh-CN"/>
                    </w:rPr>
                    <w:t>﹞</w:t>
                  </w:r>
                  <w:r>
                    <w:rPr>
                      <w:rFonts w:hint="default" w:cs="Times New Roman"/>
                      <w:color w:val="auto"/>
                      <w:sz w:val="21"/>
                      <w:szCs w:val="21"/>
                      <w:lang w:val="en-US" w:eastAsia="zh-CN"/>
                    </w:rPr>
                    <w:t>142</w:t>
                  </w:r>
                  <w:r>
                    <w:rPr>
                      <w:rFonts w:hint="eastAsia" w:cs="Times New Roman"/>
                      <w:color w:val="auto"/>
                      <w:sz w:val="21"/>
                      <w:szCs w:val="21"/>
                      <w:lang w:val="en-US" w:eastAsia="zh-CN"/>
                    </w:rPr>
                    <w:t>号）文件要求，涉及危险化学品使用量较多的铸造项目应配有危险化学品专用仓库。</w:t>
                  </w:r>
                </w:p>
              </w:tc>
              <w:tc>
                <w:tcPr>
                  <w:tcW w:w="1727" w:type="pct"/>
                  <w:gridSpan w:val="2"/>
                  <w:shd w:val="clear" w:color="auto" w:fill="auto"/>
                  <w:vAlign w:val="center"/>
                </w:tcPr>
                <w:p w14:paraId="3DDE3028">
                  <w:pPr>
                    <w:pStyle w:val="66"/>
                    <w:keepNext w:val="0"/>
                    <w:keepLines w:val="0"/>
                    <w:suppressLineNumbers w:val="0"/>
                    <w:spacing w:before="0" w:beforeAutospacing="0" w:after="0" w:afterAutospacing="0" w:line="240" w:lineRule="auto"/>
                    <w:ind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本项目采用金属型铸造、高压铸造工艺，对照《产业结构调整指导目录（</w:t>
                  </w:r>
                  <w:r>
                    <w:rPr>
                      <w:rFonts w:hint="default" w:cs="Times New Roman"/>
                      <w:color w:val="auto"/>
                      <w:sz w:val="21"/>
                      <w:szCs w:val="21"/>
                      <w:lang w:val="en-US" w:eastAsia="zh-CN"/>
                    </w:rPr>
                    <w:t>2024</w:t>
                  </w:r>
                  <w:r>
                    <w:rPr>
                      <w:rFonts w:hint="eastAsia" w:cs="Times New Roman"/>
                      <w:color w:val="auto"/>
                      <w:sz w:val="21"/>
                      <w:szCs w:val="21"/>
                      <w:lang w:val="en-US" w:eastAsia="zh-CN"/>
                    </w:rPr>
                    <w:t>年本）》，属于鼓励类；本项目废气均采取有效、可靠的治理措施治理后达标排放，铸造工序产生的废气执行《铸造工业大气污染物排放标准》（</w:t>
                  </w:r>
                  <w:r>
                    <w:rPr>
                      <w:rFonts w:hint="default" w:cs="Times New Roman"/>
                      <w:color w:val="auto"/>
                      <w:sz w:val="21"/>
                      <w:szCs w:val="21"/>
                      <w:lang w:val="en-US" w:eastAsia="zh-CN"/>
                    </w:rPr>
                    <w:t>GB39726-2020</w:t>
                  </w:r>
                  <w:r>
                    <w:rPr>
                      <w:rFonts w:hint="eastAsia" w:cs="Times New Roman"/>
                      <w:color w:val="auto"/>
                      <w:sz w:val="21"/>
                      <w:szCs w:val="21"/>
                      <w:lang w:val="en-US" w:eastAsia="zh-CN"/>
                    </w:rPr>
                    <w:t>）中的相关排放限值；本项目主要能耗种类包括电、新鲜水、天然气，用能设备均达到一级能效水平标准；本项目不涉及淘汰的工艺、设备，不涉及（安监总管四﹝</w:t>
                  </w:r>
                  <w:r>
                    <w:rPr>
                      <w:rFonts w:hint="default" w:cs="Times New Roman"/>
                      <w:color w:val="auto"/>
                      <w:sz w:val="21"/>
                      <w:szCs w:val="21"/>
                      <w:lang w:val="en-US" w:eastAsia="zh-CN"/>
                    </w:rPr>
                    <w:t>2017</w:t>
                  </w:r>
                  <w:r>
                    <w:rPr>
                      <w:rFonts w:hint="eastAsia" w:cs="Times New Roman"/>
                      <w:color w:val="auto"/>
                      <w:sz w:val="21"/>
                      <w:szCs w:val="21"/>
                      <w:lang w:val="en-US" w:eastAsia="zh-CN"/>
                    </w:rPr>
                    <w:t>﹞</w:t>
                  </w:r>
                  <w:r>
                    <w:rPr>
                      <w:rFonts w:hint="default" w:cs="Times New Roman"/>
                      <w:color w:val="auto"/>
                      <w:sz w:val="21"/>
                      <w:szCs w:val="21"/>
                      <w:lang w:val="en-US" w:eastAsia="zh-CN"/>
                    </w:rPr>
                    <w:t>142</w:t>
                  </w:r>
                  <w:r>
                    <w:rPr>
                      <w:rFonts w:hint="eastAsia" w:cs="Times New Roman"/>
                      <w:color w:val="auto"/>
                      <w:sz w:val="21"/>
                      <w:szCs w:val="21"/>
                      <w:lang w:val="en-US" w:eastAsia="zh-CN"/>
                    </w:rPr>
                    <w:t>号）文件附件中金属冶炼企业禁止使用的设备及工艺，符合要求。</w:t>
                  </w:r>
                </w:p>
              </w:tc>
            </w:tr>
            <w:tr w14:paraId="78BD3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shd w:val="clear" w:color="auto" w:fill="auto"/>
                  <w:vAlign w:val="center"/>
                </w:tcPr>
                <w:p w14:paraId="7E5F2A63">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default" w:ascii="Times New Roman" w:hAnsi="Times New Roman" w:cs="Times New Roman"/>
                      <w:b/>
                      <w:bCs/>
                      <w:color w:val="auto"/>
                      <w:sz w:val="21"/>
                      <w:szCs w:val="21"/>
                      <w:lang w:val="en-US" w:eastAsia="zh-CN"/>
                    </w:rPr>
                    <w:t>《关于建立常州市跨部门专家联合会商工作机制的通知》（常安办[2024]9号）</w:t>
                  </w:r>
                </w:p>
              </w:tc>
            </w:tr>
            <w:tr w14:paraId="40536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55" w:type="dxa"/>
                  <w:gridSpan w:val="5"/>
                  <w:shd w:val="clear" w:color="auto" w:fill="auto"/>
                  <w:vAlign w:val="center"/>
                </w:tcPr>
                <w:p w14:paraId="270DF982">
                  <w:pPr>
                    <w:pStyle w:val="66"/>
                    <w:keepNext w:val="0"/>
                    <w:keepLines w:val="0"/>
                    <w:suppressLineNumbers w:val="0"/>
                    <w:spacing w:before="0" w:beforeAutospacing="0" w:after="0" w:afterAutospacing="0" w:line="240" w:lineRule="auto"/>
                    <w:ind w:right="0" w:righ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会商范围：存在以下情形时，各部门应联合组织专家开展集体会商研判：（一）新改扩建单班涉粉作业10人以上的铝镁金属粉尘除尘系统；（二）新改扩建单班涉粉作业30人以上的其他涉爆粉尘除尘系统；（三）存在除尘系统平面布置、通风手机方式、防火分区布局、设备设施等跨领域复杂疑难技术问题的；（四）粉尘涉爆领域监管政策的制定；（五）其他需要会商的情形。</w:t>
                  </w:r>
                </w:p>
              </w:tc>
              <w:tc>
                <w:tcPr>
                  <w:tcW w:w="2459" w:type="dxa"/>
                  <w:gridSpan w:val="2"/>
                  <w:shd w:val="clear" w:color="auto" w:fill="auto"/>
                  <w:vAlign w:val="center"/>
                </w:tcPr>
                <w:p w14:paraId="34D7450E">
                  <w:pPr>
                    <w:pStyle w:val="66"/>
                    <w:keepNext w:val="0"/>
                    <w:keepLines w:val="0"/>
                    <w:suppressLineNumbers w:val="0"/>
                    <w:spacing w:before="0" w:beforeAutospacing="0" w:after="0" w:afterAutospacing="0" w:line="240" w:lineRule="auto"/>
                    <w:ind w:right="0" w:right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本项目主要原料为铝合金，</w:t>
                  </w:r>
                  <w:r>
                    <w:rPr>
                      <w:rFonts w:hint="eastAsia" w:ascii="Times New Roman" w:hAnsi="Times New Roman" w:cs="Times New Roman"/>
                      <w:color w:val="auto"/>
                      <w:sz w:val="21"/>
                      <w:szCs w:val="21"/>
                      <w:lang w:val="en-US" w:eastAsia="zh-CN"/>
                    </w:rPr>
                    <w:t>不</w:t>
                  </w:r>
                  <w:r>
                    <w:rPr>
                      <w:rFonts w:hint="default" w:ascii="Times New Roman" w:hAnsi="Times New Roman" w:cs="Times New Roman"/>
                      <w:color w:val="auto"/>
                      <w:sz w:val="21"/>
                      <w:szCs w:val="21"/>
                      <w:lang w:val="en-US" w:eastAsia="zh-CN"/>
                    </w:rPr>
                    <w:t>涉及打磨、抛丸</w:t>
                  </w:r>
                  <w:r>
                    <w:rPr>
                      <w:rFonts w:hint="eastAsia" w:ascii="Times New Roman" w:hAnsi="Times New Roman" w:cs="Times New Roman"/>
                      <w:color w:val="auto"/>
                      <w:sz w:val="21"/>
                      <w:szCs w:val="21"/>
                      <w:lang w:val="en-US" w:eastAsia="zh-CN"/>
                    </w:rPr>
                    <w:t>等涉及可燃性粉尘的</w:t>
                  </w:r>
                  <w:r>
                    <w:rPr>
                      <w:rFonts w:hint="default" w:ascii="Times New Roman" w:hAnsi="Times New Roman" w:cs="Times New Roman"/>
                      <w:color w:val="auto"/>
                      <w:sz w:val="21"/>
                      <w:szCs w:val="21"/>
                      <w:lang w:val="en-US" w:eastAsia="zh-CN"/>
                    </w:rPr>
                    <w:t>工序，故不属于需要会商的情形，企业需完善管理制度，做好相应安全措施。</w:t>
                  </w:r>
                </w:p>
              </w:tc>
            </w:tr>
          </w:tbl>
          <w:p w14:paraId="790EBFA2">
            <w:pPr>
              <w:autoSpaceDE w:val="0"/>
              <w:autoSpaceDN w:val="0"/>
              <w:adjustRightInd w:val="0"/>
              <w:rPr>
                <w:b/>
                <w:bCs/>
              </w:rPr>
            </w:pPr>
          </w:p>
          <w:p w14:paraId="6D8FB439">
            <w:pPr>
              <w:pStyle w:val="2"/>
            </w:pPr>
          </w:p>
          <w:p w14:paraId="5FF9F695">
            <w:pPr>
              <w:pStyle w:val="3"/>
              <w:widowControl w:val="0"/>
              <w:numPr>
                <w:ilvl w:val="0"/>
                <w:numId w:val="0"/>
              </w:numPr>
              <w:spacing w:line="360" w:lineRule="auto"/>
              <w:jc w:val="both"/>
            </w:pPr>
          </w:p>
          <w:p w14:paraId="53FC097E">
            <w:pPr>
              <w:pStyle w:val="3"/>
              <w:widowControl w:val="0"/>
              <w:numPr>
                <w:ilvl w:val="0"/>
                <w:numId w:val="0"/>
              </w:numPr>
              <w:spacing w:line="360" w:lineRule="auto"/>
              <w:jc w:val="both"/>
            </w:pPr>
          </w:p>
        </w:tc>
      </w:tr>
    </w:tbl>
    <w:p w14:paraId="37087200">
      <w:pPr>
        <w:rPr>
          <w:rFonts w:hint="eastAsia"/>
          <w:sz w:val="24"/>
          <w:szCs w:val="21"/>
          <w:lang w:val="en-US" w:eastAsia="zh-CN"/>
        </w:rPr>
      </w:pPr>
      <w:r>
        <w:rPr>
          <w:rFonts w:hint="eastAsia"/>
          <w:sz w:val="24"/>
          <w:szCs w:val="21"/>
          <w:lang w:val="en-US" w:eastAsia="zh-CN"/>
        </w:rPr>
        <w:br w:type="page"/>
      </w:r>
    </w:p>
    <w:p w14:paraId="55354B90">
      <w:pPr>
        <w:outlineLvl w:val="0"/>
        <w:rPr>
          <w:rFonts w:hint="eastAsia"/>
          <w:sz w:val="24"/>
          <w:szCs w:val="21"/>
          <w:lang w:val="en-US" w:eastAsia="zh-CN"/>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03"/>
        <w:gridCol w:w="459"/>
        <w:gridCol w:w="873"/>
        <w:gridCol w:w="620"/>
        <w:gridCol w:w="584"/>
        <w:gridCol w:w="1244"/>
        <w:gridCol w:w="2145"/>
        <w:gridCol w:w="1890"/>
        <w:gridCol w:w="1638"/>
        <w:gridCol w:w="1638"/>
        <w:gridCol w:w="1258"/>
      </w:tblGrid>
      <w:tr w14:paraId="7A12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vAlign w:val="center"/>
          </w:tcPr>
          <w:p w14:paraId="23AB9C5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eastAsia"/>
                <w:b/>
                <w:bCs/>
                <w:sz w:val="24"/>
                <w:szCs w:val="21"/>
                <w:lang w:val="en-US" w:eastAsia="zh-CN"/>
              </w:rPr>
              <w:t>与《铸造企业清洁生产要求 导则》（T/CFA 0308053-2019）的对照分析</w:t>
            </w:r>
          </w:p>
        </w:tc>
      </w:tr>
      <w:tr w14:paraId="1853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gridSpan w:val="5"/>
            <w:vAlign w:val="center"/>
          </w:tcPr>
          <w:p w14:paraId="42701F8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一级指标</w:t>
            </w:r>
          </w:p>
        </w:tc>
        <w:tc>
          <w:tcPr>
            <w:tcW w:w="3348" w:type="pct"/>
            <w:gridSpan w:val="6"/>
            <w:vAlign w:val="center"/>
          </w:tcPr>
          <w:p w14:paraId="799E8AE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二级指标</w:t>
            </w:r>
          </w:p>
        </w:tc>
        <w:tc>
          <w:tcPr>
            <w:tcW w:w="460" w:type="pct"/>
            <w:vMerge w:val="restart"/>
            <w:vAlign w:val="center"/>
          </w:tcPr>
          <w:p w14:paraId="7829962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本项目</w:t>
            </w:r>
          </w:p>
        </w:tc>
      </w:tr>
      <w:tr w14:paraId="2CF8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Align w:val="center"/>
          </w:tcPr>
          <w:p w14:paraId="573F694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指标项</w:t>
            </w:r>
          </w:p>
        </w:tc>
        <w:tc>
          <w:tcPr>
            <w:tcW w:w="220" w:type="pct"/>
            <w:vAlign w:val="center"/>
          </w:tcPr>
          <w:p w14:paraId="7F0E1E7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权重值</w:t>
            </w:r>
          </w:p>
        </w:tc>
        <w:tc>
          <w:tcPr>
            <w:tcW w:w="168" w:type="pct"/>
            <w:vAlign w:val="center"/>
          </w:tcPr>
          <w:p w14:paraId="2018B7C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序号</w:t>
            </w:r>
          </w:p>
        </w:tc>
        <w:tc>
          <w:tcPr>
            <w:tcW w:w="319" w:type="pct"/>
            <w:vAlign w:val="center"/>
          </w:tcPr>
          <w:p w14:paraId="6D3EEB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指标项</w:t>
            </w:r>
          </w:p>
        </w:tc>
        <w:tc>
          <w:tcPr>
            <w:tcW w:w="227" w:type="pct"/>
            <w:vAlign w:val="center"/>
          </w:tcPr>
          <w:p w14:paraId="3392FC9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分权重值</w:t>
            </w:r>
          </w:p>
        </w:tc>
        <w:tc>
          <w:tcPr>
            <w:tcW w:w="1455" w:type="pct"/>
            <w:gridSpan w:val="3"/>
            <w:vAlign w:val="center"/>
          </w:tcPr>
          <w:p w14:paraId="56969E0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指标内容</w:t>
            </w:r>
          </w:p>
        </w:tc>
        <w:tc>
          <w:tcPr>
            <w:tcW w:w="692" w:type="pct"/>
            <w:vAlign w:val="center"/>
          </w:tcPr>
          <w:p w14:paraId="45DFC99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Ⅰ级水平基准值（1.0）</w:t>
            </w:r>
          </w:p>
        </w:tc>
        <w:tc>
          <w:tcPr>
            <w:tcW w:w="600" w:type="pct"/>
            <w:shd w:val="clear" w:color="auto" w:fill="auto"/>
            <w:vAlign w:val="center"/>
          </w:tcPr>
          <w:p w14:paraId="42FD164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kern w:val="0"/>
                <w:sz w:val="21"/>
                <w:szCs w:val="21"/>
                <w:vertAlign w:val="baseline"/>
                <w:lang w:val="en-US" w:eastAsia="zh-CN" w:bidi="ar-SA"/>
              </w:rPr>
            </w:pPr>
            <w:r>
              <w:rPr>
                <w:rFonts w:hint="default" w:ascii="Times New Roman" w:hAnsi="Times New Roman" w:eastAsia="仿宋" w:cs="Times New Roman"/>
                <w:b/>
                <w:bCs/>
                <w:sz w:val="21"/>
                <w:szCs w:val="21"/>
                <w:vertAlign w:val="baseline"/>
                <w:lang w:val="en-US" w:eastAsia="zh-CN"/>
              </w:rPr>
              <w:t>Ⅱ级水平基准值（0.8）</w:t>
            </w:r>
          </w:p>
        </w:tc>
        <w:tc>
          <w:tcPr>
            <w:tcW w:w="600" w:type="pct"/>
            <w:shd w:val="clear" w:color="auto" w:fill="auto"/>
            <w:vAlign w:val="center"/>
          </w:tcPr>
          <w:p w14:paraId="1BA66F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kern w:val="0"/>
                <w:sz w:val="21"/>
                <w:szCs w:val="21"/>
                <w:vertAlign w:val="baseline"/>
                <w:lang w:val="en-US" w:eastAsia="zh-CN" w:bidi="ar-SA"/>
              </w:rPr>
            </w:pPr>
            <w:r>
              <w:rPr>
                <w:rFonts w:hint="default" w:ascii="Times New Roman" w:hAnsi="Times New Roman" w:eastAsia="仿宋" w:cs="Times New Roman"/>
                <w:b/>
                <w:bCs/>
                <w:sz w:val="21"/>
                <w:szCs w:val="21"/>
                <w:vertAlign w:val="baseline"/>
                <w:lang w:val="en-US" w:eastAsia="zh-CN"/>
              </w:rPr>
              <w:t>Ⅲ级水平基准值（0.6）</w:t>
            </w:r>
          </w:p>
        </w:tc>
        <w:tc>
          <w:tcPr>
            <w:tcW w:w="460" w:type="pct"/>
            <w:vMerge w:val="continue"/>
            <w:vAlign w:val="center"/>
          </w:tcPr>
          <w:p w14:paraId="6C72B53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r>
      <w:tr w14:paraId="7BDB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vAlign w:val="center"/>
          </w:tcPr>
          <w:p w14:paraId="6C8B81F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生产工艺与装备要求</w:t>
            </w:r>
          </w:p>
        </w:tc>
        <w:tc>
          <w:tcPr>
            <w:tcW w:w="220" w:type="pct"/>
            <w:vMerge w:val="restart"/>
            <w:vAlign w:val="center"/>
          </w:tcPr>
          <w:p w14:paraId="3CA77F9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25</w:t>
            </w:r>
          </w:p>
        </w:tc>
        <w:tc>
          <w:tcPr>
            <w:tcW w:w="168" w:type="pct"/>
            <w:vAlign w:val="center"/>
          </w:tcPr>
          <w:p w14:paraId="3707DF4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319" w:type="pct"/>
            <w:vAlign w:val="center"/>
          </w:tcPr>
          <w:p w14:paraId="4EE0565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铸件及铸造工艺设计</w:t>
            </w:r>
          </w:p>
        </w:tc>
        <w:tc>
          <w:tcPr>
            <w:tcW w:w="227" w:type="pct"/>
            <w:vAlign w:val="center"/>
          </w:tcPr>
          <w:p w14:paraId="7A5F83D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w:t>
            </w:r>
          </w:p>
        </w:tc>
        <w:tc>
          <w:tcPr>
            <w:tcW w:w="1455" w:type="pct"/>
            <w:gridSpan w:val="3"/>
            <w:vAlign w:val="center"/>
          </w:tcPr>
          <w:p w14:paraId="300AB6F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1、铸造工艺模拟及模具的计算机辅助设计；</w:t>
            </w:r>
          </w:p>
          <w:p w14:paraId="683279B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2、根据铸件使用要求优选合金牌号、进行铸件优化设计和铸件结构工艺性审查；</w:t>
            </w:r>
          </w:p>
          <w:p w14:paraId="6B20FB0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3、快速成形及铸造模具快速开发；</w:t>
            </w:r>
          </w:p>
          <w:p w14:paraId="7A3DA4D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4、面向铸件使用、维修及无害化处置与回收的集成设计；</w:t>
            </w:r>
          </w:p>
          <w:p w14:paraId="67AE2AC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5、满足基本性能和强度要求的模具或铸件的轻量化设计。</w:t>
            </w:r>
          </w:p>
        </w:tc>
        <w:tc>
          <w:tcPr>
            <w:tcW w:w="692" w:type="pct"/>
            <w:vAlign w:val="center"/>
          </w:tcPr>
          <w:p w14:paraId="25E32A0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3项满足</w:t>
            </w:r>
          </w:p>
        </w:tc>
        <w:tc>
          <w:tcPr>
            <w:tcW w:w="600" w:type="pct"/>
            <w:vAlign w:val="center"/>
          </w:tcPr>
          <w:p w14:paraId="21B5DF1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2项满足</w:t>
            </w:r>
          </w:p>
        </w:tc>
        <w:tc>
          <w:tcPr>
            <w:tcW w:w="600" w:type="pct"/>
            <w:vAlign w:val="center"/>
          </w:tcPr>
          <w:p w14:paraId="687C9F3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1项满足</w:t>
            </w:r>
          </w:p>
        </w:tc>
        <w:tc>
          <w:tcPr>
            <w:tcW w:w="460" w:type="pct"/>
            <w:vAlign w:val="center"/>
          </w:tcPr>
          <w:p w14:paraId="5FEA682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满足第1、2、3、5项指标，</w:t>
            </w:r>
            <w:r>
              <w:rPr>
                <w:rFonts w:hint="default" w:ascii="Times New Roman" w:hAnsi="Times New Roman" w:eastAsia="仿宋" w:cs="Times New Roman"/>
                <w:sz w:val="21"/>
                <w:szCs w:val="21"/>
                <w:vertAlign w:val="baseline"/>
                <w:lang w:val="en-US" w:eastAsia="zh-CN"/>
              </w:rPr>
              <w:t>Ⅰ级水平基准值</w:t>
            </w:r>
          </w:p>
        </w:tc>
      </w:tr>
      <w:tr w14:paraId="702F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390F74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7DC210D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79028CD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2</w:t>
            </w:r>
          </w:p>
        </w:tc>
        <w:tc>
          <w:tcPr>
            <w:tcW w:w="319" w:type="pct"/>
            <w:vMerge w:val="restart"/>
            <w:vAlign w:val="center"/>
          </w:tcPr>
          <w:p w14:paraId="1145650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熔炼及炉前处理工艺、设备及材料</w:t>
            </w:r>
          </w:p>
        </w:tc>
        <w:tc>
          <w:tcPr>
            <w:tcW w:w="227" w:type="pct"/>
            <w:vMerge w:val="restart"/>
            <w:vAlign w:val="center"/>
          </w:tcPr>
          <w:p w14:paraId="12E9B4F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6</w:t>
            </w:r>
          </w:p>
        </w:tc>
        <w:tc>
          <w:tcPr>
            <w:tcW w:w="213" w:type="pct"/>
            <w:vAlign w:val="center"/>
          </w:tcPr>
          <w:p w14:paraId="649DB53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铸铁件</w:t>
            </w:r>
          </w:p>
        </w:tc>
        <w:tc>
          <w:tcPr>
            <w:tcW w:w="1241" w:type="pct"/>
            <w:gridSpan w:val="2"/>
            <w:vAlign w:val="center"/>
          </w:tcPr>
          <w:p w14:paraId="39B19826">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right="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长炉龄水无（薄）炉衬热风冲天炉熔炼；</w:t>
            </w:r>
          </w:p>
          <w:p w14:paraId="510EC8BB">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right="0"/>
              <w:jc w:val="both"/>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富氧送风、除湿送风；</w:t>
            </w:r>
          </w:p>
          <w:p w14:paraId="192C0102">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right="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高炉（冲天炉）+感应电炉双联熔炼；</w:t>
            </w:r>
          </w:p>
          <w:p w14:paraId="4B4383A0">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5、高吸收率低排放转包、喂丝、盖包等球化或蠕化处理工艺；</w:t>
            </w:r>
          </w:p>
          <w:p w14:paraId="28878CEA">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6、金属液浴池里、过滤净化技术、高效孕育工艺、绿色孕育剂、球化处理剂的应用；</w:t>
            </w:r>
          </w:p>
          <w:p w14:paraId="31087BF6">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7、优质原材料、清洁原材料（废钢和回炉料等）的使用应，</w:t>
            </w:r>
          </w:p>
          <w:p w14:paraId="70130F9E">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8、优质高效铸造焦的应用；熔炼系统智能控制；</w:t>
            </w:r>
          </w:p>
          <w:p w14:paraId="1F51C6A4">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9、熔炼全自动浇注机（倾转式、底注式）应用；</w:t>
            </w:r>
          </w:p>
        </w:tc>
        <w:tc>
          <w:tcPr>
            <w:tcW w:w="692" w:type="pct"/>
            <w:vAlign w:val="center"/>
          </w:tcPr>
          <w:p w14:paraId="6310905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6</w:t>
            </w:r>
            <w:r>
              <w:rPr>
                <w:rFonts w:hint="default" w:ascii="Times New Roman" w:hAnsi="Times New Roman" w:eastAsia="仿宋" w:cs="Times New Roman"/>
                <w:sz w:val="21"/>
                <w:szCs w:val="21"/>
                <w:vertAlign w:val="baseline"/>
                <w:lang w:val="en-US" w:eastAsia="zh-CN"/>
              </w:rPr>
              <w:t>项及以上工艺、设备应用</w:t>
            </w:r>
          </w:p>
        </w:tc>
        <w:tc>
          <w:tcPr>
            <w:tcW w:w="600" w:type="pct"/>
            <w:vAlign w:val="center"/>
          </w:tcPr>
          <w:p w14:paraId="2538710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5</w:t>
            </w:r>
            <w:r>
              <w:rPr>
                <w:rFonts w:hint="default" w:ascii="Times New Roman" w:hAnsi="Times New Roman" w:eastAsia="仿宋" w:cs="Times New Roman"/>
                <w:sz w:val="21"/>
                <w:szCs w:val="21"/>
                <w:vertAlign w:val="baseline"/>
                <w:lang w:val="en-US" w:eastAsia="zh-CN"/>
              </w:rPr>
              <w:t>项及以上工艺、设备应用</w:t>
            </w:r>
          </w:p>
        </w:tc>
        <w:tc>
          <w:tcPr>
            <w:tcW w:w="600" w:type="pct"/>
            <w:vAlign w:val="center"/>
          </w:tcPr>
          <w:p w14:paraId="45BC1C4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项及以上工艺、设备应用</w:t>
            </w:r>
          </w:p>
        </w:tc>
        <w:tc>
          <w:tcPr>
            <w:tcW w:w="460" w:type="pct"/>
            <w:vAlign w:val="center"/>
          </w:tcPr>
          <w:p w14:paraId="13280A3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r>
      <w:tr w14:paraId="28A6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54BAB30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7235A4C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5A54B8F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319" w:type="pct"/>
            <w:vMerge w:val="continue"/>
            <w:vAlign w:val="center"/>
          </w:tcPr>
          <w:p w14:paraId="4435AD0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s="Times New Roman"/>
                <w:sz w:val="21"/>
                <w:szCs w:val="21"/>
                <w:vertAlign w:val="baseline"/>
                <w:lang w:val="en-US" w:eastAsia="zh-CN"/>
              </w:rPr>
            </w:pPr>
          </w:p>
        </w:tc>
        <w:tc>
          <w:tcPr>
            <w:tcW w:w="227" w:type="pct"/>
            <w:vMerge w:val="continue"/>
            <w:vAlign w:val="center"/>
          </w:tcPr>
          <w:p w14:paraId="0690139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s="Times New Roman"/>
                <w:sz w:val="21"/>
                <w:szCs w:val="21"/>
                <w:vertAlign w:val="baseline"/>
                <w:lang w:val="en-US" w:eastAsia="zh-CN"/>
              </w:rPr>
            </w:pPr>
          </w:p>
        </w:tc>
        <w:tc>
          <w:tcPr>
            <w:tcW w:w="213" w:type="pct"/>
            <w:vAlign w:val="center"/>
          </w:tcPr>
          <w:p w14:paraId="67A47CD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铸钢件</w:t>
            </w:r>
          </w:p>
        </w:tc>
        <w:tc>
          <w:tcPr>
            <w:tcW w:w="1241" w:type="pct"/>
            <w:gridSpan w:val="2"/>
            <w:vAlign w:val="center"/>
          </w:tcPr>
          <w:p w14:paraId="032797CA">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纯净钢液的炉外精炼技术（ASEA-SKF）、VOD、AOD、LF等；</w:t>
            </w:r>
          </w:p>
          <w:p w14:paraId="4F4BC53D">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镁铝尖晶石炉衬；</w:t>
            </w:r>
          </w:p>
          <w:p w14:paraId="79307AAA">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一拖二中频电炉、变频感应电炉熔化工艺；</w:t>
            </w:r>
          </w:p>
          <w:p w14:paraId="5EE11852">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强化脱氧（加氧助熔和复合脱氧剂的沉淀脱氧等）工艺；</w:t>
            </w:r>
          </w:p>
          <w:p w14:paraId="6BA6DF6B">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电渣熔铸短流程铸造工艺；</w:t>
            </w:r>
          </w:p>
          <w:p w14:paraId="2E7FC3DD">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电弧炉强化脱氧；</w:t>
            </w:r>
          </w:p>
          <w:p w14:paraId="242A05D6">
            <w:pPr>
              <w:pStyle w:val="2"/>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jc w:val="both"/>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电炉（电弧炉、中频炉）无功补偿兼谐波治理技术。</w:t>
            </w:r>
          </w:p>
        </w:tc>
        <w:tc>
          <w:tcPr>
            <w:tcW w:w="692" w:type="pct"/>
            <w:shd w:val="clear" w:color="auto" w:fill="auto"/>
            <w:vAlign w:val="center"/>
          </w:tcPr>
          <w:p w14:paraId="77C4FD2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4</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36D00BC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0F28CA7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2</w:t>
            </w:r>
            <w:r>
              <w:rPr>
                <w:rFonts w:hint="default" w:ascii="Times New Roman" w:hAnsi="Times New Roman" w:eastAsia="仿宋" w:cs="Times New Roman"/>
                <w:sz w:val="21"/>
                <w:szCs w:val="21"/>
                <w:vertAlign w:val="baseline"/>
                <w:lang w:val="en-US" w:eastAsia="zh-CN"/>
              </w:rPr>
              <w:t>项及以上工艺、设备应用</w:t>
            </w:r>
          </w:p>
        </w:tc>
        <w:tc>
          <w:tcPr>
            <w:tcW w:w="460" w:type="pct"/>
            <w:vAlign w:val="center"/>
          </w:tcPr>
          <w:p w14:paraId="7316AB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r w14:paraId="107D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254" w:type="pct"/>
            <w:vMerge w:val="continue"/>
            <w:vAlign w:val="center"/>
          </w:tcPr>
          <w:p w14:paraId="03E92E9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3B176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C1EC11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319" w:type="pct"/>
            <w:vMerge w:val="continue"/>
            <w:vAlign w:val="center"/>
          </w:tcPr>
          <w:p w14:paraId="1467386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3B3270C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13" w:type="pct"/>
            <w:vAlign w:val="center"/>
          </w:tcPr>
          <w:p w14:paraId="4076A0F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有色合金件</w:t>
            </w:r>
          </w:p>
        </w:tc>
        <w:tc>
          <w:tcPr>
            <w:tcW w:w="1241" w:type="pct"/>
            <w:gridSpan w:val="2"/>
            <w:vAlign w:val="center"/>
          </w:tcPr>
          <w:p w14:paraId="622116A0">
            <w:pPr>
              <w:pStyle w:val="2"/>
              <w:keepNext w:val="0"/>
              <w:keepLines w:val="0"/>
              <w:pageBreakBefore w:val="0"/>
              <w:widowControl/>
              <w:numPr>
                <w:ilvl w:val="0"/>
                <w:numId w:val="7"/>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铝合金惰性气体无毒精炼及长效变质处理工艺；（炉型、变质工艺、原材料）</w:t>
            </w:r>
          </w:p>
          <w:p w14:paraId="65C2EC50">
            <w:pPr>
              <w:pStyle w:val="2"/>
              <w:keepNext w:val="0"/>
              <w:keepLines w:val="0"/>
              <w:pageBreakBefore w:val="0"/>
              <w:widowControl/>
              <w:numPr>
                <w:ilvl w:val="0"/>
                <w:numId w:val="7"/>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炉料余热、熔化、保温一体化熔炼设备；</w:t>
            </w:r>
          </w:p>
          <w:p w14:paraId="3D0FC8E5">
            <w:pPr>
              <w:pStyle w:val="2"/>
              <w:keepNext w:val="0"/>
              <w:keepLines w:val="0"/>
              <w:pageBreakBefore w:val="0"/>
              <w:widowControl/>
              <w:numPr>
                <w:ilvl w:val="0"/>
                <w:numId w:val="7"/>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节能高效清洁燃气炉；</w:t>
            </w:r>
          </w:p>
          <w:p w14:paraId="4FE46B7A">
            <w:pPr>
              <w:pStyle w:val="2"/>
              <w:keepNext w:val="0"/>
              <w:keepLines w:val="0"/>
              <w:pageBreakBefore w:val="0"/>
              <w:widowControl/>
              <w:numPr>
                <w:ilvl w:val="0"/>
                <w:numId w:val="7"/>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无毒环保精炼剂的应用。</w:t>
            </w:r>
          </w:p>
        </w:tc>
        <w:tc>
          <w:tcPr>
            <w:tcW w:w="692" w:type="pct"/>
            <w:vAlign w:val="center"/>
          </w:tcPr>
          <w:p w14:paraId="6652D31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3项及以上工艺、设备应用</w:t>
            </w:r>
          </w:p>
        </w:tc>
        <w:tc>
          <w:tcPr>
            <w:tcW w:w="600" w:type="pct"/>
            <w:shd w:val="clear" w:color="auto" w:fill="auto"/>
            <w:vAlign w:val="center"/>
          </w:tcPr>
          <w:p w14:paraId="74D8950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2项及以上工艺、设备应用</w:t>
            </w:r>
          </w:p>
        </w:tc>
        <w:tc>
          <w:tcPr>
            <w:tcW w:w="600" w:type="pct"/>
            <w:shd w:val="clear" w:color="auto" w:fill="auto"/>
            <w:vAlign w:val="center"/>
          </w:tcPr>
          <w:p w14:paraId="37160B0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1项及以上工艺、设备应用</w:t>
            </w:r>
          </w:p>
        </w:tc>
        <w:tc>
          <w:tcPr>
            <w:tcW w:w="460" w:type="pct"/>
            <w:shd w:val="clear" w:color="auto" w:fill="auto"/>
            <w:vAlign w:val="center"/>
          </w:tcPr>
          <w:p w14:paraId="660450C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满足第2、3项指标，</w:t>
            </w:r>
            <w:r>
              <w:rPr>
                <w:rFonts w:hint="default" w:ascii="Times New Roman" w:hAnsi="Times New Roman" w:eastAsia="仿宋" w:cs="Times New Roman"/>
                <w:b w:val="0"/>
                <w:bCs w:val="0"/>
                <w:sz w:val="21"/>
                <w:szCs w:val="21"/>
                <w:vertAlign w:val="baseline"/>
                <w:lang w:val="en-US" w:eastAsia="zh-CN"/>
              </w:rPr>
              <w:t>Ⅱ</w:t>
            </w:r>
            <w:r>
              <w:rPr>
                <w:rFonts w:hint="default" w:ascii="Times New Roman" w:hAnsi="Times New Roman" w:eastAsia="仿宋" w:cs="Times New Roman"/>
                <w:sz w:val="21"/>
                <w:szCs w:val="21"/>
                <w:vertAlign w:val="baseline"/>
                <w:lang w:val="en-US" w:eastAsia="zh-CN"/>
              </w:rPr>
              <w:t>级水平基准值</w:t>
            </w:r>
          </w:p>
        </w:tc>
      </w:tr>
      <w:tr w14:paraId="3290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254" w:type="pct"/>
            <w:vMerge w:val="continue"/>
            <w:vAlign w:val="center"/>
          </w:tcPr>
          <w:p w14:paraId="5976F7D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7504A6B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57DA98B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5</w:t>
            </w:r>
          </w:p>
        </w:tc>
        <w:tc>
          <w:tcPr>
            <w:tcW w:w="319" w:type="pct"/>
            <w:vAlign w:val="center"/>
          </w:tcPr>
          <w:p w14:paraId="0B7E8A6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铸型工艺设备及材料</w:t>
            </w:r>
          </w:p>
        </w:tc>
        <w:tc>
          <w:tcPr>
            <w:tcW w:w="227" w:type="pct"/>
            <w:vAlign w:val="center"/>
          </w:tcPr>
          <w:p w14:paraId="755B757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5</w:t>
            </w:r>
          </w:p>
        </w:tc>
        <w:tc>
          <w:tcPr>
            <w:tcW w:w="213" w:type="pct"/>
            <w:vAlign w:val="center"/>
          </w:tcPr>
          <w:p w14:paraId="332EFAA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砂型铸造</w:t>
            </w:r>
          </w:p>
        </w:tc>
        <w:tc>
          <w:tcPr>
            <w:tcW w:w="1241" w:type="pct"/>
            <w:gridSpan w:val="2"/>
            <w:vAlign w:val="center"/>
          </w:tcPr>
          <w:p w14:paraId="61D4FA1D">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eastAsia"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高紧实度粘土砂湿型自动生产线</w:t>
            </w:r>
            <w:r>
              <w:rPr>
                <w:rFonts w:hint="eastAsia" w:cs="Times New Roman"/>
                <w:sz w:val="21"/>
                <w:szCs w:val="21"/>
                <w:shd w:val="clear" w:color="auto" w:fill="auto"/>
                <w:vertAlign w:val="baseline"/>
                <w:lang w:val="en-US" w:eastAsia="zh-CN"/>
              </w:rPr>
              <w:t>；</w:t>
            </w:r>
          </w:p>
          <w:p w14:paraId="741A14BB">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自动化树脂自硬砂制芯、造型线</w:t>
            </w:r>
            <w:r>
              <w:rPr>
                <w:rFonts w:hint="eastAsia" w:cs="Times New Roman"/>
                <w:sz w:val="21"/>
                <w:szCs w:val="21"/>
                <w:shd w:val="clear" w:color="auto" w:fill="auto"/>
                <w:vertAlign w:val="baseline"/>
                <w:lang w:val="en-US" w:eastAsia="zh-CN"/>
              </w:rPr>
              <w:t>；</w:t>
            </w:r>
          </w:p>
          <w:p w14:paraId="7CF9A643">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有机酯硬化水玻璃砂造型线</w:t>
            </w:r>
            <w:r>
              <w:rPr>
                <w:rFonts w:hint="eastAsia" w:cs="Times New Roman"/>
                <w:sz w:val="21"/>
                <w:szCs w:val="21"/>
                <w:shd w:val="clear" w:color="auto" w:fill="auto"/>
                <w:vertAlign w:val="baseline"/>
                <w:lang w:val="en-US" w:eastAsia="zh-CN"/>
              </w:rPr>
              <w:t>；</w:t>
            </w:r>
          </w:p>
          <w:p w14:paraId="661ECD89">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冷芯盒制芯系统</w:t>
            </w:r>
            <w:r>
              <w:rPr>
                <w:rFonts w:hint="eastAsia" w:cs="Times New Roman"/>
                <w:sz w:val="21"/>
                <w:szCs w:val="21"/>
                <w:shd w:val="clear" w:color="auto" w:fill="auto"/>
                <w:vertAlign w:val="baseline"/>
                <w:lang w:val="en-US" w:eastAsia="zh-CN"/>
              </w:rPr>
              <w:t>；</w:t>
            </w:r>
          </w:p>
          <w:p w14:paraId="3F0F726D">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机械化组芯、上下芯装置，组合模板造型技术</w:t>
            </w:r>
            <w:r>
              <w:rPr>
                <w:rFonts w:hint="eastAsia" w:cs="Times New Roman"/>
                <w:sz w:val="21"/>
                <w:szCs w:val="21"/>
                <w:shd w:val="clear" w:color="auto" w:fill="auto"/>
                <w:vertAlign w:val="baseline"/>
                <w:lang w:val="en-US" w:eastAsia="zh-CN"/>
              </w:rPr>
              <w:t>；</w:t>
            </w:r>
          </w:p>
          <w:p w14:paraId="771CC6BD">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余热烘芯装置</w:t>
            </w:r>
            <w:r>
              <w:rPr>
                <w:rFonts w:hint="eastAsia" w:cs="Times New Roman"/>
                <w:sz w:val="21"/>
                <w:szCs w:val="21"/>
                <w:shd w:val="clear" w:color="auto" w:fill="auto"/>
                <w:vertAlign w:val="baseline"/>
                <w:lang w:val="en-US" w:eastAsia="zh-CN"/>
              </w:rPr>
              <w:t>（房）；</w:t>
            </w:r>
          </w:p>
          <w:p w14:paraId="5221E2A1">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发热、保温冒口应用技术</w:t>
            </w:r>
            <w:r>
              <w:rPr>
                <w:rFonts w:hint="eastAsia" w:cs="Times New Roman"/>
                <w:sz w:val="21"/>
                <w:szCs w:val="21"/>
                <w:shd w:val="clear" w:color="auto" w:fill="auto"/>
                <w:vertAlign w:val="baseline"/>
                <w:lang w:val="en-US" w:eastAsia="zh-CN"/>
              </w:rPr>
              <w:t>；</w:t>
            </w:r>
          </w:p>
          <w:p w14:paraId="483CC0A8">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流涂法铸</w:t>
            </w:r>
            <w:r>
              <w:rPr>
                <w:rFonts w:hint="eastAsia" w:cs="Times New Roman"/>
                <w:sz w:val="21"/>
                <w:szCs w:val="21"/>
                <w:shd w:val="clear" w:color="auto" w:fill="auto"/>
                <w:vertAlign w:val="baseline"/>
                <w:lang w:val="en-US" w:eastAsia="zh-CN"/>
              </w:rPr>
              <w:t>型</w:t>
            </w:r>
            <w:r>
              <w:rPr>
                <w:rFonts w:hint="default" w:ascii="Times New Roman" w:hAnsi="Times New Roman" w:eastAsia="仿宋" w:cs="Times New Roman"/>
                <w:sz w:val="21"/>
                <w:szCs w:val="21"/>
                <w:shd w:val="clear" w:color="auto" w:fill="auto"/>
                <w:vertAlign w:val="baseline"/>
                <w:lang w:val="en-US" w:eastAsia="zh-CN"/>
              </w:rPr>
              <w:t>涂料应用</w:t>
            </w:r>
            <w:r>
              <w:rPr>
                <w:rFonts w:hint="eastAsia" w:cs="Times New Roman"/>
                <w:sz w:val="21"/>
                <w:szCs w:val="21"/>
                <w:shd w:val="clear" w:color="auto" w:fill="auto"/>
                <w:vertAlign w:val="baseline"/>
                <w:lang w:val="en-US" w:eastAsia="zh-CN"/>
              </w:rPr>
              <w:t>；</w:t>
            </w:r>
          </w:p>
          <w:p w14:paraId="7D1FAC77">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球墨铸铁件无冒口、压力冒口、控制压力冒口等应用</w:t>
            </w:r>
            <w:r>
              <w:rPr>
                <w:rFonts w:hint="eastAsia" w:cs="Times New Roman"/>
                <w:sz w:val="21"/>
                <w:szCs w:val="21"/>
                <w:shd w:val="clear" w:color="auto" w:fill="auto"/>
                <w:vertAlign w:val="baseline"/>
                <w:lang w:val="en-US" w:eastAsia="zh-CN"/>
              </w:rPr>
              <w:t>；</w:t>
            </w:r>
          </w:p>
          <w:p w14:paraId="501E7C49">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精密组芯造型，近净成形技术</w:t>
            </w:r>
            <w:r>
              <w:rPr>
                <w:rFonts w:hint="eastAsia" w:cs="Times New Roman"/>
                <w:sz w:val="21"/>
                <w:szCs w:val="21"/>
                <w:shd w:val="clear" w:color="auto" w:fill="auto"/>
                <w:vertAlign w:val="baseline"/>
                <w:lang w:val="en-US" w:eastAsia="zh-CN"/>
              </w:rPr>
              <w:t>；</w:t>
            </w:r>
          </w:p>
          <w:p w14:paraId="72154C00">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铸型3D打印技术应用</w:t>
            </w:r>
            <w:r>
              <w:rPr>
                <w:rFonts w:hint="eastAsia" w:cs="Times New Roman"/>
                <w:sz w:val="21"/>
                <w:szCs w:val="21"/>
                <w:shd w:val="clear" w:color="auto" w:fill="auto"/>
                <w:vertAlign w:val="baseline"/>
                <w:lang w:val="en-US" w:eastAsia="zh-CN"/>
              </w:rPr>
              <w:t>；</w:t>
            </w:r>
          </w:p>
          <w:p w14:paraId="4500FA0C">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default" w:ascii="Times New Roman" w:hAnsi="Times New Roman" w:eastAsia="仿宋" w:cs="Times New Roman"/>
                <w:sz w:val="21"/>
                <w:szCs w:val="21"/>
                <w:shd w:val="clear" w:color="auto" w:fill="auto"/>
                <w:vertAlign w:val="baseline"/>
                <w:lang w:val="en-US" w:eastAsia="zh-CN"/>
              </w:rPr>
              <w:t>环保型造型材料的应用技术</w:t>
            </w:r>
            <w:r>
              <w:rPr>
                <w:rFonts w:hint="eastAsia" w:cs="Times New Roman"/>
                <w:sz w:val="21"/>
                <w:szCs w:val="21"/>
                <w:shd w:val="clear" w:color="auto" w:fill="auto"/>
                <w:vertAlign w:val="baseline"/>
                <w:lang w:val="en-US" w:eastAsia="zh-CN"/>
              </w:rPr>
              <w:t>；</w:t>
            </w:r>
          </w:p>
          <w:p w14:paraId="2FDEDDC0">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auto" w:fill="auto"/>
                <w:vertAlign w:val="baseline"/>
                <w:lang w:val="en-US" w:eastAsia="zh-CN"/>
              </w:rPr>
            </w:pPr>
            <w:r>
              <w:rPr>
                <w:rFonts w:hint="eastAsia" w:cs="Times New Roman"/>
                <w:sz w:val="21"/>
                <w:szCs w:val="21"/>
                <w:shd w:val="clear" w:color="auto" w:fill="auto"/>
                <w:vertAlign w:val="baseline"/>
                <w:lang w:val="en-US" w:eastAsia="zh-CN"/>
              </w:rPr>
              <w:t>有机硅</w:t>
            </w:r>
            <w:r>
              <w:rPr>
                <w:rFonts w:hint="default" w:ascii="Times New Roman" w:hAnsi="Times New Roman" w:eastAsia="仿宋" w:cs="Times New Roman"/>
                <w:sz w:val="21"/>
                <w:szCs w:val="21"/>
                <w:shd w:val="clear" w:color="auto" w:fill="auto"/>
                <w:vertAlign w:val="baseline"/>
                <w:lang w:val="en-US" w:eastAsia="zh-CN"/>
              </w:rPr>
              <w:t>硬化水玻璃砂或VRH法工艺</w:t>
            </w:r>
            <w:r>
              <w:rPr>
                <w:rFonts w:hint="eastAsia" w:ascii="Times New Roman" w:hAnsi="Times New Roman" w:eastAsia="仿宋" w:cs="Times New Roman"/>
                <w:sz w:val="21"/>
                <w:szCs w:val="21"/>
                <w:shd w:val="clear" w:color="auto" w:fill="auto"/>
                <w:vertAlign w:val="baseline"/>
                <w:lang w:val="en-US" w:eastAsia="zh-CN"/>
              </w:rPr>
              <w:t>；</w:t>
            </w:r>
          </w:p>
          <w:p w14:paraId="53A979CB">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无毒气硬冷芯盒制型芯、改性</w:t>
            </w:r>
            <w:r>
              <w:rPr>
                <w:rFonts w:hint="eastAsia" w:cs="Times New Roman"/>
                <w:sz w:val="21"/>
                <w:szCs w:val="21"/>
                <w:shd w:val="clear" w:color="auto" w:fill="auto"/>
                <w:vertAlign w:val="baseline"/>
                <w:lang w:val="en-US" w:eastAsia="zh-CN"/>
              </w:rPr>
              <w:t>甲基</w:t>
            </w:r>
            <w:r>
              <w:rPr>
                <w:rFonts w:hint="eastAsia" w:ascii="Times New Roman" w:hAnsi="Times New Roman" w:eastAsia="仿宋" w:cs="Times New Roman"/>
                <w:sz w:val="21"/>
                <w:szCs w:val="21"/>
                <w:shd w:val="clear" w:color="auto" w:fill="auto"/>
                <w:vertAlign w:val="baseline"/>
                <w:lang w:val="en-US" w:eastAsia="zh-CN"/>
              </w:rPr>
              <w:t>酚醛树脂等绿色环保无毒原辅材料的应用；</w:t>
            </w:r>
          </w:p>
          <w:p w14:paraId="2F48300C">
            <w:pPr>
              <w:pStyle w:val="2"/>
              <w:keepNext w:val="0"/>
              <w:keepLines w:val="0"/>
              <w:pageBreakBefore w:val="0"/>
              <w:widowControl/>
              <w:numPr>
                <w:ilvl w:val="0"/>
                <w:numId w:val="8"/>
              </w:numPr>
              <w:kinsoku/>
              <w:wordWrap/>
              <w:overflowPunct/>
              <w:topLinePunct w:val="0"/>
              <w:autoSpaceDE/>
              <w:autoSpaceDN/>
              <w:bidi w:val="0"/>
              <w:adjustRightInd/>
              <w:snapToGrid w:val="0"/>
              <w:spacing w:before="0" w:after="0" w:line="240" w:lineRule="auto"/>
              <w:ind w:right="0" w:rightChars="0"/>
              <w:jc w:val="left"/>
              <w:textAlignment w:val="auto"/>
              <w:rPr>
                <w:rFonts w:hint="default"/>
                <w:lang w:val="en-US" w:eastAsia="zh-CN"/>
              </w:rPr>
            </w:pPr>
            <w:r>
              <w:rPr>
                <w:rFonts w:hint="eastAsia" w:ascii="Times New Roman" w:hAnsi="Times New Roman" w:eastAsia="仿宋" w:cs="Times New Roman"/>
                <w:sz w:val="21"/>
                <w:szCs w:val="21"/>
                <w:shd w:val="clear" w:color="auto" w:fill="auto"/>
                <w:vertAlign w:val="baseline"/>
                <w:lang w:val="en-US" w:eastAsia="zh-CN"/>
              </w:rPr>
              <w:t>环保型辅料（水基涂料、脱模剂）的应用。</w:t>
            </w:r>
          </w:p>
        </w:tc>
        <w:tc>
          <w:tcPr>
            <w:tcW w:w="692" w:type="pct"/>
            <w:shd w:val="clear" w:color="auto" w:fill="auto"/>
            <w:vAlign w:val="center"/>
          </w:tcPr>
          <w:p w14:paraId="6A39278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10</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48FF3EE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8</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722DD78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6</w:t>
            </w:r>
            <w:r>
              <w:rPr>
                <w:rFonts w:hint="default" w:ascii="Times New Roman" w:hAnsi="Times New Roman" w:eastAsia="仿宋" w:cs="Times New Roman"/>
                <w:sz w:val="21"/>
                <w:szCs w:val="21"/>
                <w:vertAlign w:val="baseline"/>
                <w:lang w:val="en-US" w:eastAsia="zh-CN"/>
              </w:rPr>
              <w:t>项及以上工艺、设备应用</w:t>
            </w:r>
          </w:p>
        </w:tc>
        <w:tc>
          <w:tcPr>
            <w:tcW w:w="460" w:type="pct"/>
            <w:shd w:val="clear" w:color="auto" w:fill="auto"/>
            <w:vAlign w:val="center"/>
          </w:tcPr>
          <w:p w14:paraId="028FDBD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r>
      <w:tr w14:paraId="5AA0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254" w:type="pct"/>
            <w:vMerge w:val="continue"/>
            <w:vAlign w:val="center"/>
          </w:tcPr>
          <w:p w14:paraId="414DF8C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5D988C0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00FB961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6</w:t>
            </w:r>
          </w:p>
        </w:tc>
        <w:tc>
          <w:tcPr>
            <w:tcW w:w="319" w:type="pct"/>
            <w:vAlign w:val="center"/>
          </w:tcPr>
          <w:p w14:paraId="69FEDB9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清理及后处理工艺</w:t>
            </w:r>
          </w:p>
        </w:tc>
        <w:tc>
          <w:tcPr>
            <w:tcW w:w="227" w:type="pct"/>
            <w:vAlign w:val="center"/>
          </w:tcPr>
          <w:p w14:paraId="40F83F9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455" w:type="pct"/>
            <w:gridSpan w:val="3"/>
            <w:vAlign w:val="center"/>
          </w:tcPr>
          <w:p w14:paraId="1AC7A27A">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铸件余热退火技术</w:t>
            </w:r>
            <w:r>
              <w:rPr>
                <w:rFonts w:hint="eastAsia" w:cs="Times New Roman"/>
                <w:sz w:val="21"/>
                <w:szCs w:val="21"/>
                <w:shd w:val="clear" w:color="auto" w:fill="auto"/>
                <w:vertAlign w:val="baseline"/>
                <w:lang w:val="en-US" w:eastAsia="zh-CN"/>
              </w:rPr>
              <w:t>；</w:t>
            </w:r>
          </w:p>
          <w:p w14:paraId="678D8161">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lang w:val="en-US" w:eastAsia="zh-CN"/>
              </w:rPr>
            </w:pPr>
            <w:r>
              <w:rPr>
                <w:rFonts w:hint="eastAsia" w:ascii="Times New Roman" w:hAnsi="Times New Roman" w:eastAsia="仿宋" w:cs="Times New Roman"/>
                <w:sz w:val="21"/>
                <w:szCs w:val="21"/>
                <w:shd w:val="clear" w:color="auto" w:fill="auto"/>
                <w:vertAlign w:val="baseline"/>
                <w:lang w:val="en-US" w:eastAsia="zh-CN"/>
              </w:rPr>
              <w:t>铸件去除浇冒口系统采用专用设备</w:t>
            </w:r>
            <w:r>
              <w:rPr>
                <w:rFonts w:hint="eastAsia" w:cs="Times New Roman"/>
                <w:sz w:val="21"/>
                <w:szCs w:val="21"/>
                <w:shd w:val="clear" w:color="auto" w:fill="auto"/>
                <w:vertAlign w:val="baseline"/>
                <w:lang w:val="en-US" w:eastAsia="zh-CN"/>
              </w:rPr>
              <w:t>；</w:t>
            </w:r>
          </w:p>
          <w:p w14:paraId="06E32DBF">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铸件的高效、自动表面处理技术与强力抛丸清理设备或自动生产线或机器人、机械手；</w:t>
            </w:r>
          </w:p>
          <w:p w14:paraId="176BE127">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无铬酸盐氧化；</w:t>
            </w:r>
          </w:p>
          <w:p w14:paraId="3DDFFA30">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全自动打磨生产线</w:t>
            </w:r>
            <w:r>
              <w:rPr>
                <w:rFonts w:hint="eastAsia" w:cs="Times New Roman"/>
                <w:sz w:val="21"/>
                <w:szCs w:val="21"/>
                <w:shd w:val="clear" w:color="auto" w:fill="auto"/>
                <w:vertAlign w:val="baseline"/>
                <w:lang w:val="en-US" w:eastAsia="zh-CN"/>
              </w:rPr>
              <w:t>；</w:t>
            </w:r>
          </w:p>
          <w:p w14:paraId="416417DD">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自动</w:t>
            </w:r>
            <w:r>
              <w:rPr>
                <w:rFonts w:hint="eastAsia" w:cs="Times New Roman"/>
                <w:sz w:val="21"/>
                <w:szCs w:val="21"/>
                <w:shd w:val="clear" w:color="auto" w:fill="auto"/>
                <w:vertAlign w:val="baseline"/>
                <w:lang w:val="en-US" w:eastAsia="zh-CN"/>
              </w:rPr>
              <w:t>（</w:t>
            </w:r>
            <w:r>
              <w:rPr>
                <w:rFonts w:hint="eastAsia" w:ascii="Times New Roman" w:hAnsi="Times New Roman" w:eastAsia="仿宋" w:cs="Times New Roman"/>
                <w:sz w:val="21"/>
                <w:szCs w:val="21"/>
                <w:shd w:val="clear" w:color="auto" w:fill="auto"/>
                <w:vertAlign w:val="baseline"/>
                <w:lang w:val="en-US" w:eastAsia="zh-CN"/>
              </w:rPr>
              <w:t>静电</w:t>
            </w:r>
            <w:r>
              <w:rPr>
                <w:rFonts w:hint="eastAsia" w:cs="Times New Roman"/>
                <w:sz w:val="21"/>
                <w:szCs w:val="21"/>
                <w:shd w:val="clear" w:color="auto" w:fill="auto"/>
                <w:vertAlign w:val="baseline"/>
                <w:lang w:val="en-US" w:eastAsia="zh-CN"/>
              </w:rPr>
              <w:t>）</w:t>
            </w:r>
            <w:r>
              <w:rPr>
                <w:rFonts w:hint="eastAsia" w:ascii="Times New Roman" w:hAnsi="Times New Roman" w:eastAsia="仿宋" w:cs="Times New Roman"/>
                <w:sz w:val="21"/>
                <w:szCs w:val="21"/>
                <w:shd w:val="clear" w:color="auto" w:fill="auto"/>
                <w:vertAlign w:val="baseline"/>
                <w:lang w:val="en-US" w:eastAsia="zh-CN"/>
              </w:rPr>
              <w:t>喷涂线</w:t>
            </w:r>
            <w:r>
              <w:rPr>
                <w:rFonts w:hint="eastAsia" w:cs="Times New Roman"/>
                <w:sz w:val="21"/>
                <w:szCs w:val="21"/>
                <w:shd w:val="clear" w:color="auto" w:fill="auto"/>
                <w:vertAlign w:val="baseline"/>
                <w:lang w:val="en-US" w:eastAsia="zh-CN"/>
              </w:rPr>
              <w:t>；</w:t>
            </w:r>
          </w:p>
          <w:p w14:paraId="3B8A13D4">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喷漆</w:t>
            </w:r>
            <w:r>
              <w:rPr>
                <w:rFonts w:hint="eastAsia" w:cs="Times New Roman"/>
                <w:sz w:val="21"/>
                <w:szCs w:val="21"/>
                <w:shd w:val="clear" w:color="auto" w:fill="auto"/>
                <w:vertAlign w:val="baseline"/>
                <w:lang w:val="en-US" w:eastAsia="zh-CN"/>
              </w:rPr>
              <w:t>（</w:t>
            </w:r>
            <w:r>
              <w:rPr>
                <w:rFonts w:hint="eastAsia" w:ascii="Times New Roman" w:hAnsi="Times New Roman" w:eastAsia="仿宋" w:cs="Times New Roman"/>
                <w:sz w:val="21"/>
                <w:szCs w:val="21"/>
                <w:shd w:val="clear" w:color="auto" w:fill="auto"/>
                <w:vertAlign w:val="baseline"/>
                <w:lang w:val="en-US" w:eastAsia="zh-CN"/>
              </w:rPr>
              <w:t>涂</w:t>
            </w:r>
            <w:r>
              <w:rPr>
                <w:rFonts w:hint="eastAsia" w:cs="Times New Roman"/>
                <w:sz w:val="21"/>
                <w:szCs w:val="21"/>
                <w:shd w:val="clear" w:color="auto" w:fill="auto"/>
                <w:vertAlign w:val="baseline"/>
                <w:lang w:val="en-US" w:eastAsia="zh-CN"/>
              </w:rPr>
              <w:t>）</w:t>
            </w:r>
            <w:r>
              <w:rPr>
                <w:rFonts w:hint="eastAsia" w:ascii="Times New Roman" w:hAnsi="Times New Roman" w:eastAsia="仿宋" w:cs="Times New Roman"/>
                <w:sz w:val="21"/>
                <w:szCs w:val="21"/>
                <w:shd w:val="clear" w:color="auto" w:fill="auto"/>
                <w:vertAlign w:val="baseline"/>
                <w:lang w:val="en-US" w:eastAsia="zh-CN"/>
              </w:rPr>
              <w:t>余热利用</w:t>
            </w:r>
            <w:r>
              <w:rPr>
                <w:rFonts w:hint="eastAsia" w:cs="Times New Roman"/>
                <w:sz w:val="21"/>
                <w:szCs w:val="21"/>
                <w:shd w:val="clear" w:color="auto" w:fill="auto"/>
                <w:vertAlign w:val="baseline"/>
                <w:lang w:val="en-US" w:eastAsia="zh-CN"/>
              </w:rPr>
              <w:t>；</w:t>
            </w:r>
          </w:p>
          <w:p w14:paraId="2277B275">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机器人</w:t>
            </w:r>
            <w:r>
              <w:rPr>
                <w:rFonts w:hint="eastAsia" w:cs="Times New Roman"/>
                <w:sz w:val="21"/>
                <w:szCs w:val="21"/>
                <w:shd w:val="clear" w:color="auto" w:fill="auto"/>
                <w:vertAlign w:val="baseline"/>
                <w:lang w:val="en-US" w:eastAsia="zh-CN"/>
              </w:rPr>
              <w:t>（</w:t>
            </w:r>
            <w:r>
              <w:rPr>
                <w:rFonts w:hint="eastAsia" w:ascii="Times New Roman" w:hAnsi="Times New Roman" w:eastAsia="仿宋" w:cs="Times New Roman"/>
                <w:sz w:val="21"/>
                <w:szCs w:val="21"/>
                <w:shd w:val="clear" w:color="auto" w:fill="auto"/>
                <w:vertAlign w:val="baseline"/>
                <w:lang w:val="en-US" w:eastAsia="zh-CN"/>
              </w:rPr>
              <w:t>手</w:t>
            </w:r>
            <w:r>
              <w:rPr>
                <w:rFonts w:hint="eastAsia" w:cs="Times New Roman"/>
                <w:sz w:val="21"/>
                <w:szCs w:val="21"/>
                <w:shd w:val="clear" w:color="auto" w:fill="auto"/>
                <w:vertAlign w:val="baseline"/>
                <w:lang w:val="en-US" w:eastAsia="zh-CN"/>
              </w:rPr>
              <w:t>）</w:t>
            </w:r>
            <w:r>
              <w:rPr>
                <w:rFonts w:hint="eastAsia" w:ascii="Times New Roman" w:hAnsi="Times New Roman" w:eastAsia="仿宋" w:cs="Times New Roman"/>
                <w:sz w:val="21"/>
                <w:szCs w:val="21"/>
                <w:shd w:val="clear" w:color="auto" w:fill="auto"/>
                <w:vertAlign w:val="baseline"/>
                <w:lang w:val="en-US" w:eastAsia="zh-CN"/>
              </w:rPr>
              <w:t>在后处理工部的应用</w:t>
            </w:r>
            <w:r>
              <w:rPr>
                <w:rFonts w:hint="eastAsia" w:cs="Times New Roman"/>
                <w:sz w:val="21"/>
                <w:szCs w:val="21"/>
                <w:shd w:val="clear" w:color="auto" w:fill="auto"/>
                <w:vertAlign w:val="baseline"/>
                <w:lang w:val="en-US" w:eastAsia="zh-CN"/>
              </w:rPr>
              <w:t>；</w:t>
            </w:r>
          </w:p>
          <w:p w14:paraId="3B899B3C">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渗透剂、表面处理剂等有色后处理绿色辅料的应用</w:t>
            </w:r>
            <w:r>
              <w:rPr>
                <w:rFonts w:hint="eastAsia" w:cs="Times New Roman"/>
                <w:sz w:val="21"/>
                <w:szCs w:val="21"/>
                <w:shd w:val="clear" w:color="auto" w:fill="auto"/>
                <w:vertAlign w:val="baseline"/>
                <w:lang w:val="en-US" w:eastAsia="zh-CN"/>
              </w:rPr>
              <w:t>；</w:t>
            </w:r>
          </w:p>
          <w:p w14:paraId="1EBE4922">
            <w:pPr>
              <w:pStyle w:val="2"/>
              <w:keepNext w:val="0"/>
              <w:keepLines w:val="0"/>
              <w:pageBreakBefore w:val="0"/>
              <w:widowControl/>
              <w:numPr>
                <w:ilvl w:val="0"/>
                <w:numId w:val="9"/>
              </w:numPr>
              <w:kinsoku/>
              <w:wordWrap/>
              <w:overflowPunct/>
              <w:topLinePunct w:val="0"/>
              <w:autoSpaceDE/>
              <w:autoSpaceDN/>
              <w:bidi w:val="0"/>
              <w:adjustRightInd/>
              <w:snapToGrid w:val="0"/>
              <w:spacing w:before="0" w:after="0" w:line="240" w:lineRule="auto"/>
              <w:ind w:right="0" w:rightChars="0"/>
              <w:jc w:val="left"/>
              <w:textAlignment w:val="auto"/>
              <w:rPr>
                <w:rFonts w:hint="eastAsia" w:ascii="Times New Roman" w:hAnsi="Times New Roman" w:eastAsia="仿宋" w:cs="Times New Roman"/>
                <w:sz w:val="21"/>
                <w:szCs w:val="21"/>
                <w:shd w:val="clear" w:color="auto" w:fill="auto"/>
                <w:vertAlign w:val="baseline"/>
                <w:lang w:val="en-US" w:eastAsia="zh-CN"/>
              </w:rPr>
            </w:pPr>
            <w:r>
              <w:rPr>
                <w:rFonts w:hint="eastAsia" w:ascii="Times New Roman" w:hAnsi="Times New Roman" w:eastAsia="仿宋" w:cs="Times New Roman"/>
                <w:sz w:val="21"/>
                <w:szCs w:val="21"/>
                <w:shd w:val="clear" w:color="auto" w:fill="auto"/>
                <w:vertAlign w:val="baseline"/>
                <w:lang w:val="en-US" w:eastAsia="zh-CN"/>
              </w:rPr>
              <w:t>水基防锈液的应用。</w:t>
            </w:r>
          </w:p>
        </w:tc>
        <w:tc>
          <w:tcPr>
            <w:tcW w:w="692" w:type="pct"/>
            <w:shd w:val="clear" w:color="auto" w:fill="auto"/>
            <w:vAlign w:val="center"/>
          </w:tcPr>
          <w:p w14:paraId="2727DF8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5</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3359AA7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4</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3084668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项及以上工艺、设备应用</w:t>
            </w:r>
          </w:p>
        </w:tc>
        <w:tc>
          <w:tcPr>
            <w:tcW w:w="460" w:type="pct"/>
            <w:shd w:val="clear" w:color="auto" w:fill="auto"/>
            <w:vAlign w:val="center"/>
          </w:tcPr>
          <w:p w14:paraId="4C1C242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r w14:paraId="08CB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CD1883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C02793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5C8F690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w:t>
            </w:r>
          </w:p>
        </w:tc>
        <w:tc>
          <w:tcPr>
            <w:tcW w:w="319" w:type="pct"/>
            <w:vAlign w:val="center"/>
          </w:tcPr>
          <w:p w14:paraId="6406A15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质量监控及检验设备</w:t>
            </w:r>
          </w:p>
        </w:tc>
        <w:tc>
          <w:tcPr>
            <w:tcW w:w="227" w:type="pct"/>
            <w:vAlign w:val="center"/>
          </w:tcPr>
          <w:p w14:paraId="27D0C93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550E087C">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熔炼过程及参数的自动检测与控制系统；</w:t>
            </w:r>
          </w:p>
          <w:p w14:paraId="12CF3105">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直读光谱仪等快速准确检测设备；</w:t>
            </w:r>
          </w:p>
          <w:p w14:paraId="23CA83D8">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炉前快速分析仪（金相、CE）；</w:t>
            </w:r>
          </w:p>
          <w:p w14:paraId="3C3C46F5">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混砂过程中水分及型砂性能自动检测与控制系统；</w:t>
            </w:r>
          </w:p>
          <w:p w14:paraId="2A370F3E">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金相组织及缺陷在线实时检测系统；</w:t>
            </w:r>
          </w:p>
          <w:p w14:paraId="4A97876D">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检测铸件内部缺陷的工业内窥镜装备；</w:t>
            </w:r>
          </w:p>
          <w:p w14:paraId="29EC2A9F">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通用及专用型力学性能检测设备；</w:t>
            </w:r>
          </w:p>
          <w:p w14:paraId="49787AFC">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检测铸件及模具的高精度三坐标测量仪；</w:t>
            </w:r>
          </w:p>
          <w:p w14:paraId="3A27FB0A">
            <w:pPr>
              <w:pStyle w:val="2"/>
              <w:keepNext w:val="0"/>
              <w:keepLines w:val="0"/>
              <w:pageBreakBefore w:val="0"/>
              <w:widowControl/>
              <w:numPr>
                <w:ilvl w:val="0"/>
                <w:numId w:val="10"/>
              </w:numPr>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厚壁、复杂铸件的高效超声、X光等无损检测工作站。</w:t>
            </w:r>
          </w:p>
        </w:tc>
        <w:tc>
          <w:tcPr>
            <w:tcW w:w="692" w:type="pct"/>
            <w:shd w:val="clear" w:color="auto" w:fill="auto"/>
            <w:vAlign w:val="center"/>
          </w:tcPr>
          <w:p w14:paraId="0BAE0AC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6</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43FF482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4</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6F92B19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项及以上工艺、设备应用</w:t>
            </w:r>
          </w:p>
        </w:tc>
        <w:tc>
          <w:tcPr>
            <w:tcW w:w="460" w:type="pct"/>
            <w:vAlign w:val="center"/>
          </w:tcPr>
          <w:p w14:paraId="23200C3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3124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45DB1B5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D3F169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05FC30E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w:t>
            </w:r>
          </w:p>
        </w:tc>
        <w:tc>
          <w:tcPr>
            <w:tcW w:w="319" w:type="pct"/>
            <w:vAlign w:val="center"/>
          </w:tcPr>
          <w:p w14:paraId="4557C7D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污染物治理及健康</w:t>
            </w:r>
          </w:p>
        </w:tc>
        <w:tc>
          <w:tcPr>
            <w:tcW w:w="227" w:type="pct"/>
            <w:vAlign w:val="center"/>
          </w:tcPr>
          <w:p w14:paraId="6E494DD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1455" w:type="pct"/>
            <w:gridSpan w:val="3"/>
            <w:vAlign w:val="center"/>
          </w:tcPr>
          <w:p w14:paraId="4F7D2264">
            <w:pPr>
              <w:pStyle w:val="2"/>
              <w:keepNext w:val="0"/>
              <w:keepLines w:val="0"/>
              <w:pageBreakBefore w:val="0"/>
              <w:widowControl/>
              <w:numPr>
                <w:ilvl w:val="0"/>
                <w:numId w:val="11"/>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FFFFFF" w:fill="D9D9D9"/>
                <w:vertAlign w:val="baseline"/>
                <w:lang w:val="en-US" w:eastAsia="zh-CN"/>
              </w:rPr>
            </w:pPr>
            <w:r>
              <w:rPr>
                <w:rFonts w:hint="default" w:ascii="Times New Roman" w:hAnsi="Times New Roman" w:eastAsia="仿宋" w:cs="Times New Roman"/>
                <w:sz w:val="21"/>
                <w:szCs w:val="21"/>
                <w:shd w:val="clear" w:color="FFFFFF" w:fill="D9D9D9"/>
                <w:vertAlign w:val="baseline"/>
                <w:lang w:val="en-US" w:eastAsia="zh-CN"/>
              </w:rPr>
              <w:t>大气污染及尘毒危害治理设备；</w:t>
            </w:r>
          </w:p>
          <w:p w14:paraId="0FF5F4F9">
            <w:pPr>
              <w:pStyle w:val="2"/>
              <w:keepNext w:val="0"/>
              <w:keepLines w:val="0"/>
              <w:pageBreakBefore w:val="0"/>
              <w:widowControl/>
              <w:numPr>
                <w:ilvl w:val="0"/>
                <w:numId w:val="11"/>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污水处理设备或在线监测；</w:t>
            </w:r>
          </w:p>
          <w:p w14:paraId="6C90532F">
            <w:pPr>
              <w:pStyle w:val="2"/>
              <w:keepNext w:val="0"/>
              <w:keepLines w:val="0"/>
              <w:pageBreakBefore w:val="0"/>
              <w:widowControl/>
              <w:numPr>
                <w:ilvl w:val="0"/>
                <w:numId w:val="11"/>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FFFFFF" w:fill="D9D9D9"/>
                <w:vertAlign w:val="baseline"/>
                <w:lang w:val="en-US" w:eastAsia="zh-CN"/>
              </w:rPr>
            </w:pPr>
            <w:r>
              <w:rPr>
                <w:rFonts w:hint="default" w:ascii="Times New Roman" w:hAnsi="Times New Roman" w:eastAsia="仿宋" w:cs="Times New Roman"/>
                <w:sz w:val="21"/>
                <w:szCs w:val="21"/>
                <w:shd w:val="clear" w:color="FFFFFF" w:fill="D9D9D9"/>
                <w:vertAlign w:val="baseline"/>
                <w:lang w:val="en-US" w:eastAsia="zh-CN"/>
              </w:rPr>
              <w:t>噪声污染及危害治理设备设施</w:t>
            </w:r>
          </w:p>
          <w:p w14:paraId="210CDCE3">
            <w:pPr>
              <w:pStyle w:val="2"/>
              <w:keepNext w:val="0"/>
              <w:keepLines w:val="0"/>
              <w:pageBreakBefore w:val="0"/>
              <w:widowControl/>
              <w:numPr>
                <w:ilvl w:val="0"/>
                <w:numId w:val="11"/>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shd w:val="clear" w:color="FFFFFF" w:fill="D9D9D9"/>
                <w:lang w:val="en-US" w:eastAsia="zh-CN"/>
              </w:rPr>
            </w:pPr>
            <w:r>
              <w:rPr>
                <w:rFonts w:hint="default" w:ascii="Times New Roman" w:hAnsi="Times New Roman" w:eastAsia="仿宋" w:cs="Times New Roman"/>
                <w:sz w:val="21"/>
                <w:szCs w:val="21"/>
                <w:shd w:val="clear" w:color="FFFFFF" w:fill="D9D9D9"/>
                <w:vertAlign w:val="baseline"/>
                <w:lang w:val="en-US" w:eastAsia="zh-CN"/>
              </w:rPr>
              <w:t>工伤事故安全防护设备设施；</w:t>
            </w:r>
          </w:p>
          <w:p w14:paraId="51D2DD59">
            <w:pPr>
              <w:pStyle w:val="2"/>
              <w:keepNext w:val="0"/>
              <w:keepLines w:val="0"/>
              <w:pageBreakBefore w:val="0"/>
              <w:widowControl/>
              <w:numPr>
                <w:ilvl w:val="0"/>
                <w:numId w:val="11"/>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shd w:val="clear" w:color="FFFFFF" w:fill="D9D9D9"/>
                <w:vertAlign w:val="baseline"/>
                <w:lang w:val="en-US" w:eastAsia="zh-CN"/>
              </w:rPr>
              <w:t>防火防爆防泄漏设备设施。</w:t>
            </w:r>
          </w:p>
        </w:tc>
        <w:tc>
          <w:tcPr>
            <w:tcW w:w="692" w:type="pct"/>
            <w:shd w:val="clear" w:color="auto" w:fill="auto"/>
            <w:vAlign w:val="center"/>
          </w:tcPr>
          <w:p w14:paraId="5A69E83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5</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325316B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4</w:t>
            </w:r>
            <w:r>
              <w:rPr>
                <w:rFonts w:hint="default" w:ascii="Times New Roman" w:hAnsi="Times New Roman" w:eastAsia="仿宋" w:cs="Times New Roman"/>
                <w:sz w:val="21"/>
                <w:szCs w:val="21"/>
                <w:vertAlign w:val="baseline"/>
                <w:lang w:val="en-US" w:eastAsia="zh-CN"/>
              </w:rPr>
              <w:t>项及以上工艺、设备应用</w:t>
            </w:r>
          </w:p>
        </w:tc>
        <w:tc>
          <w:tcPr>
            <w:tcW w:w="600" w:type="pct"/>
            <w:shd w:val="clear" w:color="auto" w:fill="auto"/>
            <w:vAlign w:val="center"/>
          </w:tcPr>
          <w:p w14:paraId="67BB82C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项及以上工艺、设备应用</w:t>
            </w:r>
          </w:p>
        </w:tc>
        <w:tc>
          <w:tcPr>
            <w:tcW w:w="460" w:type="pct"/>
            <w:shd w:val="clear" w:color="auto" w:fill="auto"/>
            <w:vAlign w:val="center"/>
          </w:tcPr>
          <w:p w14:paraId="3D81E2B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满足第1、3、4、5项指标，</w:t>
            </w:r>
            <w:r>
              <w:rPr>
                <w:rFonts w:hint="default" w:ascii="Times New Roman" w:hAnsi="Times New Roman" w:eastAsia="仿宋" w:cs="Times New Roman"/>
                <w:b w:val="0"/>
                <w:bCs w:val="0"/>
                <w:sz w:val="21"/>
                <w:szCs w:val="21"/>
                <w:vertAlign w:val="baseline"/>
                <w:lang w:val="en-US" w:eastAsia="zh-CN"/>
              </w:rPr>
              <w:t>Ⅱ</w:t>
            </w:r>
            <w:r>
              <w:rPr>
                <w:rFonts w:hint="default" w:ascii="Times New Roman" w:hAnsi="Times New Roman" w:eastAsia="仿宋" w:cs="Times New Roman"/>
                <w:sz w:val="21"/>
                <w:szCs w:val="21"/>
                <w:vertAlign w:val="baseline"/>
                <w:lang w:val="en-US" w:eastAsia="zh-CN"/>
              </w:rPr>
              <w:t>级水平基准值</w:t>
            </w:r>
          </w:p>
        </w:tc>
      </w:tr>
      <w:tr w14:paraId="056F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restart"/>
            <w:vAlign w:val="center"/>
          </w:tcPr>
          <w:p w14:paraId="53D255D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资源与能源消耗</w:t>
            </w:r>
          </w:p>
        </w:tc>
        <w:tc>
          <w:tcPr>
            <w:tcW w:w="220" w:type="pct"/>
            <w:vMerge w:val="restart"/>
            <w:vAlign w:val="center"/>
          </w:tcPr>
          <w:p w14:paraId="63FB649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20</w:t>
            </w:r>
          </w:p>
        </w:tc>
        <w:tc>
          <w:tcPr>
            <w:tcW w:w="168" w:type="pct"/>
            <w:vAlign w:val="center"/>
          </w:tcPr>
          <w:p w14:paraId="6C6B1A8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1</w:t>
            </w:r>
          </w:p>
        </w:tc>
        <w:tc>
          <w:tcPr>
            <w:tcW w:w="319" w:type="pct"/>
            <w:vMerge w:val="restart"/>
            <w:vAlign w:val="center"/>
          </w:tcPr>
          <w:p w14:paraId="36AF23B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工业废水量</w:t>
            </w:r>
          </w:p>
        </w:tc>
        <w:tc>
          <w:tcPr>
            <w:tcW w:w="227" w:type="pct"/>
            <w:vMerge w:val="restart"/>
            <w:vAlign w:val="center"/>
          </w:tcPr>
          <w:p w14:paraId="7676A84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1455" w:type="pct"/>
            <w:gridSpan w:val="3"/>
            <w:vAlign w:val="center"/>
          </w:tcPr>
          <w:p w14:paraId="10B239A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w:t>
            </w:r>
            <w:r>
              <w:rPr>
                <w:rFonts w:hint="eastAsia" w:cs="Times New Roman"/>
                <w:sz w:val="21"/>
                <w:szCs w:val="21"/>
                <w:vertAlign w:val="baseline"/>
                <w:lang w:val="en-US" w:eastAsia="zh-CN"/>
              </w:rPr>
              <w:t>铸钢件</w:t>
            </w:r>
            <w:r>
              <w:rPr>
                <w:rFonts w:hint="default" w:ascii="Times New Roman" w:hAnsi="Times New Roman" w:eastAsia="仿宋" w:cs="Times New Roman"/>
                <w:sz w:val="21"/>
                <w:szCs w:val="21"/>
                <w:vertAlign w:val="baseline"/>
                <w:lang w:val="en-US" w:eastAsia="zh-CN"/>
              </w:rPr>
              <w:t>废水量（m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/t）</w:t>
            </w:r>
          </w:p>
        </w:tc>
        <w:tc>
          <w:tcPr>
            <w:tcW w:w="692" w:type="pct"/>
            <w:vAlign w:val="center"/>
          </w:tcPr>
          <w:p w14:paraId="2F6F943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1.5</w:t>
            </w:r>
          </w:p>
        </w:tc>
        <w:tc>
          <w:tcPr>
            <w:tcW w:w="600" w:type="pct"/>
            <w:vAlign w:val="center"/>
          </w:tcPr>
          <w:p w14:paraId="0EAB58A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3</w:t>
            </w:r>
          </w:p>
        </w:tc>
        <w:tc>
          <w:tcPr>
            <w:tcW w:w="600" w:type="pct"/>
            <w:vAlign w:val="center"/>
          </w:tcPr>
          <w:p w14:paraId="370C642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w:t>
            </w:r>
          </w:p>
        </w:tc>
        <w:tc>
          <w:tcPr>
            <w:tcW w:w="460" w:type="pct"/>
            <w:vAlign w:val="center"/>
          </w:tcPr>
          <w:p w14:paraId="45E4395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r>
      <w:tr w14:paraId="36FD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1BDA552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220" w:type="pct"/>
            <w:vMerge w:val="continue"/>
            <w:vAlign w:val="center"/>
          </w:tcPr>
          <w:p w14:paraId="3E845DA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168" w:type="pct"/>
            <w:vAlign w:val="center"/>
          </w:tcPr>
          <w:p w14:paraId="3CA04C4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2</w:t>
            </w:r>
          </w:p>
        </w:tc>
        <w:tc>
          <w:tcPr>
            <w:tcW w:w="319" w:type="pct"/>
            <w:vMerge w:val="continue"/>
            <w:vAlign w:val="center"/>
          </w:tcPr>
          <w:p w14:paraId="45424C7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69513AF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shd w:val="clear" w:color="auto" w:fill="auto"/>
            <w:vAlign w:val="center"/>
          </w:tcPr>
          <w:p w14:paraId="0C7DEB1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*吨</w:t>
            </w:r>
            <w:r>
              <w:rPr>
                <w:rFonts w:hint="eastAsia" w:cs="Times New Roman"/>
                <w:sz w:val="21"/>
                <w:szCs w:val="21"/>
                <w:vertAlign w:val="baseline"/>
                <w:lang w:val="en-US" w:eastAsia="zh-CN"/>
              </w:rPr>
              <w:t>铸铁</w:t>
            </w:r>
            <w:r>
              <w:rPr>
                <w:rFonts w:hint="default" w:ascii="Times New Roman" w:hAnsi="Times New Roman" w:eastAsia="仿宋" w:cs="Times New Roman"/>
                <w:sz w:val="21"/>
                <w:szCs w:val="21"/>
                <w:vertAlign w:val="baseline"/>
                <w:lang w:val="en-US" w:eastAsia="zh-CN"/>
              </w:rPr>
              <w:t>件废水量（m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/t）</w:t>
            </w:r>
          </w:p>
        </w:tc>
        <w:tc>
          <w:tcPr>
            <w:tcW w:w="692" w:type="pct"/>
            <w:shd w:val="clear" w:color="auto" w:fill="auto"/>
            <w:vAlign w:val="center"/>
          </w:tcPr>
          <w:p w14:paraId="4620754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0.5</w:t>
            </w:r>
          </w:p>
        </w:tc>
        <w:tc>
          <w:tcPr>
            <w:tcW w:w="600" w:type="pct"/>
            <w:shd w:val="clear" w:color="auto" w:fill="auto"/>
            <w:vAlign w:val="center"/>
          </w:tcPr>
          <w:p w14:paraId="7EB2F4A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1</w:t>
            </w:r>
          </w:p>
        </w:tc>
        <w:tc>
          <w:tcPr>
            <w:tcW w:w="600" w:type="pct"/>
            <w:shd w:val="clear" w:color="auto" w:fill="auto"/>
            <w:vAlign w:val="center"/>
          </w:tcPr>
          <w:p w14:paraId="6531F55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1.5</w:t>
            </w:r>
          </w:p>
        </w:tc>
        <w:tc>
          <w:tcPr>
            <w:tcW w:w="460" w:type="pct"/>
            <w:vAlign w:val="center"/>
          </w:tcPr>
          <w:p w14:paraId="2E5451E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3C05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1AA8D6A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129A532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5BB5CE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319" w:type="pct"/>
            <w:vMerge w:val="continue"/>
            <w:vAlign w:val="center"/>
          </w:tcPr>
          <w:p w14:paraId="1AA94E9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A0306C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44BA8F5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*吨有色铸件废水量（m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/t）</w:t>
            </w:r>
          </w:p>
        </w:tc>
        <w:tc>
          <w:tcPr>
            <w:tcW w:w="692" w:type="pct"/>
            <w:shd w:val="clear" w:color="auto" w:fill="auto"/>
            <w:vAlign w:val="center"/>
          </w:tcPr>
          <w:p w14:paraId="2E67BEF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0.5</w:t>
            </w:r>
          </w:p>
        </w:tc>
        <w:tc>
          <w:tcPr>
            <w:tcW w:w="600" w:type="pct"/>
            <w:shd w:val="clear" w:color="auto" w:fill="auto"/>
            <w:vAlign w:val="center"/>
          </w:tcPr>
          <w:p w14:paraId="667E7B6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0.6</w:t>
            </w:r>
          </w:p>
        </w:tc>
        <w:tc>
          <w:tcPr>
            <w:tcW w:w="600" w:type="pct"/>
            <w:shd w:val="clear" w:color="auto" w:fill="auto"/>
            <w:vAlign w:val="center"/>
          </w:tcPr>
          <w:p w14:paraId="4F26559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0.8</w:t>
            </w:r>
          </w:p>
        </w:tc>
        <w:tc>
          <w:tcPr>
            <w:tcW w:w="460" w:type="pct"/>
            <w:vAlign w:val="center"/>
          </w:tcPr>
          <w:p w14:paraId="3D729AC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14:paraId="25A1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254" w:type="pct"/>
            <w:vMerge w:val="continue"/>
            <w:vAlign w:val="center"/>
          </w:tcPr>
          <w:p w14:paraId="5CEA404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1982100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54CD8AE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4</w:t>
            </w:r>
          </w:p>
        </w:tc>
        <w:tc>
          <w:tcPr>
            <w:tcW w:w="319" w:type="pct"/>
            <w:vMerge w:val="restart"/>
            <w:vAlign w:val="center"/>
          </w:tcPr>
          <w:p w14:paraId="3C52FE3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固废重复利用</w:t>
            </w:r>
          </w:p>
        </w:tc>
        <w:tc>
          <w:tcPr>
            <w:tcW w:w="227" w:type="pct"/>
            <w:vMerge w:val="restart"/>
            <w:vAlign w:val="center"/>
          </w:tcPr>
          <w:p w14:paraId="6EA394F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1455" w:type="pct"/>
            <w:gridSpan w:val="3"/>
            <w:vAlign w:val="center"/>
          </w:tcPr>
          <w:p w14:paraId="5510195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废砂、渣利用（制成建筑材料、复合材料等）%</w:t>
            </w:r>
          </w:p>
        </w:tc>
        <w:tc>
          <w:tcPr>
            <w:tcW w:w="692" w:type="pct"/>
            <w:shd w:val="clear" w:color="auto" w:fill="auto"/>
            <w:vAlign w:val="center"/>
          </w:tcPr>
          <w:p w14:paraId="4538882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≥95</w:t>
            </w:r>
          </w:p>
        </w:tc>
        <w:tc>
          <w:tcPr>
            <w:tcW w:w="600" w:type="pct"/>
            <w:shd w:val="clear" w:color="auto" w:fill="auto"/>
            <w:vAlign w:val="center"/>
          </w:tcPr>
          <w:p w14:paraId="667B84F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≥90</w:t>
            </w:r>
          </w:p>
        </w:tc>
        <w:tc>
          <w:tcPr>
            <w:tcW w:w="600" w:type="pct"/>
            <w:shd w:val="clear" w:color="auto" w:fill="auto"/>
            <w:vAlign w:val="center"/>
          </w:tcPr>
          <w:p w14:paraId="5E163C05">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≥8</w:t>
            </w:r>
            <w:r>
              <w:rPr>
                <w:rFonts w:hint="eastAsia" w:cs="Times New Roman"/>
                <w:sz w:val="21"/>
                <w:szCs w:val="21"/>
                <w:vertAlign w:val="baseline"/>
                <w:lang w:val="en-US" w:eastAsia="zh-CN"/>
              </w:rPr>
              <w:t>0</w:t>
            </w:r>
          </w:p>
        </w:tc>
        <w:tc>
          <w:tcPr>
            <w:tcW w:w="460" w:type="pct"/>
            <w:vAlign w:val="center"/>
          </w:tcPr>
          <w:p w14:paraId="55C5CBB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r>
      <w:tr w14:paraId="5F20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21BC2B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799FBA4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1898D3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w:t>
            </w:r>
          </w:p>
        </w:tc>
        <w:tc>
          <w:tcPr>
            <w:tcW w:w="319" w:type="pct"/>
            <w:vMerge w:val="continue"/>
            <w:vAlign w:val="center"/>
          </w:tcPr>
          <w:p w14:paraId="2084B87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66C7607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209540D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废铸件、浇冒口、铁豆、切屑等金属废料作为回炉料使用率%</w:t>
            </w:r>
          </w:p>
        </w:tc>
        <w:tc>
          <w:tcPr>
            <w:tcW w:w="692" w:type="pct"/>
            <w:vAlign w:val="center"/>
          </w:tcPr>
          <w:p w14:paraId="7C60F5A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≥95</w:t>
            </w:r>
          </w:p>
        </w:tc>
        <w:tc>
          <w:tcPr>
            <w:tcW w:w="600" w:type="pct"/>
            <w:vAlign w:val="center"/>
          </w:tcPr>
          <w:p w14:paraId="4763C656">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≥90</w:t>
            </w:r>
          </w:p>
        </w:tc>
        <w:tc>
          <w:tcPr>
            <w:tcW w:w="600" w:type="pct"/>
            <w:vAlign w:val="center"/>
          </w:tcPr>
          <w:p w14:paraId="58231619">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≥85</w:t>
            </w:r>
          </w:p>
        </w:tc>
        <w:tc>
          <w:tcPr>
            <w:tcW w:w="460" w:type="pct"/>
            <w:vAlign w:val="center"/>
          </w:tcPr>
          <w:p w14:paraId="7DF7FA7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边角料、不合格品100%回用，</w:t>
            </w:r>
            <w:r>
              <w:rPr>
                <w:rFonts w:hint="default" w:ascii="Times New Roman" w:hAnsi="Times New Roman" w:eastAsia="仿宋" w:cs="Times New Roman"/>
                <w:sz w:val="21"/>
                <w:szCs w:val="21"/>
                <w:vertAlign w:val="baseline"/>
                <w:lang w:val="en-US" w:eastAsia="zh-CN"/>
              </w:rPr>
              <w:t>Ⅰ级水平基准值</w:t>
            </w:r>
          </w:p>
        </w:tc>
      </w:tr>
      <w:tr w14:paraId="6867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2CB89F0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28E71C6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6EBDD45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6</w:t>
            </w:r>
          </w:p>
        </w:tc>
        <w:tc>
          <w:tcPr>
            <w:tcW w:w="319" w:type="pct"/>
            <w:vMerge w:val="restart"/>
            <w:vAlign w:val="center"/>
          </w:tcPr>
          <w:p w14:paraId="39DE682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旧砂再生回用率</w:t>
            </w:r>
          </w:p>
        </w:tc>
        <w:tc>
          <w:tcPr>
            <w:tcW w:w="227" w:type="pct"/>
            <w:vMerge w:val="restart"/>
            <w:vAlign w:val="center"/>
          </w:tcPr>
          <w:p w14:paraId="211BCBC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4</w:t>
            </w:r>
          </w:p>
        </w:tc>
        <w:tc>
          <w:tcPr>
            <w:tcW w:w="1455" w:type="pct"/>
            <w:gridSpan w:val="3"/>
            <w:vAlign w:val="center"/>
          </w:tcPr>
          <w:p w14:paraId="3E65CCE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粘土湿型砂回用率%</w:t>
            </w:r>
          </w:p>
        </w:tc>
        <w:tc>
          <w:tcPr>
            <w:tcW w:w="692" w:type="pct"/>
            <w:shd w:val="clear" w:color="auto" w:fill="auto"/>
            <w:vAlign w:val="center"/>
          </w:tcPr>
          <w:p w14:paraId="51B0F04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≥90</w:t>
            </w:r>
          </w:p>
        </w:tc>
        <w:tc>
          <w:tcPr>
            <w:tcW w:w="600" w:type="pct"/>
            <w:shd w:val="clear" w:color="auto" w:fill="auto"/>
            <w:vAlign w:val="center"/>
          </w:tcPr>
          <w:p w14:paraId="609EF7AE">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≥85</w:t>
            </w:r>
          </w:p>
        </w:tc>
        <w:tc>
          <w:tcPr>
            <w:tcW w:w="600" w:type="pct"/>
            <w:shd w:val="clear" w:color="auto" w:fill="auto"/>
            <w:vAlign w:val="center"/>
          </w:tcPr>
          <w:p w14:paraId="05239A44">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≥80</w:t>
            </w:r>
          </w:p>
        </w:tc>
        <w:tc>
          <w:tcPr>
            <w:tcW w:w="460" w:type="pct"/>
            <w:vAlign w:val="center"/>
          </w:tcPr>
          <w:p w14:paraId="2E100095">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r>
      <w:tr w14:paraId="45FA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0281D62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46B2E5C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D26BDA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7</w:t>
            </w:r>
          </w:p>
        </w:tc>
        <w:tc>
          <w:tcPr>
            <w:tcW w:w="319" w:type="pct"/>
            <w:vMerge w:val="continue"/>
            <w:vAlign w:val="center"/>
          </w:tcPr>
          <w:p w14:paraId="1979E12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A96693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59C3B6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呋喃树脂自硬砂回用率%</w:t>
            </w:r>
          </w:p>
        </w:tc>
        <w:tc>
          <w:tcPr>
            <w:tcW w:w="692" w:type="pct"/>
            <w:shd w:val="clear" w:color="auto" w:fill="auto"/>
            <w:vAlign w:val="center"/>
          </w:tcPr>
          <w:p w14:paraId="20AE263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5</w:t>
            </w:r>
          </w:p>
        </w:tc>
        <w:tc>
          <w:tcPr>
            <w:tcW w:w="600" w:type="pct"/>
            <w:shd w:val="clear" w:color="auto" w:fill="auto"/>
            <w:vAlign w:val="center"/>
          </w:tcPr>
          <w:p w14:paraId="1005A4AE">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92</w:t>
            </w:r>
          </w:p>
        </w:tc>
        <w:tc>
          <w:tcPr>
            <w:tcW w:w="600" w:type="pct"/>
            <w:shd w:val="clear" w:color="auto" w:fill="auto"/>
            <w:vAlign w:val="center"/>
          </w:tcPr>
          <w:p w14:paraId="0A1AD45D">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9</w:t>
            </w:r>
            <w:r>
              <w:rPr>
                <w:rFonts w:hint="default" w:ascii="Times New Roman" w:hAnsi="Times New Roman" w:eastAsia="仿宋" w:cs="Times New Roman"/>
                <w:sz w:val="21"/>
                <w:szCs w:val="21"/>
                <w:vertAlign w:val="baseline"/>
                <w:lang w:val="en-US" w:eastAsia="zh-CN"/>
              </w:rPr>
              <w:t>0</w:t>
            </w:r>
          </w:p>
        </w:tc>
        <w:tc>
          <w:tcPr>
            <w:tcW w:w="460" w:type="pct"/>
            <w:vAlign w:val="center"/>
          </w:tcPr>
          <w:p w14:paraId="3B7AD7A9">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w:t>
            </w:r>
          </w:p>
        </w:tc>
      </w:tr>
      <w:tr w14:paraId="255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54BB3BE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101ABCB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183AEB8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8</w:t>
            </w:r>
          </w:p>
        </w:tc>
        <w:tc>
          <w:tcPr>
            <w:tcW w:w="319" w:type="pct"/>
            <w:vMerge w:val="continue"/>
            <w:vAlign w:val="center"/>
          </w:tcPr>
          <w:p w14:paraId="474F23C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DB0540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14307ED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水玻璃砂回用率%</w:t>
            </w:r>
          </w:p>
        </w:tc>
        <w:tc>
          <w:tcPr>
            <w:tcW w:w="692" w:type="pct"/>
            <w:shd w:val="clear" w:color="auto" w:fill="auto"/>
            <w:vAlign w:val="center"/>
          </w:tcPr>
          <w:p w14:paraId="6759BE4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75</w:t>
            </w:r>
          </w:p>
        </w:tc>
        <w:tc>
          <w:tcPr>
            <w:tcW w:w="600" w:type="pct"/>
            <w:shd w:val="clear" w:color="auto" w:fill="auto"/>
            <w:vAlign w:val="center"/>
          </w:tcPr>
          <w:p w14:paraId="28239D2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70</w:t>
            </w:r>
          </w:p>
        </w:tc>
        <w:tc>
          <w:tcPr>
            <w:tcW w:w="600" w:type="pct"/>
            <w:shd w:val="clear" w:color="auto" w:fill="auto"/>
            <w:vAlign w:val="center"/>
          </w:tcPr>
          <w:p w14:paraId="740ED242">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60</w:t>
            </w:r>
          </w:p>
        </w:tc>
        <w:tc>
          <w:tcPr>
            <w:tcW w:w="460" w:type="pct"/>
            <w:vAlign w:val="center"/>
          </w:tcPr>
          <w:p w14:paraId="48ACBE36">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w:t>
            </w:r>
          </w:p>
        </w:tc>
      </w:tr>
      <w:tr w14:paraId="38C4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0D43A6D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7A93CAE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4618DD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9</w:t>
            </w:r>
          </w:p>
        </w:tc>
        <w:tc>
          <w:tcPr>
            <w:tcW w:w="319" w:type="pct"/>
            <w:vMerge w:val="continue"/>
            <w:vAlign w:val="center"/>
          </w:tcPr>
          <w:p w14:paraId="6C836F1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36A7088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47C16D0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其他型、芯砂回用率%</w:t>
            </w:r>
          </w:p>
        </w:tc>
        <w:tc>
          <w:tcPr>
            <w:tcW w:w="692" w:type="pct"/>
            <w:vAlign w:val="center"/>
          </w:tcPr>
          <w:p w14:paraId="2CB147A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85</w:t>
            </w:r>
          </w:p>
        </w:tc>
        <w:tc>
          <w:tcPr>
            <w:tcW w:w="600" w:type="pct"/>
            <w:vAlign w:val="center"/>
          </w:tcPr>
          <w:p w14:paraId="653B59C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80</w:t>
            </w:r>
          </w:p>
        </w:tc>
        <w:tc>
          <w:tcPr>
            <w:tcW w:w="600" w:type="pct"/>
            <w:vAlign w:val="center"/>
          </w:tcPr>
          <w:p w14:paraId="46F554EA">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70</w:t>
            </w:r>
          </w:p>
        </w:tc>
        <w:tc>
          <w:tcPr>
            <w:tcW w:w="460" w:type="pct"/>
            <w:vAlign w:val="center"/>
          </w:tcPr>
          <w:p w14:paraId="3CE07F78">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w:t>
            </w:r>
          </w:p>
        </w:tc>
      </w:tr>
      <w:tr w14:paraId="6791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1F8CE6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9997AD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4B4995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w:t>
            </w:r>
          </w:p>
        </w:tc>
        <w:tc>
          <w:tcPr>
            <w:tcW w:w="319" w:type="pct"/>
            <w:vMerge w:val="restart"/>
            <w:vAlign w:val="center"/>
          </w:tcPr>
          <w:p w14:paraId="20F0950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工业用水重复利用率</w:t>
            </w:r>
          </w:p>
        </w:tc>
        <w:tc>
          <w:tcPr>
            <w:tcW w:w="227" w:type="pct"/>
            <w:vMerge w:val="restart"/>
            <w:vAlign w:val="center"/>
          </w:tcPr>
          <w:p w14:paraId="06D816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1455" w:type="pct"/>
            <w:gridSpan w:val="3"/>
            <w:vAlign w:val="center"/>
          </w:tcPr>
          <w:p w14:paraId="5B883E2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工业炉窑及其他设备冷却水循环利用率%</w:t>
            </w:r>
          </w:p>
        </w:tc>
        <w:tc>
          <w:tcPr>
            <w:tcW w:w="692" w:type="pct"/>
            <w:shd w:val="clear" w:color="auto" w:fill="auto"/>
            <w:vAlign w:val="center"/>
          </w:tcPr>
          <w:p w14:paraId="645F2AA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≥98</w:t>
            </w:r>
          </w:p>
        </w:tc>
        <w:tc>
          <w:tcPr>
            <w:tcW w:w="600" w:type="pct"/>
            <w:shd w:val="clear" w:color="auto" w:fill="auto"/>
            <w:vAlign w:val="center"/>
          </w:tcPr>
          <w:p w14:paraId="2F7D01F2">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≥95</w:t>
            </w:r>
          </w:p>
        </w:tc>
        <w:tc>
          <w:tcPr>
            <w:tcW w:w="600" w:type="pct"/>
            <w:shd w:val="clear" w:color="auto" w:fill="auto"/>
            <w:vAlign w:val="center"/>
          </w:tcPr>
          <w:p w14:paraId="6D0F3415">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≥90</w:t>
            </w:r>
          </w:p>
        </w:tc>
        <w:tc>
          <w:tcPr>
            <w:tcW w:w="460" w:type="pct"/>
            <w:vAlign w:val="center"/>
          </w:tcPr>
          <w:p w14:paraId="5CFF166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间接冷却水100%回用，</w:t>
            </w:r>
            <w:r>
              <w:rPr>
                <w:rFonts w:hint="default" w:ascii="Times New Roman" w:hAnsi="Times New Roman" w:eastAsia="仿宋" w:cs="Times New Roman"/>
                <w:sz w:val="21"/>
                <w:szCs w:val="21"/>
                <w:vertAlign w:val="baseline"/>
                <w:lang w:val="en-US" w:eastAsia="zh-CN"/>
              </w:rPr>
              <w:t>Ⅰ级水平基准值</w:t>
            </w:r>
          </w:p>
        </w:tc>
      </w:tr>
      <w:tr w14:paraId="4EDD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42471CE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6E52D72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67A2057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11</w:t>
            </w:r>
          </w:p>
        </w:tc>
        <w:tc>
          <w:tcPr>
            <w:tcW w:w="319" w:type="pct"/>
            <w:vMerge w:val="continue"/>
            <w:vAlign w:val="center"/>
          </w:tcPr>
          <w:p w14:paraId="3BDCE9D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54797B2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4D156E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水力清砂、旧砂再用、湿法除尘、锅炉冲渣、涂装水幕等其他用水工艺废水处理后回用率%</w:t>
            </w:r>
          </w:p>
        </w:tc>
        <w:tc>
          <w:tcPr>
            <w:tcW w:w="692" w:type="pct"/>
            <w:shd w:val="clear" w:color="auto" w:fill="auto"/>
            <w:vAlign w:val="center"/>
          </w:tcPr>
          <w:p w14:paraId="12D8701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≥90</w:t>
            </w:r>
          </w:p>
        </w:tc>
        <w:tc>
          <w:tcPr>
            <w:tcW w:w="600" w:type="pct"/>
            <w:shd w:val="clear" w:color="auto" w:fill="auto"/>
            <w:vAlign w:val="center"/>
          </w:tcPr>
          <w:p w14:paraId="504553AB">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≥85</w:t>
            </w:r>
          </w:p>
        </w:tc>
        <w:tc>
          <w:tcPr>
            <w:tcW w:w="600" w:type="pct"/>
            <w:shd w:val="clear" w:color="auto" w:fill="auto"/>
            <w:vAlign w:val="center"/>
          </w:tcPr>
          <w:p w14:paraId="4B08460F">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≥80</w:t>
            </w:r>
          </w:p>
        </w:tc>
        <w:tc>
          <w:tcPr>
            <w:tcW w:w="460" w:type="pct"/>
            <w:vAlign w:val="center"/>
          </w:tcPr>
          <w:p w14:paraId="64C4918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喷淋水捞渣后100%回用，</w:t>
            </w:r>
            <w:r>
              <w:rPr>
                <w:rFonts w:hint="default" w:ascii="Times New Roman" w:hAnsi="Times New Roman" w:eastAsia="仿宋" w:cs="Times New Roman"/>
                <w:sz w:val="21"/>
                <w:szCs w:val="21"/>
                <w:vertAlign w:val="baseline"/>
                <w:lang w:val="en-US" w:eastAsia="zh-CN"/>
              </w:rPr>
              <w:t>Ⅰ级水平基准值</w:t>
            </w:r>
          </w:p>
        </w:tc>
      </w:tr>
      <w:tr w14:paraId="0B8A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2FB6B10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1627BB7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06F6B17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12</w:t>
            </w:r>
          </w:p>
        </w:tc>
        <w:tc>
          <w:tcPr>
            <w:tcW w:w="319" w:type="pct"/>
            <w:vMerge w:val="restart"/>
            <w:vAlign w:val="center"/>
          </w:tcPr>
          <w:p w14:paraId="55629C1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单位产品能耗</w:t>
            </w:r>
          </w:p>
        </w:tc>
        <w:tc>
          <w:tcPr>
            <w:tcW w:w="227" w:type="pct"/>
            <w:vMerge w:val="restart"/>
            <w:vAlign w:val="center"/>
          </w:tcPr>
          <w:p w14:paraId="295566C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1455" w:type="pct"/>
            <w:gridSpan w:val="3"/>
            <w:vAlign w:val="center"/>
          </w:tcPr>
          <w:p w14:paraId="691C68C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w:t>
            </w:r>
            <w:r>
              <w:rPr>
                <w:rFonts w:hint="eastAsia" w:cs="Times New Roman"/>
                <w:sz w:val="21"/>
                <w:szCs w:val="21"/>
                <w:vertAlign w:val="baseline"/>
                <w:lang w:val="en-US" w:eastAsia="zh-CN"/>
              </w:rPr>
              <w:t>铸钢</w:t>
            </w:r>
            <w:r>
              <w:rPr>
                <w:rFonts w:hint="default" w:ascii="Times New Roman" w:hAnsi="Times New Roman" w:eastAsia="仿宋" w:cs="Times New Roman"/>
                <w:sz w:val="21"/>
                <w:szCs w:val="21"/>
                <w:vertAlign w:val="baseline"/>
                <w:lang w:val="en-US" w:eastAsia="zh-CN"/>
              </w:rPr>
              <w:t>件能耗（kgce/t）</w:t>
            </w:r>
          </w:p>
        </w:tc>
        <w:tc>
          <w:tcPr>
            <w:tcW w:w="692" w:type="pct"/>
            <w:shd w:val="clear" w:color="auto" w:fill="auto"/>
            <w:vAlign w:val="center"/>
          </w:tcPr>
          <w:p w14:paraId="5A31385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45</w:t>
            </w:r>
            <w:r>
              <w:rPr>
                <w:rFonts w:hint="default" w:ascii="Times New Roman" w:hAnsi="Times New Roman" w:eastAsia="仿宋" w:cs="Times New Roman"/>
                <w:sz w:val="21"/>
                <w:szCs w:val="21"/>
                <w:vertAlign w:val="baseline"/>
                <w:lang w:val="en-US" w:eastAsia="zh-CN"/>
              </w:rPr>
              <w:t>0</w:t>
            </w:r>
          </w:p>
        </w:tc>
        <w:tc>
          <w:tcPr>
            <w:tcW w:w="600" w:type="pct"/>
            <w:shd w:val="clear" w:color="auto" w:fill="auto"/>
            <w:vAlign w:val="center"/>
          </w:tcPr>
          <w:p w14:paraId="16C997E0">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50</w:t>
            </w:r>
            <w:r>
              <w:rPr>
                <w:rFonts w:hint="default" w:ascii="Times New Roman" w:hAnsi="Times New Roman" w:eastAsia="仿宋" w:cs="Times New Roman"/>
                <w:sz w:val="21"/>
                <w:szCs w:val="21"/>
                <w:vertAlign w:val="baseline"/>
                <w:lang w:val="en-US" w:eastAsia="zh-CN"/>
              </w:rPr>
              <w:t>0</w:t>
            </w:r>
          </w:p>
        </w:tc>
        <w:tc>
          <w:tcPr>
            <w:tcW w:w="600" w:type="pct"/>
            <w:shd w:val="clear" w:color="auto" w:fill="auto"/>
            <w:vAlign w:val="center"/>
          </w:tcPr>
          <w:p w14:paraId="0FB13D1D">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56</w:t>
            </w:r>
            <w:r>
              <w:rPr>
                <w:rFonts w:hint="default" w:ascii="Times New Roman" w:hAnsi="Times New Roman" w:eastAsia="仿宋" w:cs="Times New Roman"/>
                <w:sz w:val="21"/>
                <w:szCs w:val="21"/>
                <w:vertAlign w:val="baseline"/>
                <w:lang w:val="en-US" w:eastAsia="zh-CN"/>
              </w:rPr>
              <w:t>0</w:t>
            </w:r>
          </w:p>
        </w:tc>
        <w:tc>
          <w:tcPr>
            <w:tcW w:w="460" w:type="pct"/>
            <w:vAlign w:val="center"/>
          </w:tcPr>
          <w:p w14:paraId="02434707">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164A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22317F3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4D9FE14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5851648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13</w:t>
            </w:r>
          </w:p>
        </w:tc>
        <w:tc>
          <w:tcPr>
            <w:tcW w:w="319" w:type="pct"/>
            <w:vMerge w:val="continue"/>
            <w:vAlign w:val="center"/>
          </w:tcPr>
          <w:p w14:paraId="5F176EB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CC3370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1C449E9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w:t>
            </w:r>
            <w:r>
              <w:rPr>
                <w:rFonts w:hint="eastAsia" w:cs="Times New Roman"/>
                <w:sz w:val="21"/>
                <w:szCs w:val="21"/>
                <w:vertAlign w:val="baseline"/>
                <w:lang w:val="en-US" w:eastAsia="zh-CN"/>
              </w:rPr>
              <w:t>铸铁</w:t>
            </w:r>
            <w:r>
              <w:rPr>
                <w:rFonts w:hint="default" w:ascii="Times New Roman" w:hAnsi="Times New Roman" w:eastAsia="仿宋" w:cs="Times New Roman"/>
                <w:sz w:val="21"/>
                <w:szCs w:val="21"/>
                <w:vertAlign w:val="baseline"/>
                <w:lang w:val="en-US" w:eastAsia="zh-CN"/>
              </w:rPr>
              <w:t>件能耗（kgce/t）</w:t>
            </w:r>
          </w:p>
        </w:tc>
        <w:tc>
          <w:tcPr>
            <w:tcW w:w="692" w:type="pct"/>
            <w:shd w:val="clear" w:color="auto" w:fill="auto"/>
            <w:vAlign w:val="center"/>
          </w:tcPr>
          <w:p w14:paraId="23DF5C6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3</w:t>
            </w:r>
            <w:r>
              <w:rPr>
                <w:rFonts w:hint="default" w:ascii="Times New Roman" w:hAnsi="Times New Roman" w:eastAsia="仿宋" w:cs="Times New Roman"/>
                <w:sz w:val="21"/>
                <w:szCs w:val="21"/>
                <w:vertAlign w:val="baseline"/>
                <w:lang w:val="en-US" w:eastAsia="zh-CN"/>
              </w:rPr>
              <w:t>00</w:t>
            </w:r>
          </w:p>
        </w:tc>
        <w:tc>
          <w:tcPr>
            <w:tcW w:w="600" w:type="pct"/>
            <w:shd w:val="clear" w:color="auto" w:fill="auto"/>
            <w:vAlign w:val="center"/>
          </w:tcPr>
          <w:p w14:paraId="434A854B">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40</w:t>
            </w:r>
            <w:r>
              <w:rPr>
                <w:rFonts w:hint="default" w:ascii="Times New Roman" w:hAnsi="Times New Roman" w:eastAsia="仿宋" w:cs="Times New Roman"/>
                <w:sz w:val="21"/>
                <w:szCs w:val="21"/>
                <w:vertAlign w:val="baseline"/>
                <w:lang w:val="en-US" w:eastAsia="zh-CN"/>
              </w:rPr>
              <w:t>0</w:t>
            </w:r>
          </w:p>
        </w:tc>
        <w:tc>
          <w:tcPr>
            <w:tcW w:w="600" w:type="pct"/>
            <w:shd w:val="clear" w:color="auto" w:fill="auto"/>
            <w:vAlign w:val="center"/>
          </w:tcPr>
          <w:p w14:paraId="52AC8B72">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44</w:t>
            </w:r>
            <w:r>
              <w:rPr>
                <w:rFonts w:hint="default" w:ascii="Times New Roman" w:hAnsi="Times New Roman" w:eastAsia="仿宋" w:cs="Times New Roman"/>
                <w:sz w:val="21"/>
                <w:szCs w:val="21"/>
                <w:vertAlign w:val="baseline"/>
                <w:lang w:val="en-US" w:eastAsia="zh-CN"/>
              </w:rPr>
              <w:t>0</w:t>
            </w:r>
          </w:p>
        </w:tc>
        <w:tc>
          <w:tcPr>
            <w:tcW w:w="460" w:type="pct"/>
            <w:vAlign w:val="center"/>
          </w:tcPr>
          <w:p w14:paraId="47253A65">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1F62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58FB74C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5655E8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1793DDB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14</w:t>
            </w:r>
          </w:p>
        </w:tc>
        <w:tc>
          <w:tcPr>
            <w:tcW w:w="319" w:type="pct"/>
            <w:vMerge w:val="continue"/>
            <w:vAlign w:val="center"/>
          </w:tcPr>
          <w:p w14:paraId="67BFD7A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5643DDF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vAlign w:val="center"/>
          </w:tcPr>
          <w:p w14:paraId="46C9BA1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*吨有色铸件能耗（kgce/t）</w:t>
            </w:r>
          </w:p>
        </w:tc>
        <w:tc>
          <w:tcPr>
            <w:tcW w:w="692" w:type="pct"/>
            <w:vAlign w:val="center"/>
          </w:tcPr>
          <w:p w14:paraId="10D5C3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≤600</w:t>
            </w:r>
          </w:p>
        </w:tc>
        <w:tc>
          <w:tcPr>
            <w:tcW w:w="600" w:type="pct"/>
            <w:vAlign w:val="center"/>
          </w:tcPr>
          <w:p w14:paraId="39E0405E">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≤650</w:t>
            </w:r>
          </w:p>
        </w:tc>
        <w:tc>
          <w:tcPr>
            <w:tcW w:w="600" w:type="pct"/>
            <w:vAlign w:val="center"/>
          </w:tcPr>
          <w:p w14:paraId="2F3C28A4">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≤700</w:t>
            </w:r>
          </w:p>
        </w:tc>
        <w:tc>
          <w:tcPr>
            <w:tcW w:w="460" w:type="pct"/>
            <w:vAlign w:val="center"/>
          </w:tcPr>
          <w:p w14:paraId="60530ED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吨有色铸件能耗≤600kgce/t</w:t>
            </w:r>
            <w:r>
              <w:rPr>
                <w:rFonts w:hint="eastAsia"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Ⅰ级水平基准值</w:t>
            </w:r>
          </w:p>
        </w:tc>
      </w:tr>
      <w:tr w14:paraId="5251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ED5600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CDC1F5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4E25FEB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w:t>
            </w:r>
          </w:p>
        </w:tc>
        <w:tc>
          <w:tcPr>
            <w:tcW w:w="319" w:type="pct"/>
            <w:vAlign w:val="center"/>
          </w:tcPr>
          <w:p w14:paraId="39B3903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吨金属液综合能耗</w:t>
            </w:r>
          </w:p>
        </w:tc>
        <w:tc>
          <w:tcPr>
            <w:tcW w:w="227" w:type="pct"/>
            <w:vAlign w:val="center"/>
          </w:tcPr>
          <w:p w14:paraId="4727B90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01F3A7A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《铸造行业准入条件》限值C的倍数-吨金属液综合能耗（kW·h/t金属液或kgce/t金属液）</w:t>
            </w:r>
          </w:p>
        </w:tc>
        <w:tc>
          <w:tcPr>
            <w:tcW w:w="692" w:type="pct"/>
            <w:shd w:val="clear" w:color="auto" w:fill="auto"/>
            <w:vAlign w:val="center"/>
          </w:tcPr>
          <w:p w14:paraId="27FBD64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≤0.9C</w:t>
            </w:r>
          </w:p>
        </w:tc>
        <w:tc>
          <w:tcPr>
            <w:tcW w:w="600" w:type="pct"/>
            <w:shd w:val="clear" w:color="auto" w:fill="auto"/>
            <w:vAlign w:val="center"/>
          </w:tcPr>
          <w:p w14:paraId="6E08FE45">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≤0.95C</w:t>
            </w:r>
          </w:p>
        </w:tc>
        <w:tc>
          <w:tcPr>
            <w:tcW w:w="600" w:type="pct"/>
            <w:shd w:val="clear" w:color="auto" w:fill="auto"/>
            <w:vAlign w:val="center"/>
          </w:tcPr>
          <w:p w14:paraId="636495C5">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≤C</w:t>
            </w:r>
          </w:p>
        </w:tc>
        <w:tc>
          <w:tcPr>
            <w:tcW w:w="460" w:type="pct"/>
            <w:shd w:val="clear" w:color="auto" w:fill="auto"/>
            <w:vAlign w:val="center"/>
          </w:tcPr>
          <w:p w14:paraId="4543152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39C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restart"/>
            <w:vAlign w:val="center"/>
          </w:tcPr>
          <w:p w14:paraId="1A1FD54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产品特性</w:t>
            </w:r>
          </w:p>
        </w:tc>
        <w:tc>
          <w:tcPr>
            <w:tcW w:w="220" w:type="pct"/>
            <w:vMerge w:val="restart"/>
            <w:vAlign w:val="center"/>
          </w:tcPr>
          <w:p w14:paraId="686F31F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w:t>
            </w:r>
          </w:p>
        </w:tc>
        <w:tc>
          <w:tcPr>
            <w:tcW w:w="168" w:type="pct"/>
            <w:vMerge w:val="restart"/>
            <w:vAlign w:val="center"/>
          </w:tcPr>
          <w:p w14:paraId="45EC8B4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319" w:type="pct"/>
            <w:vMerge w:val="restart"/>
            <w:vAlign w:val="center"/>
          </w:tcPr>
          <w:p w14:paraId="757D335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铸件成品率%</w:t>
            </w:r>
          </w:p>
        </w:tc>
        <w:tc>
          <w:tcPr>
            <w:tcW w:w="227" w:type="pct"/>
            <w:vMerge w:val="restart"/>
            <w:vAlign w:val="center"/>
          </w:tcPr>
          <w:p w14:paraId="7727B40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w:t>
            </w:r>
          </w:p>
        </w:tc>
        <w:tc>
          <w:tcPr>
            <w:tcW w:w="1455" w:type="pct"/>
            <w:gridSpan w:val="3"/>
            <w:vAlign w:val="center"/>
          </w:tcPr>
          <w:p w14:paraId="03EA897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粘土湿型砂、水玻璃砂型</w:t>
            </w:r>
          </w:p>
        </w:tc>
        <w:tc>
          <w:tcPr>
            <w:tcW w:w="692" w:type="pct"/>
            <w:shd w:val="clear" w:color="auto" w:fill="auto"/>
            <w:vAlign w:val="center"/>
          </w:tcPr>
          <w:p w14:paraId="001B7E5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5</w:t>
            </w:r>
          </w:p>
        </w:tc>
        <w:tc>
          <w:tcPr>
            <w:tcW w:w="600" w:type="pct"/>
            <w:shd w:val="clear" w:color="auto" w:fill="auto"/>
            <w:vAlign w:val="center"/>
          </w:tcPr>
          <w:p w14:paraId="7750F15A">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3</w:t>
            </w:r>
          </w:p>
        </w:tc>
        <w:tc>
          <w:tcPr>
            <w:tcW w:w="600" w:type="pct"/>
            <w:shd w:val="clear" w:color="auto" w:fill="auto"/>
            <w:vAlign w:val="center"/>
          </w:tcPr>
          <w:p w14:paraId="6648675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0</w:t>
            </w:r>
          </w:p>
        </w:tc>
        <w:tc>
          <w:tcPr>
            <w:tcW w:w="460" w:type="pct"/>
            <w:vAlign w:val="center"/>
          </w:tcPr>
          <w:p w14:paraId="1126EC32">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6352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4BC9823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220" w:type="pct"/>
            <w:vMerge w:val="continue"/>
            <w:vAlign w:val="center"/>
          </w:tcPr>
          <w:p w14:paraId="295B623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168" w:type="pct"/>
            <w:vMerge w:val="continue"/>
            <w:vAlign w:val="center"/>
          </w:tcPr>
          <w:p w14:paraId="37652CE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319" w:type="pct"/>
            <w:vMerge w:val="continue"/>
            <w:vAlign w:val="center"/>
          </w:tcPr>
          <w:p w14:paraId="11F0D78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227" w:type="pct"/>
            <w:vMerge w:val="continue"/>
            <w:vAlign w:val="center"/>
          </w:tcPr>
          <w:p w14:paraId="3D5A35E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1455" w:type="pct"/>
            <w:gridSpan w:val="3"/>
            <w:vAlign w:val="center"/>
          </w:tcPr>
          <w:p w14:paraId="6AAC944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树脂砂型</w:t>
            </w:r>
          </w:p>
        </w:tc>
        <w:tc>
          <w:tcPr>
            <w:tcW w:w="692" w:type="pct"/>
            <w:shd w:val="clear" w:color="auto" w:fill="auto"/>
            <w:vAlign w:val="center"/>
          </w:tcPr>
          <w:p w14:paraId="1734CCA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≥98</w:t>
            </w:r>
          </w:p>
        </w:tc>
        <w:tc>
          <w:tcPr>
            <w:tcW w:w="600" w:type="pct"/>
            <w:shd w:val="clear" w:color="auto" w:fill="auto"/>
            <w:vAlign w:val="center"/>
          </w:tcPr>
          <w:p w14:paraId="7437197D">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≥97</w:t>
            </w:r>
          </w:p>
        </w:tc>
        <w:tc>
          <w:tcPr>
            <w:tcW w:w="600" w:type="pct"/>
            <w:shd w:val="clear" w:color="auto" w:fill="auto"/>
            <w:vAlign w:val="center"/>
          </w:tcPr>
          <w:p w14:paraId="4152533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≥96</w:t>
            </w:r>
          </w:p>
        </w:tc>
        <w:tc>
          <w:tcPr>
            <w:tcW w:w="460" w:type="pct"/>
            <w:vAlign w:val="center"/>
          </w:tcPr>
          <w:p w14:paraId="05613F68">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3996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6C83937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5A9BB4E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1C8DF0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16FC98A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111FFDA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shd w:val="clear" w:color="auto" w:fill="auto"/>
            <w:vAlign w:val="center"/>
          </w:tcPr>
          <w:p w14:paraId="6ABAB04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金属型</w:t>
            </w:r>
          </w:p>
        </w:tc>
        <w:tc>
          <w:tcPr>
            <w:tcW w:w="692" w:type="pct"/>
            <w:shd w:val="clear" w:color="auto" w:fill="auto"/>
            <w:vAlign w:val="center"/>
          </w:tcPr>
          <w:p w14:paraId="19A16D3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≥98</w:t>
            </w:r>
          </w:p>
        </w:tc>
        <w:tc>
          <w:tcPr>
            <w:tcW w:w="600" w:type="pct"/>
            <w:shd w:val="clear" w:color="auto" w:fill="auto"/>
            <w:vAlign w:val="center"/>
          </w:tcPr>
          <w:p w14:paraId="0A408796">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≥97</w:t>
            </w:r>
          </w:p>
        </w:tc>
        <w:tc>
          <w:tcPr>
            <w:tcW w:w="600" w:type="pct"/>
            <w:shd w:val="clear" w:color="auto" w:fill="auto"/>
            <w:vAlign w:val="center"/>
          </w:tcPr>
          <w:p w14:paraId="744CB9A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≥96</w:t>
            </w:r>
          </w:p>
        </w:tc>
        <w:tc>
          <w:tcPr>
            <w:tcW w:w="460" w:type="pct"/>
            <w:shd w:val="clear" w:color="auto" w:fill="auto"/>
            <w:vAlign w:val="center"/>
          </w:tcPr>
          <w:p w14:paraId="43D658D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b w:val="0"/>
                <w:bCs w:val="0"/>
                <w:sz w:val="21"/>
                <w:szCs w:val="21"/>
                <w:vertAlign w:val="baseline"/>
                <w:lang w:val="en-US" w:eastAsia="zh-CN"/>
              </w:rPr>
              <w:t>铸件成品率</w:t>
            </w:r>
            <w:r>
              <w:rPr>
                <w:rFonts w:hint="default" w:ascii="Times New Roman" w:hAnsi="Times New Roman" w:eastAsia="仿宋" w:cs="Times New Roman"/>
                <w:sz w:val="21"/>
                <w:szCs w:val="21"/>
                <w:vertAlign w:val="baseline"/>
                <w:lang w:val="en-US" w:eastAsia="zh-CN"/>
              </w:rPr>
              <w:t>≥97</w:t>
            </w:r>
            <w:r>
              <w:rPr>
                <w:rFonts w:hint="eastAsia" w:cs="Times New Roman"/>
                <w:sz w:val="21"/>
                <w:szCs w:val="21"/>
                <w:vertAlign w:val="baseline"/>
                <w:lang w:val="en-US" w:eastAsia="zh-CN"/>
              </w:rPr>
              <w:t>，</w:t>
            </w:r>
            <w:r>
              <w:rPr>
                <w:rFonts w:hint="default" w:ascii="Times New Roman" w:hAnsi="Times New Roman" w:eastAsia="仿宋" w:cs="Times New Roman"/>
                <w:b w:val="0"/>
                <w:bCs w:val="0"/>
                <w:sz w:val="21"/>
                <w:szCs w:val="21"/>
                <w:vertAlign w:val="baseline"/>
                <w:lang w:val="en-US" w:eastAsia="zh-CN"/>
              </w:rPr>
              <w:t>Ⅱ</w:t>
            </w:r>
            <w:r>
              <w:rPr>
                <w:rFonts w:hint="default" w:ascii="Times New Roman" w:hAnsi="Times New Roman" w:eastAsia="仿宋" w:cs="Times New Roman"/>
                <w:sz w:val="21"/>
                <w:szCs w:val="21"/>
                <w:vertAlign w:val="baseline"/>
                <w:lang w:val="en-US" w:eastAsia="zh-CN"/>
              </w:rPr>
              <w:t>级水平基准值</w:t>
            </w:r>
          </w:p>
        </w:tc>
      </w:tr>
      <w:tr w14:paraId="3C5F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086867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EC965D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13806AA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43D1C1E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3A4FF5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shd w:val="clear" w:color="auto" w:fill="auto"/>
            <w:vAlign w:val="center"/>
          </w:tcPr>
          <w:p w14:paraId="309CDAB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消失模型、熔模铸造</w:t>
            </w:r>
          </w:p>
        </w:tc>
        <w:tc>
          <w:tcPr>
            <w:tcW w:w="692" w:type="pct"/>
            <w:shd w:val="clear" w:color="auto" w:fill="auto"/>
            <w:vAlign w:val="center"/>
          </w:tcPr>
          <w:p w14:paraId="5999257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7.5</w:t>
            </w:r>
          </w:p>
        </w:tc>
        <w:tc>
          <w:tcPr>
            <w:tcW w:w="600" w:type="pct"/>
            <w:shd w:val="clear" w:color="auto" w:fill="auto"/>
            <w:vAlign w:val="center"/>
          </w:tcPr>
          <w:p w14:paraId="58A75301">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6.5</w:t>
            </w:r>
          </w:p>
        </w:tc>
        <w:tc>
          <w:tcPr>
            <w:tcW w:w="600" w:type="pct"/>
            <w:shd w:val="clear" w:color="auto" w:fill="auto"/>
            <w:vAlign w:val="center"/>
          </w:tcPr>
          <w:p w14:paraId="1CCBD0C2">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5.5</w:t>
            </w:r>
          </w:p>
        </w:tc>
        <w:tc>
          <w:tcPr>
            <w:tcW w:w="460" w:type="pct"/>
            <w:shd w:val="clear" w:color="auto" w:fill="auto"/>
            <w:vAlign w:val="center"/>
          </w:tcPr>
          <w:p w14:paraId="1B3C670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cs="Times New Roman"/>
                <w:b w:val="0"/>
                <w:bCs w:val="0"/>
                <w:sz w:val="21"/>
                <w:szCs w:val="21"/>
                <w:vertAlign w:val="baseline"/>
                <w:lang w:val="en-US" w:eastAsia="zh-CN"/>
              </w:rPr>
            </w:pPr>
            <w:r>
              <w:rPr>
                <w:rFonts w:hint="eastAsia" w:cs="Times New Roman"/>
                <w:sz w:val="21"/>
                <w:szCs w:val="21"/>
                <w:vertAlign w:val="baseline"/>
                <w:lang w:val="en-US" w:eastAsia="zh-CN"/>
              </w:rPr>
              <w:t>/</w:t>
            </w:r>
          </w:p>
        </w:tc>
      </w:tr>
      <w:tr w14:paraId="4C4E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1B51B60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52ADFB6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48B9CD8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4088A23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032BD2F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shd w:val="clear" w:color="auto" w:fill="auto"/>
            <w:vAlign w:val="center"/>
          </w:tcPr>
          <w:p w14:paraId="73CF066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可锻铸铁件</w:t>
            </w:r>
          </w:p>
        </w:tc>
        <w:tc>
          <w:tcPr>
            <w:tcW w:w="692" w:type="pct"/>
            <w:shd w:val="clear" w:color="auto" w:fill="auto"/>
            <w:vAlign w:val="center"/>
          </w:tcPr>
          <w:p w14:paraId="117F532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6.5</w:t>
            </w:r>
          </w:p>
        </w:tc>
        <w:tc>
          <w:tcPr>
            <w:tcW w:w="600" w:type="pct"/>
            <w:shd w:val="clear" w:color="auto" w:fill="auto"/>
            <w:vAlign w:val="center"/>
          </w:tcPr>
          <w:p w14:paraId="75833517">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5.5</w:t>
            </w:r>
          </w:p>
        </w:tc>
        <w:tc>
          <w:tcPr>
            <w:tcW w:w="600" w:type="pct"/>
            <w:shd w:val="clear" w:color="auto" w:fill="auto"/>
            <w:vAlign w:val="center"/>
          </w:tcPr>
          <w:p w14:paraId="0F36717C">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3.5</w:t>
            </w:r>
          </w:p>
        </w:tc>
        <w:tc>
          <w:tcPr>
            <w:tcW w:w="460" w:type="pct"/>
            <w:shd w:val="clear" w:color="auto" w:fill="auto"/>
            <w:vAlign w:val="center"/>
          </w:tcPr>
          <w:p w14:paraId="5DDB8B8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cs="Times New Roman"/>
                <w:b w:val="0"/>
                <w:bCs w:val="0"/>
                <w:sz w:val="21"/>
                <w:szCs w:val="21"/>
                <w:vertAlign w:val="baseline"/>
                <w:lang w:val="en-US" w:eastAsia="zh-CN"/>
              </w:rPr>
            </w:pPr>
            <w:r>
              <w:rPr>
                <w:rFonts w:hint="eastAsia" w:cs="Times New Roman"/>
                <w:sz w:val="21"/>
                <w:szCs w:val="21"/>
                <w:vertAlign w:val="baseline"/>
                <w:lang w:val="en-US" w:eastAsia="zh-CN"/>
              </w:rPr>
              <w:t>/</w:t>
            </w:r>
          </w:p>
        </w:tc>
      </w:tr>
      <w:tr w14:paraId="41FE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4" w:type="pct"/>
            <w:vMerge w:val="continue"/>
            <w:vAlign w:val="center"/>
          </w:tcPr>
          <w:p w14:paraId="362335B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40C604D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5A6CCE5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2EAD1AD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056261E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455" w:type="pct"/>
            <w:gridSpan w:val="3"/>
            <w:shd w:val="clear" w:color="auto" w:fill="auto"/>
            <w:vAlign w:val="center"/>
          </w:tcPr>
          <w:p w14:paraId="48C38D4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铸钢件</w:t>
            </w:r>
          </w:p>
        </w:tc>
        <w:tc>
          <w:tcPr>
            <w:tcW w:w="692" w:type="pct"/>
            <w:shd w:val="clear" w:color="auto" w:fill="auto"/>
            <w:vAlign w:val="center"/>
          </w:tcPr>
          <w:p w14:paraId="7F277E9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≥98</w:t>
            </w:r>
          </w:p>
        </w:tc>
        <w:tc>
          <w:tcPr>
            <w:tcW w:w="600" w:type="pct"/>
            <w:shd w:val="clear" w:color="auto" w:fill="auto"/>
            <w:vAlign w:val="center"/>
          </w:tcPr>
          <w:p w14:paraId="0A7A204A">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9</w:t>
            </w:r>
          </w:p>
        </w:tc>
        <w:tc>
          <w:tcPr>
            <w:tcW w:w="600" w:type="pct"/>
            <w:shd w:val="clear" w:color="auto" w:fill="auto"/>
            <w:vAlign w:val="center"/>
          </w:tcPr>
          <w:p w14:paraId="6696438F">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9.5</w:t>
            </w:r>
          </w:p>
        </w:tc>
        <w:tc>
          <w:tcPr>
            <w:tcW w:w="460" w:type="pct"/>
            <w:shd w:val="clear" w:color="auto" w:fill="auto"/>
            <w:vAlign w:val="center"/>
          </w:tcPr>
          <w:p w14:paraId="3B74D9CB">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cs="Times New Roman"/>
                <w:b w:val="0"/>
                <w:bCs w:val="0"/>
                <w:sz w:val="21"/>
                <w:szCs w:val="21"/>
                <w:vertAlign w:val="baseline"/>
                <w:lang w:val="en-US" w:eastAsia="zh-CN"/>
              </w:rPr>
            </w:pPr>
            <w:r>
              <w:rPr>
                <w:rFonts w:hint="eastAsia" w:cs="Times New Roman"/>
                <w:sz w:val="21"/>
                <w:szCs w:val="21"/>
                <w:vertAlign w:val="baseline"/>
                <w:lang w:val="en-US" w:eastAsia="zh-CN"/>
              </w:rPr>
              <w:t>/</w:t>
            </w:r>
          </w:p>
        </w:tc>
      </w:tr>
      <w:tr w14:paraId="52A6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5B784DF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4FF2035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restart"/>
            <w:vAlign w:val="center"/>
          </w:tcPr>
          <w:p w14:paraId="14380A1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319" w:type="pct"/>
            <w:vMerge w:val="restart"/>
            <w:vAlign w:val="center"/>
          </w:tcPr>
          <w:p w14:paraId="6459CB4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铸件出品率%</w:t>
            </w:r>
          </w:p>
        </w:tc>
        <w:tc>
          <w:tcPr>
            <w:tcW w:w="227" w:type="pct"/>
            <w:vMerge w:val="restart"/>
            <w:vAlign w:val="center"/>
          </w:tcPr>
          <w:p w14:paraId="66B929C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669" w:type="pct"/>
            <w:gridSpan w:val="2"/>
            <w:vMerge w:val="restart"/>
            <w:vAlign w:val="center"/>
          </w:tcPr>
          <w:p w14:paraId="4AC9C05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铸铁件</w:t>
            </w:r>
          </w:p>
        </w:tc>
        <w:tc>
          <w:tcPr>
            <w:tcW w:w="785" w:type="pct"/>
            <w:vAlign w:val="center"/>
          </w:tcPr>
          <w:p w14:paraId="2780065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灰铸铁件</w:t>
            </w:r>
          </w:p>
        </w:tc>
        <w:tc>
          <w:tcPr>
            <w:tcW w:w="692" w:type="pct"/>
            <w:shd w:val="clear" w:color="auto" w:fill="auto"/>
            <w:vAlign w:val="center"/>
          </w:tcPr>
          <w:p w14:paraId="035CD6A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80</w:t>
            </w:r>
          </w:p>
        </w:tc>
        <w:tc>
          <w:tcPr>
            <w:tcW w:w="600" w:type="pct"/>
            <w:shd w:val="clear" w:color="auto" w:fill="auto"/>
            <w:vAlign w:val="center"/>
          </w:tcPr>
          <w:p w14:paraId="22EB914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≥75</w:t>
            </w:r>
          </w:p>
        </w:tc>
        <w:tc>
          <w:tcPr>
            <w:tcW w:w="600" w:type="pct"/>
            <w:shd w:val="clear" w:color="auto" w:fill="auto"/>
            <w:vAlign w:val="center"/>
          </w:tcPr>
          <w:p w14:paraId="2F347C7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eastAsia" w:cs="Times New Roman"/>
                <w:sz w:val="21"/>
                <w:szCs w:val="21"/>
                <w:vertAlign w:val="baseline"/>
                <w:lang w:val="en-US" w:eastAsia="zh-CN"/>
              </w:rPr>
              <w:t>/</w:t>
            </w:r>
          </w:p>
        </w:tc>
        <w:tc>
          <w:tcPr>
            <w:tcW w:w="460" w:type="pct"/>
            <w:vAlign w:val="center"/>
          </w:tcPr>
          <w:p w14:paraId="58FFD151">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不涉及</w:t>
            </w:r>
            <w:r>
              <w:rPr>
                <w:rFonts w:hint="eastAsia"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Ⅰ级水平基准值</w:t>
            </w:r>
          </w:p>
        </w:tc>
      </w:tr>
      <w:tr w14:paraId="1375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75123D7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220" w:type="pct"/>
            <w:vMerge w:val="continue"/>
            <w:vAlign w:val="center"/>
          </w:tcPr>
          <w:p w14:paraId="1808DC5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168" w:type="pct"/>
            <w:vMerge w:val="continue"/>
            <w:vAlign w:val="center"/>
          </w:tcPr>
          <w:p w14:paraId="2521532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319" w:type="pct"/>
            <w:vMerge w:val="continue"/>
            <w:vAlign w:val="center"/>
          </w:tcPr>
          <w:p w14:paraId="43DAD28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227" w:type="pct"/>
            <w:vMerge w:val="continue"/>
            <w:vAlign w:val="center"/>
          </w:tcPr>
          <w:p w14:paraId="0E57D2A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pPr>
          </w:p>
        </w:tc>
        <w:tc>
          <w:tcPr>
            <w:tcW w:w="669" w:type="pct"/>
            <w:gridSpan w:val="2"/>
            <w:vMerge w:val="continue"/>
            <w:vAlign w:val="center"/>
          </w:tcPr>
          <w:p w14:paraId="19A012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785" w:type="pct"/>
            <w:vAlign w:val="center"/>
          </w:tcPr>
          <w:p w14:paraId="31B2F76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可锻铸铁件</w:t>
            </w:r>
          </w:p>
        </w:tc>
        <w:tc>
          <w:tcPr>
            <w:tcW w:w="692" w:type="pct"/>
            <w:shd w:val="clear" w:color="auto" w:fill="auto"/>
            <w:vAlign w:val="center"/>
          </w:tcPr>
          <w:p w14:paraId="1F42A5D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58</w:t>
            </w:r>
          </w:p>
        </w:tc>
        <w:tc>
          <w:tcPr>
            <w:tcW w:w="600" w:type="pct"/>
            <w:shd w:val="clear" w:color="auto" w:fill="auto"/>
            <w:vAlign w:val="center"/>
          </w:tcPr>
          <w:p w14:paraId="382CAE7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54</w:t>
            </w:r>
          </w:p>
        </w:tc>
        <w:tc>
          <w:tcPr>
            <w:tcW w:w="600" w:type="pct"/>
            <w:shd w:val="clear" w:color="auto" w:fill="auto"/>
            <w:vAlign w:val="center"/>
          </w:tcPr>
          <w:p w14:paraId="421B22EB">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eastAsia" w:cs="Times New Roman"/>
                <w:sz w:val="21"/>
                <w:szCs w:val="21"/>
                <w:vertAlign w:val="baseline"/>
                <w:lang w:val="en-US" w:eastAsia="zh-CN"/>
              </w:rPr>
              <w:t>/</w:t>
            </w:r>
          </w:p>
        </w:tc>
        <w:tc>
          <w:tcPr>
            <w:tcW w:w="460" w:type="pct"/>
            <w:vAlign w:val="center"/>
          </w:tcPr>
          <w:p w14:paraId="76EDB471">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不涉及</w:t>
            </w:r>
            <w:r>
              <w:rPr>
                <w:rFonts w:hint="eastAsia"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Ⅰ级水平基准值</w:t>
            </w:r>
          </w:p>
        </w:tc>
      </w:tr>
      <w:tr w14:paraId="0012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3F54E1E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C32EFD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0A63AFB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3086AA2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2FDDF4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669" w:type="pct"/>
            <w:gridSpan w:val="2"/>
            <w:vMerge w:val="continue"/>
            <w:vAlign w:val="center"/>
          </w:tcPr>
          <w:p w14:paraId="56EB39C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785" w:type="pct"/>
            <w:vAlign w:val="center"/>
          </w:tcPr>
          <w:p w14:paraId="38E631E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球墨铸铁件</w:t>
            </w:r>
          </w:p>
        </w:tc>
        <w:tc>
          <w:tcPr>
            <w:tcW w:w="692" w:type="pct"/>
            <w:shd w:val="clear" w:color="auto" w:fill="auto"/>
            <w:vAlign w:val="center"/>
          </w:tcPr>
          <w:p w14:paraId="2492B6B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w:t>
            </w:r>
            <w:r>
              <w:rPr>
                <w:rFonts w:hint="eastAsia" w:cs="Times New Roman"/>
                <w:sz w:val="21"/>
                <w:szCs w:val="21"/>
                <w:vertAlign w:val="baseline"/>
                <w:lang w:val="en-US" w:eastAsia="zh-CN"/>
              </w:rPr>
              <w:t>5</w:t>
            </w:r>
          </w:p>
        </w:tc>
        <w:tc>
          <w:tcPr>
            <w:tcW w:w="600" w:type="pct"/>
            <w:shd w:val="clear" w:color="auto" w:fill="auto"/>
            <w:vAlign w:val="center"/>
          </w:tcPr>
          <w:p w14:paraId="3472E38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≥70</w:t>
            </w:r>
          </w:p>
        </w:tc>
        <w:tc>
          <w:tcPr>
            <w:tcW w:w="600" w:type="pct"/>
            <w:shd w:val="clear" w:color="auto" w:fill="auto"/>
            <w:vAlign w:val="center"/>
          </w:tcPr>
          <w:p w14:paraId="02D264C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65</w:t>
            </w:r>
          </w:p>
        </w:tc>
        <w:tc>
          <w:tcPr>
            <w:tcW w:w="460" w:type="pct"/>
            <w:vAlign w:val="center"/>
          </w:tcPr>
          <w:p w14:paraId="7B58D183">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1949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572D36F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55662B6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689D552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2C53D1C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3619E9C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669" w:type="pct"/>
            <w:gridSpan w:val="2"/>
            <w:vMerge w:val="continue"/>
            <w:vAlign w:val="center"/>
          </w:tcPr>
          <w:p w14:paraId="2E66E9A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785" w:type="pct"/>
            <w:vAlign w:val="center"/>
          </w:tcPr>
          <w:p w14:paraId="3C48FA9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离心铸管</w:t>
            </w:r>
          </w:p>
        </w:tc>
        <w:tc>
          <w:tcPr>
            <w:tcW w:w="692" w:type="pct"/>
            <w:shd w:val="clear" w:color="auto" w:fill="auto"/>
            <w:vAlign w:val="center"/>
          </w:tcPr>
          <w:p w14:paraId="2E7E6B9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≥98</w:t>
            </w:r>
          </w:p>
        </w:tc>
        <w:tc>
          <w:tcPr>
            <w:tcW w:w="600" w:type="pct"/>
            <w:shd w:val="clear" w:color="auto" w:fill="auto"/>
            <w:vAlign w:val="center"/>
          </w:tcPr>
          <w:p w14:paraId="23E028E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5</w:t>
            </w:r>
          </w:p>
        </w:tc>
        <w:tc>
          <w:tcPr>
            <w:tcW w:w="600" w:type="pct"/>
            <w:shd w:val="clear" w:color="auto" w:fill="auto"/>
            <w:vAlign w:val="center"/>
          </w:tcPr>
          <w:p w14:paraId="5BCF177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w:t>
            </w:r>
            <w:r>
              <w:rPr>
                <w:rFonts w:hint="eastAsia" w:cs="Times New Roman"/>
                <w:sz w:val="21"/>
                <w:szCs w:val="21"/>
                <w:vertAlign w:val="baseline"/>
                <w:lang w:val="en-US" w:eastAsia="zh-CN"/>
              </w:rPr>
              <w:t>0</w:t>
            </w:r>
          </w:p>
        </w:tc>
        <w:tc>
          <w:tcPr>
            <w:tcW w:w="460" w:type="pct"/>
            <w:vAlign w:val="center"/>
          </w:tcPr>
          <w:p w14:paraId="0DF44F1B">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739A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44E3D41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B330BC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3895C3E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665E827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1479E99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669" w:type="pct"/>
            <w:gridSpan w:val="2"/>
            <w:vMerge w:val="restart"/>
            <w:vAlign w:val="center"/>
          </w:tcPr>
          <w:p w14:paraId="751CBDD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有色</w:t>
            </w:r>
            <w:r>
              <w:rPr>
                <w:rFonts w:hint="eastAsia" w:cs="Times New Roman"/>
                <w:sz w:val="21"/>
                <w:szCs w:val="21"/>
                <w:vertAlign w:val="baseline"/>
                <w:lang w:val="en-US" w:eastAsia="zh-CN"/>
              </w:rPr>
              <w:t>合金</w:t>
            </w:r>
            <w:r>
              <w:rPr>
                <w:rFonts w:hint="default" w:ascii="Times New Roman" w:hAnsi="Times New Roman" w:eastAsia="仿宋" w:cs="Times New Roman"/>
                <w:sz w:val="21"/>
                <w:szCs w:val="21"/>
                <w:vertAlign w:val="baseline"/>
                <w:lang w:val="en-US" w:eastAsia="zh-CN"/>
              </w:rPr>
              <w:t>件</w:t>
            </w:r>
          </w:p>
        </w:tc>
        <w:tc>
          <w:tcPr>
            <w:tcW w:w="785" w:type="pct"/>
            <w:vAlign w:val="center"/>
          </w:tcPr>
          <w:p w14:paraId="60F63AE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铝合金件</w:t>
            </w:r>
          </w:p>
        </w:tc>
        <w:tc>
          <w:tcPr>
            <w:tcW w:w="692" w:type="pct"/>
            <w:shd w:val="clear" w:color="auto" w:fill="auto"/>
            <w:vAlign w:val="center"/>
          </w:tcPr>
          <w:p w14:paraId="2DF509C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≥75</w:t>
            </w:r>
          </w:p>
        </w:tc>
        <w:tc>
          <w:tcPr>
            <w:tcW w:w="600" w:type="pct"/>
            <w:shd w:val="clear" w:color="auto" w:fill="auto"/>
            <w:vAlign w:val="center"/>
          </w:tcPr>
          <w:p w14:paraId="23BA43DF">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≥70</w:t>
            </w:r>
          </w:p>
        </w:tc>
        <w:tc>
          <w:tcPr>
            <w:tcW w:w="600" w:type="pct"/>
            <w:shd w:val="clear" w:color="auto" w:fill="auto"/>
            <w:vAlign w:val="center"/>
          </w:tcPr>
          <w:p w14:paraId="11425A71">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≥65</w:t>
            </w:r>
          </w:p>
        </w:tc>
        <w:tc>
          <w:tcPr>
            <w:tcW w:w="460" w:type="pct"/>
            <w:shd w:val="clear" w:color="auto" w:fill="auto"/>
            <w:vAlign w:val="center"/>
          </w:tcPr>
          <w:p w14:paraId="10E2101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铸件出品率≥70</w:t>
            </w:r>
            <w:r>
              <w:rPr>
                <w:rFonts w:hint="eastAsia" w:cs="Times New Roman"/>
                <w:sz w:val="21"/>
                <w:szCs w:val="21"/>
                <w:vertAlign w:val="baseline"/>
                <w:lang w:val="en-US" w:eastAsia="zh-CN"/>
              </w:rPr>
              <w:t>，</w:t>
            </w:r>
            <w:r>
              <w:rPr>
                <w:rFonts w:hint="default" w:ascii="Times New Roman" w:hAnsi="Times New Roman" w:eastAsia="仿宋" w:cs="Times New Roman"/>
                <w:b w:val="0"/>
                <w:bCs w:val="0"/>
                <w:sz w:val="21"/>
                <w:szCs w:val="21"/>
                <w:vertAlign w:val="baseline"/>
                <w:lang w:val="en-US" w:eastAsia="zh-CN"/>
              </w:rPr>
              <w:t>Ⅱ</w:t>
            </w:r>
            <w:r>
              <w:rPr>
                <w:rFonts w:hint="default" w:ascii="Times New Roman" w:hAnsi="Times New Roman" w:eastAsia="仿宋" w:cs="Times New Roman"/>
                <w:sz w:val="21"/>
                <w:szCs w:val="21"/>
                <w:vertAlign w:val="baseline"/>
                <w:lang w:val="en-US" w:eastAsia="zh-CN"/>
              </w:rPr>
              <w:t>级水平基准值</w:t>
            </w:r>
          </w:p>
        </w:tc>
      </w:tr>
      <w:tr w14:paraId="2441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68C6BB3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17D9E36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30585B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258EB08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0A3FC85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669" w:type="pct"/>
            <w:gridSpan w:val="2"/>
            <w:vMerge w:val="continue"/>
            <w:vAlign w:val="center"/>
          </w:tcPr>
          <w:p w14:paraId="4F8902A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785" w:type="pct"/>
            <w:vAlign w:val="center"/>
          </w:tcPr>
          <w:p w14:paraId="5AE1660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锡青铜件</w:t>
            </w:r>
          </w:p>
        </w:tc>
        <w:tc>
          <w:tcPr>
            <w:tcW w:w="692" w:type="pct"/>
            <w:shd w:val="clear" w:color="auto" w:fill="auto"/>
            <w:vAlign w:val="center"/>
          </w:tcPr>
          <w:p w14:paraId="72A78A2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≥75</w:t>
            </w:r>
          </w:p>
        </w:tc>
        <w:tc>
          <w:tcPr>
            <w:tcW w:w="600" w:type="pct"/>
            <w:shd w:val="clear" w:color="auto" w:fill="auto"/>
            <w:vAlign w:val="center"/>
          </w:tcPr>
          <w:p w14:paraId="1853F97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≥70</w:t>
            </w:r>
          </w:p>
        </w:tc>
        <w:tc>
          <w:tcPr>
            <w:tcW w:w="600" w:type="pct"/>
            <w:shd w:val="clear" w:color="auto" w:fill="auto"/>
            <w:vAlign w:val="center"/>
          </w:tcPr>
          <w:p w14:paraId="5773F57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≥65</w:t>
            </w:r>
          </w:p>
        </w:tc>
        <w:tc>
          <w:tcPr>
            <w:tcW w:w="460" w:type="pct"/>
            <w:vAlign w:val="center"/>
          </w:tcPr>
          <w:p w14:paraId="1DC334BA">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2B74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5FEAD85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0B8CA17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70330DD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1041DA6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45B3FE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669" w:type="pct"/>
            <w:gridSpan w:val="2"/>
            <w:vMerge w:val="continue"/>
            <w:vAlign w:val="center"/>
          </w:tcPr>
          <w:p w14:paraId="0F40703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785" w:type="pct"/>
            <w:vAlign w:val="center"/>
          </w:tcPr>
          <w:p w14:paraId="651DF29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铝青铜件</w:t>
            </w:r>
          </w:p>
        </w:tc>
        <w:tc>
          <w:tcPr>
            <w:tcW w:w="692" w:type="pct"/>
            <w:shd w:val="clear" w:color="auto" w:fill="auto"/>
            <w:vAlign w:val="center"/>
          </w:tcPr>
          <w:p w14:paraId="26341F0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63</w:t>
            </w:r>
          </w:p>
        </w:tc>
        <w:tc>
          <w:tcPr>
            <w:tcW w:w="600" w:type="pct"/>
            <w:shd w:val="clear" w:color="auto" w:fill="auto"/>
            <w:vAlign w:val="center"/>
          </w:tcPr>
          <w:p w14:paraId="3443AFE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60</w:t>
            </w:r>
          </w:p>
        </w:tc>
        <w:tc>
          <w:tcPr>
            <w:tcW w:w="600" w:type="pct"/>
            <w:shd w:val="clear" w:color="auto" w:fill="auto"/>
            <w:vAlign w:val="center"/>
          </w:tcPr>
          <w:p w14:paraId="78C30140">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55</w:t>
            </w:r>
          </w:p>
        </w:tc>
        <w:tc>
          <w:tcPr>
            <w:tcW w:w="460" w:type="pct"/>
            <w:vAlign w:val="center"/>
          </w:tcPr>
          <w:p w14:paraId="54183E31">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4E68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54" w:type="pct"/>
            <w:vMerge w:val="continue"/>
            <w:vAlign w:val="center"/>
          </w:tcPr>
          <w:p w14:paraId="61EF5A3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54CCD4A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6E2C69A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3053439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Merge w:val="continue"/>
            <w:vAlign w:val="center"/>
          </w:tcPr>
          <w:p w14:paraId="21CB45C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669" w:type="pct"/>
            <w:gridSpan w:val="2"/>
            <w:vMerge w:val="continue"/>
            <w:shd w:val="clear" w:color="auto" w:fill="auto"/>
            <w:vAlign w:val="center"/>
          </w:tcPr>
          <w:p w14:paraId="274CC92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kern w:val="0"/>
                <w:sz w:val="21"/>
                <w:szCs w:val="21"/>
                <w:vertAlign w:val="baseline"/>
                <w:lang w:val="en-US" w:eastAsia="zh-CN" w:bidi="ar-SA"/>
              </w:rPr>
            </w:pPr>
          </w:p>
        </w:tc>
        <w:tc>
          <w:tcPr>
            <w:tcW w:w="785" w:type="pct"/>
            <w:shd w:val="clear" w:color="auto" w:fill="auto"/>
            <w:vAlign w:val="center"/>
          </w:tcPr>
          <w:p w14:paraId="1D8A597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kern w:val="0"/>
                <w:sz w:val="21"/>
                <w:szCs w:val="21"/>
                <w:vertAlign w:val="baseline"/>
                <w:lang w:val="en-US" w:eastAsia="zh-CN" w:bidi="ar-SA"/>
              </w:rPr>
            </w:pPr>
            <w:r>
              <w:rPr>
                <w:rFonts w:hint="eastAsia" w:cs="Times New Roman"/>
                <w:sz w:val="21"/>
                <w:szCs w:val="21"/>
                <w:vertAlign w:val="baseline"/>
                <w:lang w:val="en-US" w:eastAsia="zh-CN"/>
              </w:rPr>
              <w:t>黄铜件</w:t>
            </w:r>
          </w:p>
        </w:tc>
        <w:tc>
          <w:tcPr>
            <w:tcW w:w="692" w:type="pct"/>
            <w:shd w:val="clear" w:color="auto" w:fill="auto"/>
            <w:vAlign w:val="center"/>
          </w:tcPr>
          <w:p w14:paraId="0E585BA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65</w:t>
            </w:r>
          </w:p>
        </w:tc>
        <w:tc>
          <w:tcPr>
            <w:tcW w:w="600" w:type="pct"/>
            <w:shd w:val="clear" w:color="auto" w:fill="auto"/>
            <w:vAlign w:val="center"/>
          </w:tcPr>
          <w:p w14:paraId="602C207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60</w:t>
            </w:r>
          </w:p>
        </w:tc>
        <w:tc>
          <w:tcPr>
            <w:tcW w:w="600" w:type="pct"/>
            <w:shd w:val="clear" w:color="auto" w:fill="auto"/>
            <w:vAlign w:val="center"/>
          </w:tcPr>
          <w:p w14:paraId="0A6DF43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w:t>
            </w:r>
            <w:r>
              <w:rPr>
                <w:rFonts w:hint="eastAsia" w:cs="Times New Roman"/>
                <w:sz w:val="21"/>
                <w:szCs w:val="21"/>
                <w:vertAlign w:val="baseline"/>
                <w:lang w:val="en-US" w:eastAsia="zh-CN"/>
              </w:rPr>
              <w:t>55</w:t>
            </w:r>
          </w:p>
        </w:tc>
        <w:tc>
          <w:tcPr>
            <w:tcW w:w="460" w:type="pct"/>
            <w:vAlign w:val="center"/>
          </w:tcPr>
          <w:p w14:paraId="0C7AD06B">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eastAsia" w:cs="Times New Roman"/>
                <w:sz w:val="21"/>
                <w:szCs w:val="21"/>
                <w:vertAlign w:val="baseline"/>
                <w:lang w:val="en-US" w:eastAsia="zh-CN"/>
              </w:rPr>
              <w:t>/</w:t>
            </w:r>
          </w:p>
        </w:tc>
      </w:tr>
      <w:tr w14:paraId="01BE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vAlign w:val="center"/>
          </w:tcPr>
          <w:p w14:paraId="0D0EB89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污染物排放控制</w:t>
            </w:r>
          </w:p>
        </w:tc>
        <w:tc>
          <w:tcPr>
            <w:tcW w:w="220" w:type="pct"/>
            <w:vMerge w:val="restart"/>
            <w:vAlign w:val="center"/>
          </w:tcPr>
          <w:p w14:paraId="47AF59C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30</w:t>
            </w:r>
          </w:p>
        </w:tc>
        <w:tc>
          <w:tcPr>
            <w:tcW w:w="168" w:type="pct"/>
            <w:vMerge w:val="restart"/>
            <w:vAlign w:val="center"/>
          </w:tcPr>
          <w:p w14:paraId="0231861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319" w:type="pct"/>
            <w:vMerge w:val="restart"/>
            <w:vAlign w:val="center"/>
          </w:tcPr>
          <w:p w14:paraId="48F1AF6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颗粒物排放</w:t>
            </w:r>
          </w:p>
        </w:tc>
        <w:tc>
          <w:tcPr>
            <w:tcW w:w="227" w:type="pct"/>
            <w:vAlign w:val="center"/>
          </w:tcPr>
          <w:p w14:paraId="2BBFBD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w:t>
            </w:r>
          </w:p>
        </w:tc>
        <w:tc>
          <w:tcPr>
            <w:tcW w:w="669" w:type="pct"/>
            <w:gridSpan w:val="2"/>
            <w:vAlign w:val="center"/>
          </w:tcPr>
          <w:p w14:paraId="61BC488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熔炼大气污染物排放指标，mg/m</w:t>
            </w:r>
            <w:r>
              <w:rPr>
                <w:rFonts w:hint="default" w:ascii="Times New Roman" w:hAnsi="Times New Roman" w:eastAsia="仿宋" w:cs="Times New Roman"/>
                <w:sz w:val="21"/>
                <w:szCs w:val="21"/>
                <w:vertAlign w:val="superscript"/>
                <w:lang w:val="en-US" w:eastAsia="zh-CN"/>
              </w:rPr>
              <w:t>3</w:t>
            </w:r>
          </w:p>
        </w:tc>
        <w:tc>
          <w:tcPr>
            <w:tcW w:w="785" w:type="pct"/>
            <w:vAlign w:val="center"/>
          </w:tcPr>
          <w:p w14:paraId="69B5038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合规性指标D的倍数</w:t>
            </w:r>
          </w:p>
        </w:tc>
        <w:tc>
          <w:tcPr>
            <w:tcW w:w="692" w:type="pct"/>
            <w:shd w:val="clear" w:color="auto" w:fill="auto"/>
            <w:vAlign w:val="center"/>
          </w:tcPr>
          <w:p w14:paraId="483AE17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≤0.6D</w:t>
            </w:r>
          </w:p>
        </w:tc>
        <w:tc>
          <w:tcPr>
            <w:tcW w:w="600" w:type="pct"/>
            <w:shd w:val="clear" w:color="auto" w:fill="auto"/>
            <w:vAlign w:val="center"/>
          </w:tcPr>
          <w:p w14:paraId="70B44F9F">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≤0.8D</w:t>
            </w:r>
          </w:p>
        </w:tc>
        <w:tc>
          <w:tcPr>
            <w:tcW w:w="600" w:type="pct"/>
            <w:shd w:val="clear" w:color="auto" w:fill="auto"/>
            <w:vAlign w:val="center"/>
          </w:tcPr>
          <w:p w14:paraId="06BC1D0A">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≤D</w:t>
            </w:r>
          </w:p>
        </w:tc>
        <w:tc>
          <w:tcPr>
            <w:tcW w:w="460" w:type="pct"/>
            <w:vAlign w:val="center"/>
          </w:tcPr>
          <w:p w14:paraId="5A358D8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Ⅰ级水平基准值</w:t>
            </w:r>
          </w:p>
        </w:tc>
      </w:tr>
      <w:tr w14:paraId="580F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F38D96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0CAFC0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Merge w:val="continue"/>
            <w:vAlign w:val="center"/>
          </w:tcPr>
          <w:p w14:paraId="6F5B35C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319" w:type="pct"/>
            <w:vMerge w:val="continue"/>
            <w:vAlign w:val="center"/>
          </w:tcPr>
          <w:p w14:paraId="42264F4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7" w:type="pct"/>
            <w:vAlign w:val="center"/>
          </w:tcPr>
          <w:p w14:paraId="748ADDB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w:t>
            </w:r>
          </w:p>
        </w:tc>
        <w:tc>
          <w:tcPr>
            <w:tcW w:w="669" w:type="pct"/>
            <w:gridSpan w:val="2"/>
            <w:vAlign w:val="center"/>
          </w:tcPr>
          <w:p w14:paraId="5BB5A0E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其他工序污染源大气污染物排放指标，mg/m</w:t>
            </w:r>
            <w:r>
              <w:rPr>
                <w:rFonts w:hint="default" w:ascii="Times New Roman" w:hAnsi="Times New Roman" w:eastAsia="仿宋" w:cs="Times New Roman"/>
                <w:sz w:val="21"/>
                <w:szCs w:val="21"/>
                <w:vertAlign w:val="superscript"/>
                <w:lang w:val="en-US" w:eastAsia="zh-CN"/>
              </w:rPr>
              <w:t>3</w:t>
            </w:r>
          </w:p>
        </w:tc>
        <w:tc>
          <w:tcPr>
            <w:tcW w:w="785" w:type="pct"/>
            <w:vAlign w:val="center"/>
          </w:tcPr>
          <w:p w14:paraId="3358D01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合规性指标E的倍数</w:t>
            </w:r>
          </w:p>
        </w:tc>
        <w:tc>
          <w:tcPr>
            <w:tcW w:w="692" w:type="pct"/>
            <w:shd w:val="clear" w:color="auto" w:fill="auto"/>
            <w:vAlign w:val="center"/>
          </w:tcPr>
          <w:p w14:paraId="3C26B1F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≤0.6E</w:t>
            </w:r>
          </w:p>
        </w:tc>
        <w:tc>
          <w:tcPr>
            <w:tcW w:w="600" w:type="pct"/>
            <w:shd w:val="clear" w:color="auto" w:fill="auto"/>
            <w:vAlign w:val="center"/>
          </w:tcPr>
          <w:p w14:paraId="571FDCCB">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≤0.8E</w:t>
            </w:r>
          </w:p>
        </w:tc>
        <w:tc>
          <w:tcPr>
            <w:tcW w:w="600" w:type="pct"/>
            <w:shd w:val="clear" w:color="auto" w:fill="auto"/>
            <w:vAlign w:val="center"/>
          </w:tcPr>
          <w:p w14:paraId="386C9C2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≤E</w:t>
            </w:r>
          </w:p>
        </w:tc>
        <w:tc>
          <w:tcPr>
            <w:tcW w:w="460" w:type="pct"/>
            <w:vAlign w:val="center"/>
          </w:tcPr>
          <w:p w14:paraId="42ABAE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Ⅰ级水平基准值</w:t>
            </w:r>
          </w:p>
        </w:tc>
      </w:tr>
      <w:tr w14:paraId="7D94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16573B2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447459F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085C950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319" w:type="pct"/>
            <w:vAlign w:val="center"/>
          </w:tcPr>
          <w:p w14:paraId="3BAE029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VOCs</w:t>
            </w:r>
          </w:p>
        </w:tc>
        <w:tc>
          <w:tcPr>
            <w:tcW w:w="227" w:type="pct"/>
            <w:vAlign w:val="center"/>
          </w:tcPr>
          <w:p w14:paraId="1FDCE17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w:t>
            </w:r>
          </w:p>
        </w:tc>
        <w:tc>
          <w:tcPr>
            <w:tcW w:w="669" w:type="pct"/>
            <w:gridSpan w:val="2"/>
            <w:vAlign w:val="center"/>
          </w:tcPr>
          <w:p w14:paraId="5C9747F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VOCs排放指标，mg/m</w:t>
            </w:r>
            <w:r>
              <w:rPr>
                <w:rFonts w:hint="default" w:ascii="Times New Roman" w:hAnsi="Times New Roman" w:eastAsia="仿宋" w:cs="Times New Roman"/>
                <w:sz w:val="21"/>
                <w:szCs w:val="21"/>
                <w:vertAlign w:val="superscript"/>
                <w:lang w:val="en-US" w:eastAsia="zh-CN"/>
              </w:rPr>
              <w:t>3</w:t>
            </w:r>
          </w:p>
        </w:tc>
        <w:tc>
          <w:tcPr>
            <w:tcW w:w="785" w:type="pct"/>
            <w:vAlign w:val="center"/>
          </w:tcPr>
          <w:p w14:paraId="53C658A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合规性指标F的倍数</w:t>
            </w:r>
          </w:p>
        </w:tc>
        <w:tc>
          <w:tcPr>
            <w:tcW w:w="692" w:type="pct"/>
            <w:vAlign w:val="center"/>
          </w:tcPr>
          <w:p w14:paraId="2EF6A31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≤0.6F</w:t>
            </w:r>
          </w:p>
        </w:tc>
        <w:tc>
          <w:tcPr>
            <w:tcW w:w="600" w:type="pct"/>
            <w:vAlign w:val="center"/>
          </w:tcPr>
          <w:p w14:paraId="098EF10F">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≤0.8F</w:t>
            </w:r>
          </w:p>
        </w:tc>
        <w:tc>
          <w:tcPr>
            <w:tcW w:w="600" w:type="pct"/>
            <w:vAlign w:val="center"/>
          </w:tcPr>
          <w:p w14:paraId="642EB6D4">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≤F</w:t>
            </w:r>
          </w:p>
        </w:tc>
        <w:tc>
          <w:tcPr>
            <w:tcW w:w="460" w:type="pct"/>
            <w:vAlign w:val="center"/>
          </w:tcPr>
          <w:p w14:paraId="661D39A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Ⅰ级水平基准值</w:t>
            </w:r>
          </w:p>
        </w:tc>
      </w:tr>
      <w:tr w14:paraId="7F16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016A161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6A5F692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AE0647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319" w:type="pct"/>
            <w:vAlign w:val="center"/>
          </w:tcPr>
          <w:p w14:paraId="5203C49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水污染</w:t>
            </w:r>
          </w:p>
        </w:tc>
        <w:tc>
          <w:tcPr>
            <w:tcW w:w="227" w:type="pct"/>
            <w:vAlign w:val="center"/>
          </w:tcPr>
          <w:p w14:paraId="5727ACD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669" w:type="pct"/>
            <w:gridSpan w:val="2"/>
            <w:vAlign w:val="center"/>
          </w:tcPr>
          <w:p w14:paraId="6AB2602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水污染排放指标</w:t>
            </w:r>
          </w:p>
        </w:tc>
        <w:tc>
          <w:tcPr>
            <w:tcW w:w="785" w:type="pct"/>
            <w:vAlign w:val="center"/>
          </w:tcPr>
          <w:p w14:paraId="5C379CC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合规性指标G的倍数</w:t>
            </w:r>
          </w:p>
        </w:tc>
        <w:tc>
          <w:tcPr>
            <w:tcW w:w="692" w:type="pct"/>
            <w:vAlign w:val="center"/>
          </w:tcPr>
          <w:p w14:paraId="7E1C2AE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≤0.6G</w:t>
            </w:r>
          </w:p>
        </w:tc>
        <w:tc>
          <w:tcPr>
            <w:tcW w:w="600" w:type="pct"/>
            <w:vAlign w:val="center"/>
          </w:tcPr>
          <w:p w14:paraId="337E9955">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≤0.8G</w:t>
            </w:r>
          </w:p>
        </w:tc>
        <w:tc>
          <w:tcPr>
            <w:tcW w:w="600" w:type="pct"/>
            <w:vAlign w:val="center"/>
          </w:tcPr>
          <w:p w14:paraId="1DACFE28">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≤G</w:t>
            </w:r>
          </w:p>
        </w:tc>
        <w:tc>
          <w:tcPr>
            <w:tcW w:w="460" w:type="pct"/>
            <w:vAlign w:val="center"/>
          </w:tcPr>
          <w:p w14:paraId="7D303B8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Ⅰ级水平基准值</w:t>
            </w:r>
          </w:p>
        </w:tc>
      </w:tr>
      <w:tr w14:paraId="38AB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263D436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6ABCAE2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78377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319" w:type="pct"/>
            <w:vAlign w:val="center"/>
          </w:tcPr>
          <w:p w14:paraId="184B664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噪声</w:t>
            </w:r>
          </w:p>
        </w:tc>
        <w:tc>
          <w:tcPr>
            <w:tcW w:w="227" w:type="pct"/>
            <w:vAlign w:val="center"/>
          </w:tcPr>
          <w:p w14:paraId="2D49D2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669" w:type="pct"/>
            <w:gridSpan w:val="2"/>
            <w:vAlign w:val="center"/>
          </w:tcPr>
          <w:p w14:paraId="3836C89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环境噪声排放标准</w:t>
            </w:r>
          </w:p>
        </w:tc>
        <w:tc>
          <w:tcPr>
            <w:tcW w:w="785" w:type="pct"/>
            <w:vAlign w:val="center"/>
          </w:tcPr>
          <w:p w14:paraId="78EF2D5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合规性指标H的倍数</w:t>
            </w:r>
          </w:p>
        </w:tc>
        <w:tc>
          <w:tcPr>
            <w:tcW w:w="692" w:type="pct"/>
            <w:vAlign w:val="center"/>
          </w:tcPr>
          <w:p w14:paraId="55B7E79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≤0.6H</w:t>
            </w:r>
          </w:p>
        </w:tc>
        <w:tc>
          <w:tcPr>
            <w:tcW w:w="600" w:type="pct"/>
            <w:vAlign w:val="center"/>
          </w:tcPr>
          <w:p w14:paraId="7B2B3F79">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≤0.8H</w:t>
            </w:r>
          </w:p>
        </w:tc>
        <w:tc>
          <w:tcPr>
            <w:tcW w:w="600" w:type="pct"/>
            <w:vAlign w:val="center"/>
          </w:tcPr>
          <w:p w14:paraId="7CB6D65B">
            <w:pPr>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≤H</w:t>
            </w:r>
          </w:p>
        </w:tc>
        <w:tc>
          <w:tcPr>
            <w:tcW w:w="460" w:type="pct"/>
            <w:vAlign w:val="center"/>
          </w:tcPr>
          <w:p w14:paraId="547B4F3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Ⅰ级水平基准值</w:t>
            </w:r>
          </w:p>
        </w:tc>
      </w:tr>
      <w:tr w14:paraId="3EC8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41AFD7A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293C68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535E41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w:t>
            </w:r>
          </w:p>
        </w:tc>
        <w:tc>
          <w:tcPr>
            <w:tcW w:w="319" w:type="pct"/>
            <w:vAlign w:val="center"/>
          </w:tcPr>
          <w:p w14:paraId="5673FFE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危废</w:t>
            </w:r>
          </w:p>
        </w:tc>
        <w:tc>
          <w:tcPr>
            <w:tcW w:w="227" w:type="pct"/>
            <w:vAlign w:val="center"/>
          </w:tcPr>
          <w:p w14:paraId="6D0CFF9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1455" w:type="pct"/>
            <w:gridSpan w:val="3"/>
            <w:vAlign w:val="center"/>
          </w:tcPr>
          <w:p w14:paraId="3AB51B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危险废物排放、处置标准</w:t>
            </w:r>
          </w:p>
        </w:tc>
        <w:tc>
          <w:tcPr>
            <w:tcW w:w="692" w:type="pct"/>
            <w:vAlign w:val="center"/>
          </w:tcPr>
          <w:p w14:paraId="48FC1B2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≥10年</w:t>
            </w:r>
          </w:p>
        </w:tc>
        <w:tc>
          <w:tcPr>
            <w:tcW w:w="600" w:type="pct"/>
            <w:vAlign w:val="center"/>
          </w:tcPr>
          <w:p w14:paraId="4E23F2A6">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≥5年</w:t>
            </w:r>
          </w:p>
        </w:tc>
        <w:tc>
          <w:tcPr>
            <w:tcW w:w="600" w:type="pct"/>
            <w:vAlign w:val="center"/>
          </w:tcPr>
          <w:p w14:paraId="6F37F613">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&lt;5年</w:t>
            </w:r>
          </w:p>
        </w:tc>
        <w:tc>
          <w:tcPr>
            <w:tcW w:w="460" w:type="pct"/>
            <w:shd w:val="clear" w:color="auto" w:fill="auto"/>
            <w:vAlign w:val="center"/>
          </w:tcPr>
          <w:p w14:paraId="1D1D2CE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2BF9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254" w:type="pct"/>
            <w:vMerge w:val="continue"/>
            <w:vAlign w:val="center"/>
          </w:tcPr>
          <w:p w14:paraId="1C82D80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6B3F16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4524" w:type="pct"/>
            <w:gridSpan w:val="10"/>
            <w:vAlign w:val="center"/>
          </w:tcPr>
          <w:p w14:paraId="7E8451D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注1：D应满足行业标准、地方标准、团体标准的要求；注2：E应满足GB16297、GB13271、GB14544或行业标准、地方标准、团体标准的要求；注3：F应满足行业标准、地方标准、团体标准的要求；注4：G应满足GB8978、GB18918或行业标准、地方标准、团体标准的要求；注5：H应满足GB12348或行业标准、地方标准、团体标准的要求；注6：合规性排放、处置时间满足GB1859的要求。</w:t>
            </w:r>
          </w:p>
        </w:tc>
      </w:tr>
      <w:tr w14:paraId="650C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vAlign w:val="center"/>
          </w:tcPr>
          <w:p w14:paraId="15EBDFF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清洁生产管理要求</w:t>
            </w:r>
          </w:p>
        </w:tc>
        <w:tc>
          <w:tcPr>
            <w:tcW w:w="220" w:type="pct"/>
            <w:vMerge w:val="restart"/>
            <w:vAlign w:val="center"/>
          </w:tcPr>
          <w:p w14:paraId="16291F5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w:t>
            </w:r>
          </w:p>
        </w:tc>
        <w:tc>
          <w:tcPr>
            <w:tcW w:w="168" w:type="pct"/>
            <w:vAlign w:val="center"/>
          </w:tcPr>
          <w:p w14:paraId="05BCF35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319" w:type="pct"/>
            <w:vAlign w:val="center"/>
          </w:tcPr>
          <w:p w14:paraId="7EF37C2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产业政策</w:t>
            </w:r>
          </w:p>
        </w:tc>
        <w:tc>
          <w:tcPr>
            <w:tcW w:w="227" w:type="pct"/>
            <w:vAlign w:val="center"/>
          </w:tcPr>
          <w:p w14:paraId="51E023A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18D3BC0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*产业政策符合性</w:t>
            </w:r>
          </w:p>
        </w:tc>
        <w:tc>
          <w:tcPr>
            <w:tcW w:w="1892" w:type="pct"/>
            <w:gridSpan w:val="3"/>
            <w:vAlign w:val="center"/>
          </w:tcPr>
          <w:p w14:paraId="25B6D31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未采用国家明令禁止和淘汰的生产工艺、装备，未生产国家明令禁止的产品。</w:t>
            </w:r>
          </w:p>
        </w:tc>
        <w:tc>
          <w:tcPr>
            <w:tcW w:w="460" w:type="pct"/>
            <w:shd w:val="clear" w:color="auto" w:fill="auto"/>
            <w:vAlign w:val="center"/>
          </w:tcPr>
          <w:p w14:paraId="632166C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3C33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1E02129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14AA8A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617A0C1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319" w:type="pct"/>
            <w:vAlign w:val="center"/>
          </w:tcPr>
          <w:p w14:paraId="7562089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达标</w:t>
            </w:r>
          </w:p>
        </w:tc>
        <w:tc>
          <w:tcPr>
            <w:tcW w:w="227" w:type="pct"/>
            <w:vAlign w:val="center"/>
          </w:tcPr>
          <w:p w14:paraId="7831334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3597354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*环境法律、法规、标准等</w:t>
            </w:r>
          </w:p>
        </w:tc>
        <w:tc>
          <w:tcPr>
            <w:tcW w:w="1892" w:type="pct"/>
            <w:gridSpan w:val="3"/>
            <w:vAlign w:val="center"/>
          </w:tcPr>
          <w:p w14:paraId="160BF73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符合国家和地方有关法律、法规、污染物排放标准，达到国家和地方排放标准、总量控制和排污许可证管理要求，相应标准包括GB 18597危险废物贮存污染控制标准、GB/T32161-2015生态设计产品评审通则、GB/T36132绿色工厂评审通则、T/CFA030801.1-2016绿色铸造企业评审规则、T/CFA030802.2-2017铸造行业大气污染物排放限值、T/CFA 030805.4.1铸造绿色工厂第1部分通用技术要求、T/CFA0310021-2019铸造企业规范条件。</w:t>
            </w:r>
          </w:p>
        </w:tc>
        <w:tc>
          <w:tcPr>
            <w:tcW w:w="460" w:type="pct"/>
            <w:shd w:val="clear" w:color="auto" w:fill="auto"/>
            <w:vAlign w:val="center"/>
          </w:tcPr>
          <w:p w14:paraId="7F8DDB0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59FD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6035F48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06319D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08F84D6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319" w:type="pct"/>
            <w:vAlign w:val="center"/>
          </w:tcPr>
          <w:p w14:paraId="3A17369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总量控制</w:t>
            </w:r>
          </w:p>
        </w:tc>
        <w:tc>
          <w:tcPr>
            <w:tcW w:w="227" w:type="pct"/>
            <w:vAlign w:val="center"/>
          </w:tcPr>
          <w:p w14:paraId="7A4D2A0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1455" w:type="pct"/>
            <w:gridSpan w:val="3"/>
            <w:vAlign w:val="center"/>
          </w:tcPr>
          <w:p w14:paraId="622AE8E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*总量控制</w:t>
            </w:r>
          </w:p>
        </w:tc>
        <w:tc>
          <w:tcPr>
            <w:tcW w:w="1892" w:type="pct"/>
            <w:gridSpan w:val="3"/>
            <w:vAlign w:val="center"/>
          </w:tcPr>
          <w:p w14:paraId="3C08327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企业污染物及二氧化碳排放总量及能源消耗总量满足国家及地方政府相关规定要求。</w:t>
            </w:r>
          </w:p>
        </w:tc>
        <w:tc>
          <w:tcPr>
            <w:tcW w:w="460" w:type="pct"/>
            <w:shd w:val="clear" w:color="auto" w:fill="auto"/>
            <w:vAlign w:val="center"/>
          </w:tcPr>
          <w:p w14:paraId="20F9BE6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0196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522ABFA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39A7D02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796C53B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w:t>
            </w:r>
          </w:p>
        </w:tc>
        <w:tc>
          <w:tcPr>
            <w:tcW w:w="319" w:type="pct"/>
            <w:vAlign w:val="center"/>
          </w:tcPr>
          <w:p w14:paraId="26BAA60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应急管理</w:t>
            </w:r>
          </w:p>
        </w:tc>
        <w:tc>
          <w:tcPr>
            <w:tcW w:w="227" w:type="pct"/>
            <w:vAlign w:val="center"/>
          </w:tcPr>
          <w:p w14:paraId="43A9402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1C4720F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*突发环境事件预防</w:t>
            </w:r>
          </w:p>
        </w:tc>
        <w:tc>
          <w:tcPr>
            <w:tcW w:w="1892" w:type="pct"/>
            <w:gridSpan w:val="3"/>
            <w:vAlign w:val="center"/>
          </w:tcPr>
          <w:p w14:paraId="1FD6276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按照国家相关规定要求，建立健全环境管理制度及污染事故防范措施，无重大环境污染事件发生。</w:t>
            </w:r>
          </w:p>
        </w:tc>
        <w:tc>
          <w:tcPr>
            <w:tcW w:w="460" w:type="pct"/>
            <w:shd w:val="clear" w:color="auto" w:fill="auto"/>
            <w:vAlign w:val="center"/>
          </w:tcPr>
          <w:p w14:paraId="0E572C7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5BA8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3453535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2061748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22FE397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w:t>
            </w:r>
          </w:p>
        </w:tc>
        <w:tc>
          <w:tcPr>
            <w:tcW w:w="319" w:type="pct"/>
            <w:vAlign w:val="center"/>
          </w:tcPr>
          <w:p w14:paraId="0C7B8B9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管理体系</w:t>
            </w:r>
          </w:p>
        </w:tc>
        <w:tc>
          <w:tcPr>
            <w:tcW w:w="227" w:type="pct"/>
            <w:vAlign w:val="center"/>
          </w:tcPr>
          <w:p w14:paraId="18C0326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w:t>
            </w:r>
          </w:p>
        </w:tc>
        <w:tc>
          <w:tcPr>
            <w:tcW w:w="1455" w:type="pct"/>
            <w:gridSpan w:val="3"/>
            <w:vAlign w:val="center"/>
          </w:tcPr>
          <w:p w14:paraId="3EF9F23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建立健全环境管理体系</w:t>
            </w:r>
          </w:p>
        </w:tc>
        <w:tc>
          <w:tcPr>
            <w:tcW w:w="692" w:type="pct"/>
            <w:vAlign w:val="center"/>
          </w:tcPr>
          <w:p w14:paraId="391ACAE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环境管理体系，并取得认证，能有效运行；全部完成年度环境目标、指标和环境管理方案，并达到环境持续改进的要求；环境管理手册、程序文件及作业文件齐备、有效，符合GB/T24001环境管理体系规范及使用指南。</w:t>
            </w:r>
          </w:p>
        </w:tc>
        <w:tc>
          <w:tcPr>
            <w:tcW w:w="600" w:type="pct"/>
            <w:vAlign w:val="center"/>
          </w:tcPr>
          <w:p w14:paraId="11DF747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建有环境管理体系，能有效运行；完成年度环境目标、指标和环境管理方案≥80%，达到环境持续改进的要求；环境管理手册、程序文件及作业文件齐备、有效，符合GB/T24001环境管理体系规范及使用指南。</w:t>
            </w:r>
          </w:p>
        </w:tc>
        <w:tc>
          <w:tcPr>
            <w:tcW w:w="600" w:type="pct"/>
            <w:vAlign w:val="center"/>
          </w:tcPr>
          <w:p w14:paraId="30300BC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建立有环境管理体系，能有效运行；完成年度环境目标、指标和环境管理方案≥60%，部分达到环境持续改进的要求；环境管理手册、程序文件及作业文件齐备，符合GB/T24001环境管理体系规范及使用指南。</w:t>
            </w:r>
          </w:p>
        </w:tc>
        <w:tc>
          <w:tcPr>
            <w:tcW w:w="460" w:type="pct"/>
            <w:shd w:val="clear" w:color="auto" w:fill="auto"/>
            <w:vAlign w:val="center"/>
          </w:tcPr>
          <w:p w14:paraId="42899FA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1791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023CFD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1A77D17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587A58F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w:t>
            </w:r>
          </w:p>
        </w:tc>
        <w:tc>
          <w:tcPr>
            <w:tcW w:w="319" w:type="pct"/>
            <w:vAlign w:val="center"/>
          </w:tcPr>
          <w:p w14:paraId="251802F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危废处置</w:t>
            </w:r>
          </w:p>
        </w:tc>
        <w:tc>
          <w:tcPr>
            <w:tcW w:w="227" w:type="pct"/>
            <w:vAlign w:val="center"/>
          </w:tcPr>
          <w:p w14:paraId="75D963C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18A87B6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危险废物安全处置</w:t>
            </w:r>
          </w:p>
        </w:tc>
        <w:tc>
          <w:tcPr>
            <w:tcW w:w="692" w:type="pct"/>
            <w:vAlign w:val="center"/>
          </w:tcPr>
          <w:p w14:paraId="0E43212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建有相关管理制度，台账记录，转移联单齐全。无害化处理后综合利用率≥80%。</w:t>
            </w:r>
          </w:p>
        </w:tc>
        <w:tc>
          <w:tcPr>
            <w:tcW w:w="600" w:type="pct"/>
            <w:vAlign w:val="center"/>
          </w:tcPr>
          <w:p w14:paraId="369BDD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建有相关管理制度，台账记录，转移联单齐全。无害化处理后综合利用率≥70%。</w:t>
            </w:r>
          </w:p>
        </w:tc>
        <w:tc>
          <w:tcPr>
            <w:tcW w:w="600" w:type="pct"/>
            <w:vAlign w:val="center"/>
          </w:tcPr>
          <w:p w14:paraId="315CE0C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建有相关管理制度，台账记录，转移联单齐全。无害化处理后综合利用率≥50%。</w:t>
            </w:r>
          </w:p>
        </w:tc>
        <w:tc>
          <w:tcPr>
            <w:tcW w:w="460" w:type="pct"/>
            <w:shd w:val="clear" w:color="auto" w:fill="auto"/>
            <w:vAlign w:val="center"/>
          </w:tcPr>
          <w:p w14:paraId="13E8B7B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52D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FFD82D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4176D7F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65EBC6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w:t>
            </w:r>
          </w:p>
        </w:tc>
        <w:tc>
          <w:tcPr>
            <w:tcW w:w="319" w:type="pct"/>
            <w:vAlign w:val="center"/>
          </w:tcPr>
          <w:p w14:paraId="57BF9FE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清洁生产审核</w:t>
            </w:r>
          </w:p>
        </w:tc>
        <w:tc>
          <w:tcPr>
            <w:tcW w:w="227" w:type="pct"/>
            <w:vAlign w:val="center"/>
          </w:tcPr>
          <w:p w14:paraId="2007263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w:t>
            </w:r>
          </w:p>
        </w:tc>
        <w:tc>
          <w:tcPr>
            <w:tcW w:w="1455" w:type="pct"/>
            <w:gridSpan w:val="3"/>
            <w:vAlign w:val="center"/>
          </w:tcPr>
          <w:p w14:paraId="4A6767B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清洁生产机制建设与清洁生产审核</w:t>
            </w:r>
          </w:p>
        </w:tc>
        <w:tc>
          <w:tcPr>
            <w:tcW w:w="692" w:type="pct"/>
            <w:vAlign w:val="center"/>
          </w:tcPr>
          <w:p w14:paraId="583357D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建有清洁生产组织机构，成员单位与主管人员职责分工明确；有清洁生产管理制度和奖励管理办法；定期开展清洁生产审核活动，清洁生产方案实施率≥90%；有开展清洁生产工作记录。</w:t>
            </w:r>
          </w:p>
        </w:tc>
        <w:tc>
          <w:tcPr>
            <w:tcW w:w="600" w:type="pct"/>
            <w:vAlign w:val="center"/>
          </w:tcPr>
          <w:p w14:paraId="71788C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建有清洁生产组织机构，成员单位与主管人员分工明确；有清洁生产管理制度和奖励管理办法；定期开展清洁生产审核活动，清洁生产方案实施率≥70%；有开展清洁生产工作记录。</w:t>
            </w:r>
          </w:p>
        </w:tc>
        <w:tc>
          <w:tcPr>
            <w:tcW w:w="600" w:type="pct"/>
            <w:vAlign w:val="center"/>
          </w:tcPr>
          <w:p w14:paraId="74232BB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建有清洁生产组织机构，成员单位与主管人员分工明确；有清洁生产管理制度和奖励管理办法；定期开展清洁生产审核活动，清洁生产方案实施率≥50%；有开展清洁生产工作记录。</w:t>
            </w:r>
          </w:p>
        </w:tc>
        <w:tc>
          <w:tcPr>
            <w:tcW w:w="460" w:type="pct"/>
            <w:shd w:val="clear" w:color="auto" w:fill="auto"/>
            <w:vAlign w:val="center"/>
          </w:tcPr>
          <w:p w14:paraId="3979694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r w14:paraId="3B31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64E9F92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220" w:type="pct"/>
            <w:vMerge w:val="continue"/>
            <w:vAlign w:val="center"/>
          </w:tcPr>
          <w:p w14:paraId="6E59849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p>
        </w:tc>
        <w:tc>
          <w:tcPr>
            <w:tcW w:w="168" w:type="pct"/>
            <w:vAlign w:val="center"/>
          </w:tcPr>
          <w:p w14:paraId="665BACB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w:t>
            </w:r>
          </w:p>
        </w:tc>
        <w:tc>
          <w:tcPr>
            <w:tcW w:w="319" w:type="pct"/>
            <w:vAlign w:val="center"/>
          </w:tcPr>
          <w:p w14:paraId="7603832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节能减碳</w:t>
            </w:r>
          </w:p>
        </w:tc>
        <w:tc>
          <w:tcPr>
            <w:tcW w:w="227" w:type="pct"/>
            <w:vAlign w:val="center"/>
          </w:tcPr>
          <w:p w14:paraId="4FD5C03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1455" w:type="pct"/>
            <w:gridSpan w:val="3"/>
            <w:vAlign w:val="center"/>
          </w:tcPr>
          <w:p w14:paraId="74D40E6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节能减碳机制建设与节能减碳活动</w:t>
            </w:r>
          </w:p>
        </w:tc>
        <w:tc>
          <w:tcPr>
            <w:tcW w:w="692" w:type="pct"/>
            <w:vAlign w:val="center"/>
          </w:tcPr>
          <w:p w14:paraId="469518B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建有节能减碳组织机构，成员单位及主管人员职责分工明确；组织开展节能减碳工作，年度管控目标完成率≥90%；年度节能减碳任务达到国家要求。</w:t>
            </w:r>
          </w:p>
        </w:tc>
        <w:tc>
          <w:tcPr>
            <w:tcW w:w="600" w:type="pct"/>
            <w:vAlign w:val="center"/>
          </w:tcPr>
          <w:p w14:paraId="38FF034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建有节能减碳组织机构，成员单位及主管人员职责分工明确；组织开展节能减碳工作，年度管控目标完成率≥80%；年度节能减碳任务达到国家要求。</w:t>
            </w:r>
          </w:p>
        </w:tc>
        <w:tc>
          <w:tcPr>
            <w:tcW w:w="600" w:type="pct"/>
            <w:vAlign w:val="center"/>
          </w:tcPr>
          <w:p w14:paraId="6871162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建有节能减</w:t>
            </w:r>
          </w:p>
          <w:p w14:paraId="4716DD2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碳组织机构，成员单位及主管人员职责分工明确；组织开展节能减碳工作，年度管控目标完成率≥70%；年度节能减碳任务达到国家要求。</w:t>
            </w:r>
          </w:p>
        </w:tc>
        <w:tc>
          <w:tcPr>
            <w:tcW w:w="460" w:type="pct"/>
            <w:shd w:val="clear" w:color="auto" w:fill="auto"/>
            <w:vAlign w:val="center"/>
          </w:tcPr>
          <w:p w14:paraId="79F5546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kern w:val="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Ⅰ级水平基准值</w:t>
            </w:r>
          </w:p>
        </w:tc>
      </w:tr>
    </w:tbl>
    <w:p w14:paraId="14E41A65">
      <w:pPr>
        <w:autoSpaceDE w:val="0"/>
        <w:autoSpaceDN w:val="0"/>
        <w:adjustRightInd w:val="0"/>
        <w:ind w:firstLine="480" w:firstLineChars="200"/>
        <w:rPr>
          <w:rFonts w:hint="eastAsia"/>
          <w:lang w:val="en-US" w:eastAsia="zh-CN"/>
        </w:rPr>
      </w:pPr>
      <w:r>
        <w:rPr>
          <w:rFonts w:hint="eastAsia"/>
          <w:lang w:val="en-US" w:eastAsia="zh-CN"/>
        </w:rPr>
        <w:t>对照《铸造企业清洁生产要求 导则》（T/CFA 0308053-2019），本项目</w:t>
      </w:r>
      <w:r>
        <w:rPr>
          <w:rFonts w:hint="default"/>
          <w:lang w:val="en-US" w:eastAsia="zh-CN"/>
        </w:rPr>
        <w:t>Ⅱ</w:t>
      </w:r>
      <w:r>
        <w:rPr>
          <w:rFonts w:hint="eastAsia"/>
          <w:lang w:val="en-US" w:eastAsia="zh-CN"/>
        </w:rPr>
        <w:t>级指标达标率为90%，D</w:t>
      </w:r>
      <w:r>
        <w:rPr>
          <w:rFonts w:hint="default"/>
          <w:lang w:val="en-US" w:eastAsia="zh-CN"/>
        </w:rPr>
        <w:t>≥</w:t>
      </w:r>
      <w:r>
        <w:rPr>
          <w:rFonts w:hint="eastAsia"/>
          <w:lang w:val="en-US" w:eastAsia="zh-CN"/>
        </w:rPr>
        <w:t>85，限定指标全部达标，因此公司清洁生产水平属于</w:t>
      </w:r>
      <w:r>
        <w:rPr>
          <w:rFonts w:hint="default"/>
          <w:lang w:val="en-US" w:eastAsia="zh-CN"/>
        </w:rPr>
        <w:t>Ⅱ</w:t>
      </w:r>
      <w:r>
        <w:rPr>
          <w:rFonts w:hint="eastAsia"/>
          <w:lang w:val="en-US" w:eastAsia="zh-CN"/>
        </w:rPr>
        <w:t>级，即国内清洁生产先进水平。</w:t>
      </w:r>
    </w:p>
    <w:p w14:paraId="2D2C0ACC">
      <w:pPr>
        <w:autoSpaceDE w:val="0"/>
        <w:autoSpaceDN w:val="0"/>
        <w:adjustRightInd w:val="0"/>
        <w:ind w:firstLine="480" w:firstLineChars="200"/>
        <w:rPr>
          <w:rFonts w:hint="eastAsia"/>
          <w:lang w:val="en-US" w:eastAsia="zh-CN"/>
        </w:rPr>
      </w:pPr>
      <w:r>
        <w:rPr>
          <w:rFonts w:hint="eastAsia"/>
          <w:lang w:val="en-US" w:eastAsia="zh-CN"/>
        </w:rPr>
        <w:t>本项目选址不在生态保护红线内，各类污染物均采取有效的治理措施，并确保废气达标排放，环境现状监测表明该区域尚有一定的环境容量。同时，本项目符合产业政策和各项环保法律法规。总体来说，本项目的建设符合《关于以改善环境质量为核心加强环境影响评价管理的通知》中的相关规定。</w:t>
      </w:r>
    </w:p>
    <w:p w14:paraId="17C6761B">
      <w:pPr>
        <w:autoSpaceDE w:val="0"/>
        <w:autoSpaceDN w:val="0"/>
        <w:adjustRightInd w:val="0"/>
        <w:ind w:firstLine="480" w:firstLineChars="200"/>
        <w:rPr>
          <w:rFonts w:hint="default"/>
          <w:lang w:val="en-US" w:eastAsia="zh-CN"/>
        </w:rPr>
      </w:pPr>
      <w:r>
        <w:rPr>
          <w:rFonts w:hint="eastAsia"/>
          <w:lang w:val="en-US" w:eastAsia="zh-CN"/>
        </w:rPr>
        <w:t>综上所述，本项目符合国家及地方相关产业政策及法律法规要求。</w:t>
      </w:r>
    </w:p>
    <w:p w14:paraId="2800C6CA">
      <w:pPr>
        <w:autoSpaceDE w:val="0"/>
        <w:autoSpaceDN w:val="0"/>
        <w:adjustRightInd w:val="0"/>
        <w:ind w:firstLine="480" w:firstLineChars="200"/>
        <w:rPr>
          <w:rFonts w:hint="eastAsia"/>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14:paraId="1D678925">
      <w:pPr>
        <w:pStyle w:val="16"/>
        <w:spacing w:before="0" w:beforeAutospacing="0" w:after="0" w:afterAutospacing="0" w:line="240" w:lineRule="auto"/>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20"/>
        <w:tblW w:w="91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5"/>
        <w:gridCol w:w="8487"/>
      </w:tblGrid>
      <w:tr w14:paraId="6276D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14:paraId="5A638A92">
            <w:pPr>
              <w:pStyle w:val="16"/>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建设内容</w:t>
            </w:r>
          </w:p>
        </w:tc>
        <w:tc>
          <w:tcPr>
            <w:tcW w:w="8487" w:type="dxa"/>
          </w:tcPr>
          <w:p w14:paraId="73F2CD8A">
            <w:pPr>
              <w:pStyle w:val="2"/>
              <w:widowControl w:val="0"/>
              <w:snapToGrid/>
              <w:spacing w:before="0" w:after="0" w:line="480" w:lineRule="exact"/>
              <w:ind w:right="0" w:firstLine="482" w:firstLineChars="200"/>
              <w:rPr>
                <w:b/>
                <w:bCs/>
                <w:kern w:val="2"/>
                <w:sz w:val="24"/>
                <w:szCs w:val="24"/>
              </w:rPr>
            </w:pPr>
            <w:r>
              <w:rPr>
                <w:b/>
                <w:bCs/>
                <w:kern w:val="2"/>
                <w:sz w:val="24"/>
                <w:szCs w:val="24"/>
              </w:rPr>
              <w:t>1、项目概述</w:t>
            </w:r>
          </w:p>
          <w:p w14:paraId="1DDB5A65">
            <w:pPr>
              <w:pStyle w:val="2"/>
              <w:widowControl w:val="0"/>
              <w:snapToGrid/>
              <w:spacing w:before="0" w:after="0" w:line="480" w:lineRule="exact"/>
              <w:ind w:right="0" w:firstLine="480" w:firstLineChars="200"/>
              <w:rPr>
                <w:rFonts w:hint="eastAsia" w:cs="Times New Roman"/>
                <w:sz w:val="24"/>
                <w:szCs w:val="24"/>
                <w:lang w:val="en-US" w:eastAsia="zh-CN"/>
              </w:rPr>
            </w:pPr>
            <w:r>
              <w:rPr>
                <w:rFonts w:hint="eastAsia" w:cs="Times New Roman"/>
                <w:sz w:val="24"/>
                <w:szCs w:val="24"/>
                <w:lang w:val="en-US" w:eastAsia="zh-CN"/>
              </w:rPr>
              <w:t>常州润峰电机配件有限公司，</w:t>
            </w:r>
            <w:r>
              <w:rPr>
                <w:rFonts w:hint="default" w:cs="Times New Roman"/>
                <w:sz w:val="24"/>
                <w:szCs w:val="24"/>
                <w:lang w:val="en-US" w:eastAsia="zh-CN"/>
              </w:rPr>
              <w:t>成立于20</w:t>
            </w:r>
            <w:r>
              <w:rPr>
                <w:rFonts w:hint="eastAsia" w:cs="Times New Roman"/>
                <w:sz w:val="24"/>
                <w:szCs w:val="24"/>
                <w:lang w:val="en-US" w:eastAsia="zh-CN"/>
              </w:rPr>
              <w:t>22</w:t>
            </w:r>
            <w:r>
              <w:rPr>
                <w:rFonts w:hint="default" w:cs="Times New Roman"/>
                <w:sz w:val="24"/>
                <w:szCs w:val="24"/>
                <w:lang w:val="en-US" w:eastAsia="zh-CN"/>
              </w:rPr>
              <w:t>年</w:t>
            </w:r>
            <w:r>
              <w:rPr>
                <w:rFonts w:hint="eastAsia" w:cs="Times New Roman"/>
                <w:sz w:val="24"/>
                <w:szCs w:val="24"/>
                <w:lang w:val="en-US" w:eastAsia="zh-CN"/>
              </w:rPr>
              <w:t>2</w:t>
            </w:r>
            <w:r>
              <w:rPr>
                <w:rFonts w:hint="default" w:cs="Times New Roman"/>
                <w:sz w:val="24"/>
                <w:szCs w:val="24"/>
                <w:lang w:val="en-US" w:eastAsia="zh-CN"/>
              </w:rPr>
              <w:t>月，公司</w:t>
            </w:r>
            <w:r>
              <w:rPr>
                <w:rFonts w:hint="eastAsia" w:cs="Times New Roman"/>
                <w:sz w:val="24"/>
                <w:szCs w:val="24"/>
                <w:lang w:val="en-US" w:eastAsia="zh-CN"/>
              </w:rPr>
              <w:t>原</w:t>
            </w:r>
            <w:r>
              <w:rPr>
                <w:rFonts w:hint="default" w:cs="Times New Roman"/>
                <w:sz w:val="24"/>
                <w:szCs w:val="24"/>
                <w:lang w:val="en-US" w:eastAsia="zh-CN"/>
              </w:rPr>
              <w:t>位于</w:t>
            </w:r>
            <w:r>
              <w:rPr>
                <w:rFonts w:hint="eastAsia" w:cs="Times New Roman"/>
                <w:sz w:val="24"/>
                <w:szCs w:val="24"/>
                <w:lang w:val="en-US" w:eastAsia="zh-CN"/>
              </w:rPr>
              <w:t>常州市新北区晋陵北路215号御花园2号楼2430室</w:t>
            </w:r>
            <w:r>
              <w:rPr>
                <w:rFonts w:hint="default" w:cs="Times New Roman"/>
                <w:sz w:val="24"/>
                <w:szCs w:val="24"/>
                <w:lang w:val="en-US" w:eastAsia="zh-CN"/>
              </w:rPr>
              <w:t>，注册资本</w:t>
            </w:r>
            <w:r>
              <w:rPr>
                <w:rFonts w:hint="eastAsia" w:cs="Times New Roman"/>
                <w:sz w:val="24"/>
                <w:szCs w:val="24"/>
                <w:lang w:val="en-US" w:eastAsia="zh-CN"/>
              </w:rPr>
              <w:t>1</w:t>
            </w:r>
            <w:r>
              <w:rPr>
                <w:rFonts w:hint="default" w:cs="Times New Roman"/>
                <w:sz w:val="24"/>
                <w:szCs w:val="24"/>
                <w:lang w:val="en-US" w:eastAsia="zh-CN"/>
              </w:rPr>
              <w:t>00万元</w:t>
            </w:r>
            <w:r>
              <w:rPr>
                <w:rFonts w:hint="eastAsia" w:cs="Times New Roman"/>
                <w:sz w:val="24"/>
                <w:szCs w:val="24"/>
                <w:lang w:val="en-US" w:eastAsia="zh-CN"/>
              </w:rPr>
              <w:t>，从事微特电机及组件销售；助动自行车、代步车及零配件销售；新能源汽车电附件销售（除依法须经批准的项目外，凭营业执照依法自主开展经营活动）。</w:t>
            </w:r>
          </w:p>
          <w:p w14:paraId="23444177">
            <w:pPr>
              <w:pStyle w:val="2"/>
              <w:widowControl w:val="0"/>
              <w:snapToGrid/>
              <w:spacing w:before="0" w:after="0" w:line="480" w:lineRule="exact"/>
              <w:ind w:right="0" w:firstLine="480" w:firstLineChars="200"/>
              <w:rPr>
                <w:rFonts w:hint="eastAsia" w:ascii="Times New Roman" w:hAnsi="Times New Roman" w:cs="Times New Roman"/>
                <w:sz w:val="24"/>
                <w:szCs w:val="24"/>
                <w:lang w:val="en-US" w:eastAsia="zh-CN"/>
              </w:rPr>
            </w:pPr>
            <w:r>
              <w:rPr>
                <w:rFonts w:hint="eastAsia" w:cs="Times New Roman"/>
                <w:sz w:val="24"/>
                <w:szCs w:val="24"/>
                <w:lang w:val="en-US" w:eastAsia="zh-CN"/>
              </w:rPr>
              <w:t>由于发展需要，公司于2025年4月2日将注册地址变更为江苏省常州经济开发区横山桥镇新安村委新芙路78号，经营范围变更为微特电机及组件销售；助动自行车、代步车及零配件销售；新能源汽车电附件销售；</w:t>
            </w:r>
            <w:r>
              <w:rPr>
                <w:rFonts w:hint="default" w:cs="Times New Roman"/>
                <w:sz w:val="24"/>
                <w:szCs w:val="24"/>
                <w:lang w:val="en-US" w:eastAsia="zh-CN"/>
              </w:rPr>
              <w:t>电机制造</w:t>
            </w:r>
            <w:r>
              <w:rPr>
                <w:rFonts w:hint="eastAsia" w:cs="Times New Roman"/>
                <w:sz w:val="24"/>
                <w:szCs w:val="24"/>
                <w:lang w:val="en-US" w:eastAsia="zh-CN"/>
              </w:rPr>
              <w:t>；</w:t>
            </w:r>
            <w:r>
              <w:rPr>
                <w:rFonts w:hint="default" w:cs="Times New Roman"/>
                <w:sz w:val="24"/>
                <w:szCs w:val="24"/>
                <w:lang w:val="en-US" w:eastAsia="zh-CN"/>
              </w:rPr>
              <w:t>微特电机及组件制造</w:t>
            </w:r>
            <w:r>
              <w:rPr>
                <w:rFonts w:hint="eastAsia" w:cs="Times New Roman"/>
                <w:sz w:val="24"/>
                <w:szCs w:val="24"/>
                <w:lang w:val="en-US" w:eastAsia="zh-CN"/>
              </w:rPr>
              <w:t>；</w:t>
            </w:r>
            <w:r>
              <w:rPr>
                <w:rFonts w:hint="default" w:cs="Times New Roman"/>
                <w:sz w:val="24"/>
                <w:szCs w:val="24"/>
                <w:lang w:val="en-US" w:eastAsia="zh-CN"/>
              </w:rPr>
              <w:t>汽车零部件及配件制造</w:t>
            </w:r>
            <w:r>
              <w:rPr>
                <w:rFonts w:hint="eastAsia" w:cs="Times New Roman"/>
                <w:sz w:val="24"/>
                <w:szCs w:val="24"/>
                <w:lang w:val="en-US" w:eastAsia="zh-CN"/>
              </w:rPr>
              <w:t>；</w:t>
            </w:r>
            <w:r>
              <w:rPr>
                <w:rFonts w:hint="default" w:cs="Times New Roman"/>
                <w:sz w:val="24"/>
                <w:szCs w:val="24"/>
                <w:lang w:val="en-US" w:eastAsia="zh-CN"/>
              </w:rPr>
              <w:t>汽车零配件零售</w:t>
            </w:r>
            <w:r>
              <w:rPr>
                <w:rFonts w:hint="eastAsia" w:cs="Times New Roman"/>
                <w:sz w:val="24"/>
                <w:szCs w:val="24"/>
                <w:lang w:val="en-US" w:eastAsia="zh-CN"/>
              </w:rPr>
              <w:t>（</w:t>
            </w:r>
            <w:r>
              <w:rPr>
                <w:rFonts w:hint="default" w:cs="Times New Roman"/>
                <w:sz w:val="24"/>
                <w:szCs w:val="24"/>
                <w:lang w:val="en-US" w:eastAsia="zh-CN"/>
              </w:rPr>
              <w:t>除依法须经批准的项目外</w:t>
            </w:r>
            <w:r>
              <w:rPr>
                <w:rFonts w:hint="eastAsia" w:cs="Times New Roman"/>
                <w:sz w:val="24"/>
                <w:szCs w:val="24"/>
                <w:lang w:val="en-US" w:eastAsia="zh-CN"/>
              </w:rPr>
              <w:t>，</w:t>
            </w:r>
            <w:r>
              <w:rPr>
                <w:rFonts w:hint="default" w:cs="Times New Roman"/>
                <w:sz w:val="24"/>
                <w:szCs w:val="24"/>
                <w:lang w:val="en-US" w:eastAsia="zh-CN"/>
              </w:rPr>
              <w:t>凭营业执照依法自主开展经营活动</w:t>
            </w:r>
            <w:r>
              <w:rPr>
                <w:rFonts w:hint="eastAsia" w:cs="Times New Roman"/>
                <w:sz w:val="24"/>
                <w:szCs w:val="24"/>
                <w:lang w:val="en-US" w:eastAsia="zh-CN"/>
              </w:rPr>
              <w:t>）。公司拟</w:t>
            </w:r>
            <w:r>
              <w:rPr>
                <w:rFonts w:hint="eastAsia" w:eastAsia="仿宋" w:cs="Times New Roman"/>
                <w:color w:val="auto"/>
                <w:sz w:val="24"/>
                <w:lang w:val="en-US" w:eastAsia="zh-CN"/>
              </w:rPr>
              <w:t>租赁新安村委</w:t>
            </w:r>
            <w:r>
              <w:rPr>
                <w:rFonts w:hint="eastAsia" w:cs="Times New Roman"/>
                <w:color w:val="auto"/>
                <w:sz w:val="24"/>
                <w:lang w:val="en-US" w:eastAsia="zh-CN"/>
              </w:rPr>
              <w:t>位于</w:t>
            </w:r>
            <w:r>
              <w:rPr>
                <w:rFonts w:hint="eastAsia" w:cs="Times New Roman"/>
                <w:sz w:val="24"/>
                <w:szCs w:val="24"/>
                <w:lang w:val="en-US" w:eastAsia="zh-CN"/>
              </w:rPr>
              <w:t>常州经济开发区横山桥镇新安村委新芙路78号</w:t>
            </w:r>
            <w:r>
              <w:rPr>
                <w:rFonts w:hint="eastAsia" w:eastAsia="仿宋" w:cs="Times New Roman"/>
                <w:color w:val="auto"/>
                <w:sz w:val="24"/>
                <w:lang w:val="en-US" w:eastAsia="zh-CN"/>
              </w:rPr>
              <w:t>集体土地</w:t>
            </w:r>
            <w:r>
              <w:rPr>
                <w:rFonts w:hint="eastAsia" w:eastAsia="仿宋" w:cs="Times New Roman"/>
                <w:color w:val="auto"/>
                <w:sz w:val="24"/>
                <w:highlight w:val="none"/>
                <w:lang w:val="en-US" w:eastAsia="zh-CN"/>
              </w:rPr>
              <w:t>（该地块房产为陈燕莉拍卖所得）</w:t>
            </w:r>
            <w:r>
              <w:rPr>
                <w:rFonts w:hint="eastAsia" w:eastAsia="仿宋" w:cs="Times New Roman"/>
                <w:color w:val="auto"/>
                <w:sz w:val="24"/>
                <w:lang w:val="en-US" w:eastAsia="zh-CN"/>
              </w:rPr>
              <w:t>已建厂房2000m</w:t>
            </w:r>
            <w:r>
              <w:rPr>
                <w:rFonts w:hint="eastAsia" w:eastAsia="仿宋" w:cs="Times New Roman"/>
                <w:color w:val="auto"/>
                <w:sz w:val="24"/>
                <w:vertAlign w:val="superscript"/>
                <w:lang w:val="en-US" w:eastAsia="zh-CN"/>
              </w:rPr>
              <w:t>2</w:t>
            </w:r>
            <w:r>
              <w:rPr>
                <w:rFonts w:hint="eastAsia" w:eastAsia="仿宋" w:cs="Times New Roman"/>
                <w:color w:val="auto"/>
                <w:sz w:val="24"/>
                <w:lang w:val="en-US" w:eastAsia="zh-CN"/>
              </w:rPr>
              <w:t>，</w:t>
            </w:r>
            <w:r>
              <w:rPr>
                <w:rFonts w:hint="default" w:ascii="Times New Roman" w:hAnsi="Times New Roman" w:eastAsia="仿宋" w:cs="Times New Roman"/>
                <w:color w:val="auto"/>
                <w:sz w:val="24"/>
                <w:lang w:val="en-US" w:eastAsia="zh-CN"/>
              </w:rPr>
              <w:t>购置天然气熔化炉、压铸机、</w:t>
            </w:r>
            <w:r>
              <w:rPr>
                <w:rFonts w:hint="eastAsia" w:eastAsia="仿宋" w:cs="Times New Roman"/>
                <w:color w:val="auto"/>
                <w:sz w:val="24"/>
                <w:lang w:val="en-US" w:eastAsia="zh-CN"/>
              </w:rPr>
              <w:t>模具、</w:t>
            </w:r>
            <w:r>
              <w:rPr>
                <w:rFonts w:hint="default" w:ascii="Times New Roman" w:hAnsi="Times New Roman" w:eastAsia="仿宋" w:cs="Times New Roman"/>
                <w:color w:val="auto"/>
                <w:sz w:val="24"/>
                <w:lang w:val="en-US" w:eastAsia="zh-CN"/>
              </w:rPr>
              <w:t>机加工设备及公辅</w:t>
            </w:r>
            <w:r>
              <w:rPr>
                <w:rFonts w:hint="eastAsia" w:ascii="Times New Roman" w:hAnsi="Times New Roman" w:eastAsia="仿宋" w:cs="Times New Roman"/>
                <w:color w:val="auto"/>
                <w:sz w:val="24"/>
                <w:lang w:val="en-US" w:eastAsia="zh-CN"/>
              </w:rPr>
              <w:t>、</w:t>
            </w:r>
            <w:r>
              <w:rPr>
                <w:rFonts w:hint="default" w:ascii="Times New Roman" w:hAnsi="Times New Roman" w:eastAsia="仿宋" w:cs="Times New Roman"/>
                <w:color w:val="auto"/>
                <w:sz w:val="24"/>
                <w:lang w:val="en-US" w:eastAsia="zh-CN"/>
              </w:rPr>
              <w:t>环保设备</w:t>
            </w:r>
            <w:r>
              <w:rPr>
                <w:rFonts w:hint="eastAsia" w:ascii="Times New Roman" w:hAnsi="Times New Roman" w:eastAsia="仿宋" w:cs="Times New Roman"/>
                <w:color w:val="auto"/>
                <w:sz w:val="24"/>
                <w:lang w:val="en-US" w:eastAsia="zh-CN"/>
              </w:rPr>
              <w:t>共计</w:t>
            </w:r>
            <w:r>
              <w:rPr>
                <w:rFonts w:hint="eastAsia" w:eastAsia="仿宋" w:cs="Times New Roman"/>
                <w:color w:val="auto"/>
                <w:sz w:val="24"/>
                <w:lang w:val="en-US" w:eastAsia="zh-CN"/>
              </w:rPr>
              <w:t>2</w:t>
            </w:r>
            <w:r>
              <w:rPr>
                <w:rFonts w:hint="eastAsia" w:ascii="Times New Roman" w:hAnsi="Times New Roman" w:eastAsia="仿宋" w:cs="Times New Roman"/>
                <w:color w:val="auto"/>
                <w:sz w:val="24"/>
                <w:highlight w:val="none"/>
                <w:lang w:val="en-US" w:eastAsia="zh-CN"/>
              </w:rPr>
              <w:t>7</w:t>
            </w:r>
            <w:r>
              <w:rPr>
                <w:rFonts w:hint="eastAsia" w:eastAsia="仿宋" w:cs="Times New Roman"/>
                <w:color w:val="auto"/>
                <w:sz w:val="24"/>
                <w:highlight w:val="none"/>
                <w:lang w:val="en-US" w:eastAsia="zh-CN"/>
              </w:rPr>
              <w:t>8</w:t>
            </w:r>
            <w:r>
              <w:rPr>
                <w:rFonts w:hint="default" w:ascii="Times New Roman" w:hAnsi="Times New Roman" w:eastAsia="仿宋" w:cs="Times New Roman"/>
                <w:color w:val="auto"/>
                <w:sz w:val="24"/>
                <w:highlight w:val="none"/>
                <w:lang w:val="en-US" w:eastAsia="zh-CN"/>
              </w:rPr>
              <w:t>台/套</w:t>
            </w:r>
            <w:r>
              <w:rPr>
                <w:rFonts w:hint="default" w:ascii="Times New Roman" w:hAnsi="Times New Roman" w:eastAsia="仿宋" w:cs="Times New Roman"/>
                <w:color w:val="auto"/>
                <w:sz w:val="24"/>
                <w:lang w:val="en-US" w:eastAsia="zh-CN"/>
              </w:rPr>
              <w:t>，项目建成后可形成年产</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val="en-US" w:eastAsia="zh-CN"/>
              </w:rPr>
              <w:t>500万</w:t>
            </w:r>
            <w:r>
              <w:rPr>
                <w:rFonts w:hint="eastAsia" w:eastAsia="仿宋" w:cs="Times New Roman"/>
                <w:color w:val="auto"/>
                <w:sz w:val="24"/>
                <w:lang w:val="en-US" w:eastAsia="zh-CN"/>
              </w:rPr>
              <w:t>件</w:t>
            </w:r>
            <w:r>
              <w:rPr>
                <w:rFonts w:hint="default" w:ascii="Times New Roman" w:hAnsi="Times New Roman" w:eastAsia="仿宋" w:cs="Times New Roman"/>
                <w:color w:val="auto"/>
                <w:sz w:val="24"/>
                <w:lang w:val="en-US" w:eastAsia="zh-CN"/>
              </w:rPr>
              <w:t>铝制</w:t>
            </w:r>
            <w:r>
              <w:rPr>
                <w:rFonts w:hint="eastAsia" w:eastAsia="仿宋" w:cs="Times New Roman"/>
                <w:color w:val="auto"/>
                <w:sz w:val="24"/>
                <w:lang w:val="en-US" w:eastAsia="zh-CN"/>
              </w:rPr>
              <w:t>零部件</w:t>
            </w:r>
            <w:r>
              <w:rPr>
                <w:rFonts w:hint="default" w:ascii="Times New Roman" w:hAnsi="Times New Roman" w:eastAsia="仿宋" w:cs="Times New Roman"/>
                <w:color w:val="auto"/>
                <w:sz w:val="24"/>
                <w:lang w:val="en-US" w:eastAsia="zh-CN"/>
              </w:rPr>
              <w:t>的生产能力</w:t>
            </w:r>
            <w:r>
              <w:rPr>
                <w:rFonts w:hint="eastAsia" w:ascii="Times New Roman" w:hAnsi="Times New Roman" w:cs="Times New Roman"/>
                <w:sz w:val="24"/>
                <w:szCs w:val="24"/>
                <w:lang w:val="en-US" w:eastAsia="zh-CN"/>
              </w:rPr>
              <w:t>。</w:t>
            </w:r>
          </w:p>
          <w:p w14:paraId="40DAA7A0">
            <w:pPr>
              <w:pStyle w:val="2"/>
              <w:widowControl w:val="0"/>
              <w:snapToGrid/>
              <w:spacing w:before="0" w:after="0" w:line="480" w:lineRule="exact"/>
              <w:ind w:right="0" w:firstLine="480" w:firstLineChars="200"/>
              <w:rPr>
                <w:kern w:val="2"/>
                <w:sz w:val="24"/>
                <w:szCs w:val="24"/>
              </w:rPr>
            </w:pPr>
            <w:r>
              <w:rPr>
                <w:kern w:val="2"/>
                <w:sz w:val="24"/>
                <w:szCs w:val="24"/>
                <w:highlight w:val="none"/>
              </w:rPr>
              <w:t>本项目已于</w:t>
            </w:r>
            <w:r>
              <w:rPr>
                <w:rFonts w:hint="eastAsia"/>
                <w:kern w:val="2"/>
                <w:sz w:val="24"/>
                <w:szCs w:val="24"/>
                <w:highlight w:val="none"/>
                <w:lang w:eastAsia="zh-CN"/>
              </w:rPr>
              <w:t>2025年</w:t>
            </w:r>
            <w:r>
              <w:rPr>
                <w:rFonts w:hint="eastAsia"/>
                <w:kern w:val="2"/>
                <w:sz w:val="24"/>
                <w:szCs w:val="24"/>
                <w:highlight w:val="none"/>
                <w:lang w:val="en-US" w:eastAsia="zh-CN"/>
              </w:rPr>
              <w:t>6</w:t>
            </w:r>
            <w:r>
              <w:rPr>
                <w:rFonts w:hint="eastAsia"/>
                <w:kern w:val="2"/>
                <w:sz w:val="24"/>
                <w:szCs w:val="24"/>
                <w:highlight w:val="none"/>
                <w:lang w:eastAsia="zh-CN"/>
              </w:rPr>
              <w:t>月1</w:t>
            </w:r>
            <w:r>
              <w:rPr>
                <w:rFonts w:hint="eastAsia"/>
                <w:kern w:val="2"/>
                <w:sz w:val="24"/>
                <w:szCs w:val="24"/>
                <w:highlight w:val="none"/>
                <w:lang w:val="en-US" w:eastAsia="zh-CN"/>
              </w:rPr>
              <w:t>0</w:t>
            </w:r>
            <w:r>
              <w:rPr>
                <w:rFonts w:hint="eastAsia"/>
                <w:kern w:val="2"/>
                <w:sz w:val="24"/>
                <w:szCs w:val="24"/>
                <w:highlight w:val="none"/>
                <w:lang w:eastAsia="zh-CN"/>
              </w:rPr>
              <w:t>日</w:t>
            </w:r>
            <w:r>
              <w:rPr>
                <w:kern w:val="2"/>
                <w:sz w:val="24"/>
                <w:szCs w:val="24"/>
                <w:highlight w:val="none"/>
              </w:rPr>
              <w:t>取得了江苏常</w:t>
            </w:r>
            <w:r>
              <w:rPr>
                <w:sz w:val="24"/>
                <w:szCs w:val="24"/>
                <w:highlight w:val="none"/>
              </w:rPr>
              <w:t>州经济开发区管理委员会的投资项目备案证（</w:t>
            </w:r>
            <w:r>
              <w:rPr>
                <w:rFonts w:hint="eastAsia"/>
                <w:sz w:val="24"/>
                <w:szCs w:val="24"/>
                <w:highlight w:val="none"/>
                <w:lang w:eastAsia="zh-CN"/>
              </w:rPr>
              <w:t>常经数备〔2025〕338号</w:t>
            </w:r>
            <w:r>
              <w:rPr>
                <w:sz w:val="24"/>
                <w:szCs w:val="24"/>
                <w:highlight w:val="none"/>
              </w:rPr>
              <w:t>），</w:t>
            </w:r>
            <w:r>
              <w:rPr>
                <w:sz w:val="24"/>
                <w:szCs w:val="24"/>
              </w:rPr>
              <w:t>详见附件2。</w:t>
            </w:r>
            <w:r>
              <w:rPr>
                <w:kern w:val="2"/>
                <w:sz w:val="24"/>
                <w:szCs w:val="24"/>
              </w:rPr>
              <w:t>根据《建设项目环境影响评价分类管理名录》（2021版），本项目</w:t>
            </w:r>
            <w:r>
              <w:rPr>
                <w:rFonts w:hint="eastAsia"/>
                <w:kern w:val="2"/>
                <w:sz w:val="24"/>
                <w:szCs w:val="24"/>
              </w:rPr>
              <w:t>从事</w:t>
            </w:r>
            <w:r>
              <w:rPr>
                <w:rFonts w:hint="eastAsia"/>
                <w:sz w:val="24"/>
                <w:lang w:eastAsia="zh-CN"/>
              </w:rPr>
              <w:t>铝制零部件</w:t>
            </w:r>
            <w:r>
              <w:rPr>
                <w:rFonts w:hint="eastAsia"/>
                <w:sz w:val="24"/>
              </w:rPr>
              <w:t>制造</w:t>
            </w:r>
            <w:r>
              <w:rPr>
                <w:rFonts w:hint="eastAsia"/>
                <w:kern w:val="2"/>
                <w:sz w:val="24"/>
                <w:szCs w:val="24"/>
              </w:rPr>
              <w:t>，类别属于名录中</w:t>
            </w:r>
            <w:r>
              <w:rPr>
                <w:rFonts w:hint="eastAsia"/>
                <w:kern w:val="2"/>
                <w:sz w:val="24"/>
                <w:szCs w:val="24"/>
                <w:lang w:eastAsia="zh-CN"/>
              </w:rPr>
              <w:t>“</w:t>
            </w:r>
            <w:r>
              <w:rPr>
                <w:rFonts w:hint="eastAsia"/>
                <w:kern w:val="2"/>
                <w:sz w:val="24"/>
                <w:szCs w:val="24"/>
                <w:lang w:val="en-US" w:eastAsia="zh-CN"/>
              </w:rPr>
              <w:t>三十五</w:t>
            </w:r>
            <w:r>
              <w:rPr>
                <w:rFonts w:hint="eastAsia"/>
                <w:kern w:val="2"/>
                <w:sz w:val="24"/>
                <w:szCs w:val="24"/>
              </w:rPr>
              <w:t>、</w:t>
            </w:r>
            <w:r>
              <w:rPr>
                <w:rFonts w:hint="eastAsia"/>
                <w:kern w:val="2"/>
                <w:sz w:val="24"/>
                <w:szCs w:val="24"/>
                <w:lang w:val="en-US" w:eastAsia="zh-CN"/>
              </w:rPr>
              <w:t>电器机械和器材制造业38</w:t>
            </w:r>
            <w:r>
              <w:rPr>
                <w:rFonts w:hint="eastAsia"/>
                <w:kern w:val="2"/>
                <w:sz w:val="24"/>
                <w:szCs w:val="24"/>
                <w:lang w:eastAsia="zh-CN"/>
              </w:rPr>
              <w:t>”</w:t>
            </w:r>
            <w:r>
              <w:rPr>
                <w:rFonts w:hint="eastAsia"/>
                <w:kern w:val="2"/>
                <w:sz w:val="24"/>
                <w:szCs w:val="24"/>
              </w:rPr>
              <w:t>中</w:t>
            </w:r>
            <w:r>
              <w:rPr>
                <w:rFonts w:hint="eastAsia"/>
                <w:kern w:val="2"/>
                <w:sz w:val="24"/>
                <w:szCs w:val="24"/>
                <w:lang w:eastAsia="zh-CN"/>
              </w:rPr>
              <w:t>“</w:t>
            </w:r>
            <w:r>
              <w:rPr>
                <w:rFonts w:hint="eastAsia"/>
                <w:sz w:val="24"/>
                <w:szCs w:val="24"/>
                <w:lang w:val="en-US" w:eastAsia="zh-CN"/>
              </w:rPr>
              <w:t>77</w:t>
            </w:r>
            <w:r>
              <w:rPr>
                <w:rFonts w:hint="eastAsia"/>
                <w:sz w:val="24"/>
                <w:szCs w:val="24"/>
              </w:rPr>
              <w:t>.</w:t>
            </w:r>
            <w:r>
              <w:rPr>
                <w:rFonts w:hint="eastAsia"/>
                <w:sz w:val="24"/>
                <w:szCs w:val="24"/>
                <w:lang w:val="en-US" w:eastAsia="zh-CN"/>
              </w:rPr>
              <w:t>电机制造</w:t>
            </w:r>
            <w:r>
              <w:rPr>
                <w:rFonts w:hint="eastAsia"/>
                <w:kern w:val="2"/>
                <w:sz w:val="24"/>
                <w:szCs w:val="24"/>
                <w:lang w:eastAsia="zh-CN"/>
              </w:rPr>
              <w:t>”</w:t>
            </w:r>
            <w:r>
              <w:rPr>
                <w:rFonts w:hint="eastAsia"/>
                <w:kern w:val="2"/>
                <w:sz w:val="24"/>
                <w:szCs w:val="24"/>
              </w:rPr>
              <w:t>中</w:t>
            </w:r>
            <w:r>
              <w:rPr>
                <w:rFonts w:hint="eastAsia"/>
                <w:kern w:val="2"/>
                <w:sz w:val="24"/>
                <w:szCs w:val="24"/>
                <w:lang w:eastAsia="zh-CN"/>
              </w:rPr>
              <w:t>“</w:t>
            </w:r>
            <w:r>
              <w:rPr>
                <w:rFonts w:hint="eastAsia"/>
                <w:kern w:val="2"/>
                <w:sz w:val="24"/>
                <w:szCs w:val="24"/>
              </w:rPr>
              <w:t>其他（</w:t>
            </w:r>
            <w:r>
              <w:rPr>
                <w:rFonts w:hint="eastAsia"/>
                <w:kern w:val="2"/>
                <w:sz w:val="24"/>
                <w:szCs w:val="24"/>
                <w:lang w:val="en-US" w:eastAsia="zh-CN"/>
              </w:rPr>
              <w:t>仅分割、焊接、组装的除外；</w:t>
            </w:r>
            <w:r>
              <w:rPr>
                <w:rFonts w:hint="eastAsia"/>
                <w:kern w:val="2"/>
                <w:sz w:val="24"/>
                <w:szCs w:val="24"/>
              </w:rPr>
              <w:t>年用非溶剂型低VOCs含量涂料10吨以下的除外）</w:t>
            </w:r>
            <w:r>
              <w:rPr>
                <w:rFonts w:hint="eastAsia"/>
                <w:kern w:val="2"/>
                <w:sz w:val="24"/>
                <w:szCs w:val="24"/>
                <w:lang w:eastAsia="zh-CN"/>
              </w:rPr>
              <w:t>”</w:t>
            </w:r>
            <w:r>
              <w:rPr>
                <w:rFonts w:hint="eastAsia"/>
                <w:sz w:val="24"/>
                <w:szCs w:val="24"/>
                <w:highlight w:val="none"/>
              </w:rPr>
              <w:t>，</w:t>
            </w:r>
            <w:r>
              <w:rPr>
                <w:rFonts w:hint="eastAsia"/>
                <w:kern w:val="2"/>
                <w:sz w:val="24"/>
                <w:szCs w:val="24"/>
                <w:lang w:eastAsia="zh-CN"/>
              </w:rPr>
              <w:t>“</w:t>
            </w:r>
            <w:r>
              <w:rPr>
                <w:rFonts w:hint="eastAsia"/>
                <w:kern w:val="2"/>
                <w:sz w:val="24"/>
                <w:szCs w:val="24"/>
                <w:lang w:val="en-US" w:eastAsia="zh-CN"/>
              </w:rPr>
              <w:t>三十三</w:t>
            </w:r>
            <w:r>
              <w:rPr>
                <w:rFonts w:hint="eastAsia"/>
                <w:kern w:val="2"/>
                <w:sz w:val="24"/>
                <w:szCs w:val="24"/>
              </w:rPr>
              <w:t>、</w:t>
            </w:r>
            <w:r>
              <w:rPr>
                <w:rFonts w:hint="eastAsia"/>
                <w:kern w:val="2"/>
                <w:sz w:val="24"/>
                <w:szCs w:val="24"/>
                <w:lang w:val="en-US" w:eastAsia="zh-CN"/>
              </w:rPr>
              <w:t>汽车制造业</w:t>
            </w:r>
            <w:r>
              <w:rPr>
                <w:rFonts w:hint="eastAsia"/>
                <w:kern w:val="2"/>
                <w:sz w:val="24"/>
                <w:szCs w:val="24"/>
                <w:lang w:eastAsia="zh-CN"/>
              </w:rPr>
              <w:t>”</w:t>
            </w:r>
            <w:r>
              <w:rPr>
                <w:rFonts w:hint="eastAsia"/>
                <w:kern w:val="2"/>
                <w:sz w:val="24"/>
                <w:szCs w:val="24"/>
              </w:rPr>
              <w:t>中</w:t>
            </w:r>
            <w:r>
              <w:rPr>
                <w:rFonts w:hint="eastAsia"/>
                <w:sz w:val="24"/>
                <w:szCs w:val="24"/>
                <w:highlight w:val="none"/>
                <w:lang w:eastAsia="zh-CN"/>
              </w:rPr>
              <w:t>“</w:t>
            </w:r>
            <w:r>
              <w:rPr>
                <w:rFonts w:hint="eastAsia"/>
                <w:sz w:val="24"/>
                <w:szCs w:val="24"/>
                <w:highlight w:val="none"/>
                <w:lang w:val="en-US" w:eastAsia="zh-CN"/>
              </w:rPr>
              <w:t>71.汽车零部件及配件制造367</w:t>
            </w:r>
            <w:r>
              <w:rPr>
                <w:rFonts w:hint="eastAsia"/>
                <w:sz w:val="24"/>
                <w:szCs w:val="24"/>
                <w:highlight w:val="none"/>
                <w:lang w:eastAsia="zh-CN"/>
              </w:rPr>
              <w:t>”</w:t>
            </w:r>
            <w:r>
              <w:rPr>
                <w:rFonts w:hint="eastAsia"/>
                <w:sz w:val="24"/>
                <w:szCs w:val="24"/>
                <w:highlight w:val="none"/>
              </w:rPr>
              <w:t>-其他（年用非溶剂型低VOCs含量涂料10吨以下的除外）</w:t>
            </w:r>
            <w:r>
              <w:rPr>
                <w:rFonts w:hint="eastAsia"/>
                <w:sz w:val="24"/>
                <w:szCs w:val="24"/>
                <w:highlight w:val="none"/>
                <w:lang w:eastAsia="zh-CN"/>
              </w:rPr>
              <w:t>，“</w:t>
            </w:r>
            <w:r>
              <w:rPr>
                <w:rFonts w:hint="eastAsia"/>
                <w:sz w:val="24"/>
                <w:szCs w:val="24"/>
                <w:highlight w:val="none"/>
                <w:lang w:val="en-US" w:eastAsia="zh-CN"/>
              </w:rPr>
              <w:t>三十、金属制品业</w:t>
            </w:r>
            <w:r>
              <w:rPr>
                <w:rFonts w:hint="eastAsia"/>
                <w:sz w:val="24"/>
                <w:szCs w:val="24"/>
                <w:highlight w:val="none"/>
                <w:lang w:eastAsia="zh-CN"/>
              </w:rPr>
              <w:t>”</w:t>
            </w:r>
            <w:r>
              <w:rPr>
                <w:rFonts w:hint="eastAsia"/>
                <w:sz w:val="24"/>
                <w:szCs w:val="24"/>
                <w:highlight w:val="none"/>
                <w:lang w:val="en-US" w:eastAsia="zh-CN"/>
              </w:rPr>
              <w:t>中“68.铸造及其他金属制品制造339”-其他（仅分割、焊接、组装的除外），</w:t>
            </w:r>
            <w:r>
              <w:rPr>
                <w:sz w:val="24"/>
                <w:szCs w:val="24"/>
                <w:highlight w:val="none"/>
              </w:rPr>
              <w:t>应编制环境影响报告表。根据《中华人民共和国环境影响评价法》和《建设项目环境保护管理条例》等有关法律法规的规定，</w:t>
            </w:r>
            <w:r>
              <w:rPr>
                <w:rFonts w:hint="eastAsia"/>
                <w:sz w:val="24"/>
                <w:szCs w:val="24"/>
                <w:highlight w:val="none"/>
                <w:lang w:eastAsia="zh-CN"/>
              </w:rPr>
              <w:t>常州润峰电机配件有限公司</w:t>
            </w:r>
            <w:r>
              <w:rPr>
                <w:sz w:val="24"/>
                <w:szCs w:val="24"/>
                <w:highlight w:val="none"/>
              </w:rPr>
              <w:t>委托</w:t>
            </w:r>
            <w:r>
              <w:rPr>
                <w:rFonts w:hint="eastAsia"/>
                <w:sz w:val="24"/>
                <w:szCs w:val="24"/>
                <w:highlight w:val="none"/>
              </w:rPr>
              <w:t>常州华开环境技术服务</w:t>
            </w:r>
            <w:r>
              <w:rPr>
                <w:rFonts w:hint="eastAsia"/>
                <w:kern w:val="2"/>
                <w:sz w:val="24"/>
                <w:szCs w:val="24"/>
              </w:rPr>
              <w:t>有限公司</w:t>
            </w:r>
            <w:r>
              <w:rPr>
                <w:kern w:val="2"/>
                <w:sz w:val="24"/>
                <w:szCs w:val="24"/>
              </w:rPr>
              <w:t>承担本项目的环境影响报告表的编制工作。</w:t>
            </w:r>
            <w:r>
              <w:rPr>
                <w:rFonts w:hint="eastAsia"/>
                <w:kern w:val="2"/>
                <w:sz w:val="24"/>
                <w:szCs w:val="24"/>
              </w:rPr>
              <w:t>常州华开环境技术服务有限公司</w:t>
            </w:r>
            <w:r>
              <w:rPr>
                <w:kern w:val="2"/>
                <w:sz w:val="24"/>
                <w:szCs w:val="24"/>
              </w:rPr>
              <w:t>接受委托后，认真研究了该项目的有关材料，并进行实地踏勘，调查建设项目所在地的自然环境状况、相关规划和有关技术资料，经工程分析、环境影响识别和影响分析，根据国家相关的环保法律法规和相应的标准，编制了本环境影响报告表。</w:t>
            </w:r>
          </w:p>
          <w:p w14:paraId="56EF168D">
            <w:pPr>
              <w:pStyle w:val="2"/>
              <w:widowControl w:val="0"/>
              <w:snapToGrid/>
              <w:spacing w:before="0" w:after="0" w:line="480" w:lineRule="exact"/>
              <w:ind w:right="0" w:firstLine="482" w:firstLineChars="200"/>
              <w:rPr>
                <w:b/>
                <w:bCs/>
                <w:kern w:val="2"/>
                <w:sz w:val="24"/>
                <w:szCs w:val="24"/>
              </w:rPr>
            </w:pPr>
            <w:r>
              <w:rPr>
                <w:b/>
                <w:bCs/>
                <w:kern w:val="2"/>
                <w:sz w:val="24"/>
                <w:szCs w:val="24"/>
              </w:rPr>
              <w:t>2、项目名称、地点、性质</w:t>
            </w:r>
          </w:p>
          <w:p w14:paraId="0DAECC16">
            <w:pPr>
              <w:pStyle w:val="2"/>
              <w:widowControl w:val="0"/>
              <w:snapToGrid/>
              <w:spacing w:before="0" w:after="0" w:line="480" w:lineRule="exact"/>
              <w:ind w:right="0" w:firstLine="480" w:firstLineChars="200"/>
              <w:rPr>
                <w:kern w:val="2"/>
                <w:sz w:val="24"/>
                <w:szCs w:val="24"/>
              </w:rPr>
            </w:pPr>
            <w:r>
              <w:rPr>
                <w:kern w:val="2"/>
                <w:sz w:val="24"/>
                <w:szCs w:val="24"/>
              </w:rPr>
              <w:t>项目名称：</w:t>
            </w:r>
            <w:r>
              <w:rPr>
                <w:rFonts w:hint="eastAsia"/>
                <w:kern w:val="2"/>
                <w:sz w:val="24"/>
                <w:szCs w:val="24"/>
                <w:lang w:eastAsia="zh-CN"/>
              </w:rPr>
              <w:t>常州润峰电机配件有限公司年产1500万件铝制零部件新建项目</w:t>
            </w:r>
            <w:r>
              <w:rPr>
                <w:kern w:val="2"/>
                <w:sz w:val="24"/>
                <w:szCs w:val="24"/>
              </w:rPr>
              <w:t>；</w:t>
            </w:r>
          </w:p>
          <w:p w14:paraId="44F64CF3">
            <w:pPr>
              <w:pStyle w:val="2"/>
              <w:widowControl w:val="0"/>
              <w:snapToGrid/>
              <w:spacing w:before="0" w:after="0" w:line="480" w:lineRule="exact"/>
              <w:ind w:right="0" w:firstLine="480" w:firstLineChars="200"/>
              <w:rPr>
                <w:kern w:val="2"/>
                <w:sz w:val="24"/>
                <w:szCs w:val="24"/>
              </w:rPr>
            </w:pPr>
            <w:r>
              <w:rPr>
                <w:kern w:val="2"/>
                <w:sz w:val="24"/>
                <w:szCs w:val="24"/>
              </w:rPr>
              <w:t>建设单位：</w:t>
            </w:r>
            <w:r>
              <w:rPr>
                <w:rFonts w:hint="eastAsia"/>
                <w:kern w:val="2"/>
                <w:sz w:val="24"/>
                <w:szCs w:val="24"/>
                <w:lang w:eastAsia="zh-CN"/>
              </w:rPr>
              <w:t>常州润峰电机配件有限公司</w:t>
            </w:r>
            <w:r>
              <w:rPr>
                <w:kern w:val="2"/>
                <w:sz w:val="24"/>
                <w:szCs w:val="24"/>
              </w:rPr>
              <w:t>；</w:t>
            </w:r>
          </w:p>
          <w:p w14:paraId="60CF0FC0">
            <w:pPr>
              <w:pStyle w:val="2"/>
              <w:widowControl w:val="0"/>
              <w:snapToGrid/>
              <w:spacing w:before="0" w:after="0" w:line="480" w:lineRule="exact"/>
              <w:ind w:right="0" w:firstLine="480" w:firstLineChars="200"/>
              <w:rPr>
                <w:kern w:val="2"/>
                <w:sz w:val="24"/>
                <w:szCs w:val="24"/>
              </w:rPr>
            </w:pPr>
            <w:r>
              <w:rPr>
                <w:kern w:val="2"/>
                <w:sz w:val="24"/>
                <w:szCs w:val="24"/>
              </w:rPr>
              <w:t>项目性质：</w:t>
            </w:r>
            <w:r>
              <w:rPr>
                <w:rFonts w:hint="eastAsia"/>
                <w:kern w:val="2"/>
                <w:sz w:val="24"/>
                <w:szCs w:val="24"/>
                <w:lang w:val="en-US" w:eastAsia="zh-CN"/>
              </w:rPr>
              <w:t>新建</w:t>
            </w:r>
            <w:r>
              <w:rPr>
                <w:kern w:val="2"/>
                <w:sz w:val="24"/>
                <w:szCs w:val="24"/>
              </w:rPr>
              <w:t>；</w:t>
            </w:r>
          </w:p>
          <w:p w14:paraId="749D6F05">
            <w:pPr>
              <w:pStyle w:val="2"/>
              <w:widowControl w:val="0"/>
              <w:snapToGrid/>
              <w:spacing w:before="0" w:after="0" w:line="480" w:lineRule="exact"/>
              <w:ind w:right="0" w:firstLine="480" w:firstLineChars="200"/>
              <w:rPr>
                <w:kern w:val="2"/>
                <w:sz w:val="24"/>
                <w:szCs w:val="24"/>
              </w:rPr>
            </w:pPr>
            <w:r>
              <w:rPr>
                <w:kern w:val="2"/>
                <w:sz w:val="24"/>
                <w:szCs w:val="24"/>
              </w:rPr>
              <w:t>投资总额：</w:t>
            </w:r>
            <w:r>
              <w:rPr>
                <w:rFonts w:hint="eastAsia"/>
                <w:kern w:val="2"/>
                <w:sz w:val="24"/>
                <w:szCs w:val="24"/>
                <w:lang w:val="en-US" w:eastAsia="zh-CN"/>
              </w:rPr>
              <w:t>50</w:t>
            </w:r>
            <w:r>
              <w:rPr>
                <w:kern w:val="2"/>
                <w:sz w:val="24"/>
                <w:szCs w:val="24"/>
              </w:rPr>
              <w:t>00万元，环保投资</w:t>
            </w:r>
            <w:r>
              <w:rPr>
                <w:rFonts w:hint="eastAsia"/>
                <w:kern w:val="2"/>
                <w:sz w:val="24"/>
                <w:szCs w:val="24"/>
                <w:lang w:val="en-US" w:eastAsia="zh-CN"/>
              </w:rPr>
              <w:t>50</w:t>
            </w:r>
            <w:r>
              <w:rPr>
                <w:kern w:val="2"/>
                <w:sz w:val="24"/>
                <w:szCs w:val="24"/>
              </w:rPr>
              <w:t>万元，占投资总额</w:t>
            </w:r>
            <w:r>
              <w:rPr>
                <w:rFonts w:hint="eastAsia"/>
                <w:kern w:val="2"/>
                <w:sz w:val="24"/>
                <w:szCs w:val="24"/>
                <w:lang w:val="en-US" w:eastAsia="zh-CN"/>
              </w:rPr>
              <w:t>1</w:t>
            </w:r>
            <w:r>
              <w:rPr>
                <w:kern w:val="2"/>
                <w:sz w:val="24"/>
                <w:szCs w:val="24"/>
              </w:rPr>
              <w:t>%；</w:t>
            </w:r>
          </w:p>
          <w:p w14:paraId="164F3515">
            <w:pPr>
              <w:pStyle w:val="2"/>
              <w:widowControl w:val="0"/>
              <w:snapToGrid/>
              <w:spacing w:before="0" w:after="0" w:line="480" w:lineRule="exact"/>
              <w:ind w:right="0" w:firstLine="480" w:firstLineChars="200"/>
              <w:rPr>
                <w:kern w:val="2"/>
                <w:sz w:val="24"/>
                <w:szCs w:val="24"/>
              </w:rPr>
            </w:pPr>
            <w:r>
              <w:rPr>
                <w:kern w:val="2"/>
                <w:sz w:val="24"/>
                <w:szCs w:val="24"/>
              </w:rPr>
              <w:t>建设地点：</w:t>
            </w:r>
            <w:r>
              <w:rPr>
                <w:rFonts w:hint="eastAsia"/>
                <w:sz w:val="24"/>
                <w:szCs w:val="24"/>
                <w:lang w:eastAsia="zh-CN"/>
              </w:rPr>
              <w:t>常州经济开发区横山桥镇新安村委新芙路78号</w:t>
            </w:r>
            <w:r>
              <w:rPr>
                <w:sz w:val="24"/>
                <w:szCs w:val="24"/>
              </w:rPr>
              <w:t>；</w:t>
            </w:r>
          </w:p>
          <w:p w14:paraId="7502B2C2">
            <w:pPr>
              <w:pStyle w:val="2"/>
              <w:widowControl w:val="0"/>
              <w:snapToGrid/>
              <w:spacing w:before="0" w:after="0" w:line="480" w:lineRule="exact"/>
              <w:ind w:right="0" w:firstLine="480" w:firstLineChars="200"/>
              <w:rPr>
                <w:sz w:val="24"/>
                <w:szCs w:val="24"/>
              </w:rPr>
            </w:pPr>
            <w:r>
              <w:rPr>
                <w:sz w:val="24"/>
                <w:szCs w:val="24"/>
              </w:rPr>
              <w:t>年生产：300</w:t>
            </w:r>
            <w:r>
              <w:rPr>
                <w:rFonts w:hint="eastAsia"/>
                <w:sz w:val="24"/>
                <w:szCs w:val="24"/>
              </w:rPr>
              <w:t>天</w:t>
            </w:r>
            <w:r>
              <w:rPr>
                <w:sz w:val="24"/>
                <w:szCs w:val="24"/>
              </w:rPr>
              <w:t>；生产为</w:t>
            </w:r>
            <w:r>
              <w:rPr>
                <w:rFonts w:hint="eastAsia"/>
                <w:sz w:val="24"/>
                <w:szCs w:val="24"/>
                <w:lang w:val="en-US" w:eastAsia="zh-CN"/>
              </w:rPr>
              <w:t>三</w:t>
            </w:r>
            <w:r>
              <w:rPr>
                <w:sz w:val="24"/>
                <w:szCs w:val="24"/>
              </w:rPr>
              <w:t>班制，每班</w:t>
            </w:r>
            <w:r>
              <w:rPr>
                <w:rFonts w:hint="eastAsia"/>
                <w:sz w:val="24"/>
                <w:szCs w:val="24"/>
              </w:rPr>
              <w:t>8小时</w:t>
            </w:r>
            <w:r>
              <w:rPr>
                <w:sz w:val="24"/>
                <w:szCs w:val="24"/>
              </w:rPr>
              <w:t>，年生产</w:t>
            </w:r>
            <w:r>
              <w:rPr>
                <w:rFonts w:hint="eastAsia"/>
                <w:sz w:val="24"/>
                <w:szCs w:val="24"/>
                <w:lang w:val="en-US" w:eastAsia="zh-CN"/>
              </w:rPr>
              <w:t>72</w:t>
            </w:r>
            <w:r>
              <w:rPr>
                <w:sz w:val="24"/>
                <w:szCs w:val="24"/>
              </w:rPr>
              <w:t>00</w:t>
            </w:r>
            <w:r>
              <w:rPr>
                <w:rFonts w:hint="eastAsia"/>
                <w:sz w:val="24"/>
                <w:szCs w:val="24"/>
              </w:rPr>
              <w:t>小时。</w:t>
            </w:r>
          </w:p>
          <w:p w14:paraId="15FEEB87">
            <w:pPr>
              <w:pStyle w:val="2"/>
              <w:widowControl w:val="0"/>
              <w:snapToGrid/>
              <w:spacing w:before="0" w:after="0" w:line="480" w:lineRule="exact"/>
              <w:ind w:right="0" w:firstLine="480" w:firstLineChars="200"/>
              <w:rPr>
                <w:kern w:val="2"/>
                <w:sz w:val="24"/>
                <w:szCs w:val="24"/>
              </w:rPr>
            </w:pPr>
            <w:r>
              <w:rPr>
                <w:sz w:val="24"/>
                <w:szCs w:val="24"/>
              </w:rPr>
              <w:t>员工人数：</w:t>
            </w:r>
            <w:r>
              <w:rPr>
                <w:rFonts w:hint="eastAsia"/>
                <w:sz w:val="24"/>
                <w:szCs w:val="24"/>
                <w:lang w:val="en-US" w:eastAsia="zh-CN"/>
              </w:rPr>
              <w:t>本项目员工28</w:t>
            </w:r>
            <w:r>
              <w:rPr>
                <w:rFonts w:hint="eastAsia"/>
                <w:sz w:val="24"/>
                <w:szCs w:val="24"/>
              </w:rPr>
              <w:t>人，</w:t>
            </w:r>
            <w:r>
              <w:rPr>
                <w:sz w:val="24"/>
                <w:szCs w:val="24"/>
              </w:rPr>
              <w:t>厂区内</w:t>
            </w:r>
            <w:r>
              <w:rPr>
                <w:rFonts w:hint="eastAsia"/>
                <w:sz w:val="24"/>
                <w:szCs w:val="24"/>
                <w:lang w:val="en-US" w:eastAsia="zh-CN"/>
              </w:rPr>
              <w:t>不设</w:t>
            </w:r>
            <w:r>
              <w:rPr>
                <w:sz w:val="24"/>
                <w:szCs w:val="24"/>
              </w:rPr>
              <w:t>食堂</w:t>
            </w:r>
            <w:r>
              <w:rPr>
                <w:rFonts w:hint="eastAsia"/>
                <w:sz w:val="24"/>
                <w:szCs w:val="24"/>
              </w:rPr>
              <w:t>（员工自行购买快餐、外卖），不提供</w:t>
            </w:r>
            <w:r>
              <w:rPr>
                <w:sz w:val="24"/>
                <w:szCs w:val="24"/>
              </w:rPr>
              <w:t>住宿和浴室等设施；</w:t>
            </w:r>
          </w:p>
          <w:p w14:paraId="4697AB0B">
            <w:pPr>
              <w:pStyle w:val="2"/>
              <w:widowControl w:val="0"/>
              <w:snapToGrid/>
              <w:spacing w:before="0" w:after="0" w:line="480" w:lineRule="exact"/>
              <w:ind w:right="0" w:firstLine="480" w:firstLineChars="200"/>
              <w:rPr>
                <w:sz w:val="24"/>
                <w:szCs w:val="24"/>
              </w:rPr>
            </w:pPr>
            <w:r>
              <w:rPr>
                <w:sz w:val="24"/>
                <w:szCs w:val="24"/>
              </w:rPr>
              <w:t>四周环境：本项目选址于</w:t>
            </w:r>
            <w:r>
              <w:rPr>
                <w:rFonts w:hint="eastAsia"/>
                <w:sz w:val="24"/>
                <w:szCs w:val="24"/>
                <w:lang w:eastAsia="zh-CN"/>
              </w:rPr>
              <w:t>常州经济开发区横山桥镇新安村委新芙路78号</w:t>
            </w:r>
            <w:r>
              <w:rPr>
                <w:sz w:val="24"/>
                <w:szCs w:val="24"/>
              </w:rPr>
              <w:t>，项目所在地属于工业用地，项目四周现状多为工业企业，东侧为</w:t>
            </w:r>
            <w:r>
              <w:rPr>
                <w:rFonts w:hint="eastAsia"/>
                <w:sz w:val="24"/>
                <w:szCs w:val="24"/>
                <w:lang w:val="en-US" w:eastAsia="zh-CN"/>
              </w:rPr>
              <w:t>三山港</w:t>
            </w:r>
            <w:r>
              <w:rPr>
                <w:sz w:val="24"/>
                <w:szCs w:val="24"/>
              </w:rPr>
              <w:t>；南侧为</w:t>
            </w:r>
            <w:r>
              <w:rPr>
                <w:rFonts w:hint="eastAsia"/>
                <w:sz w:val="24"/>
                <w:szCs w:val="24"/>
                <w:lang w:eastAsia="zh-CN"/>
              </w:rPr>
              <w:t>新芙路，</w:t>
            </w:r>
            <w:r>
              <w:rPr>
                <w:rFonts w:hint="eastAsia"/>
                <w:sz w:val="24"/>
                <w:szCs w:val="24"/>
                <w:lang w:val="en-US" w:eastAsia="zh-CN"/>
              </w:rPr>
              <w:t>隔路为常州迪卡尔金属制品有限公司；西侧为</w:t>
            </w:r>
            <w:r>
              <w:rPr>
                <w:rFonts w:hint="eastAsia"/>
                <w:sz w:val="24"/>
                <w:szCs w:val="24"/>
                <w:lang w:eastAsia="zh-CN"/>
              </w:rPr>
              <w:t>常州易可玛智能车辆科技有限公司；</w:t>
            </w:r>
            <w:r>
              <w:rPr>
                <w:rFonts w:hint="eastAsia"/>
                <w:sz w:val="24"/>
                <w:szCs w:val="24"/>
                <w:lang w:val="en-US" w:eastAsia="zh-CN"/>
              </w:rPr>
              <w:t>北侧为</w:t>
            </w:r>
            <w:r>
              <w:rPr>
                <w:rFonts w:hint="eastAsia"/>
                <w:sz w:val="24"/>
                <w:szCs w:val="24"/>
              </w:rPr>
              <w:t>常州</w:t>
            </w:r>
            <w:r>
              <w:rPr>
                <w:rFonts w:hint="eastAsia"/>
                <w:sz w:val="24"/>
                <w:szCs w:val="24"/>
                <w:lang w:val="en-US" w:eastAsia="zh-CN"/>
              </w:rPr>
              <w:t>市</w:t>
            </w:r>
            <w:r>
              <w:rPr>
                <w:rFonts w:hint="eastAsia"/>
                <w:sz w:val="24"/>
                <w:szCs w:val="24"/>
              </w:rPr>
              <w:t>信捷</w:t>
            </w:r>
            <w:r>
              <w:rPr>
                <w:rFonts w:hint="eastAsia" w:ascii="Times New Roman" w:hAnsi="Times New Roman" w:cs="Times New Roman"/>
                <w:sz w:val="24"/>
                <w:szCs w:val="24"/>
              </w:rPr>
              <w:t>金属制品有限公司。</w:t>
            </w:r>
            <w:r>
              <w:rPr>
                <w:kern w:val="2"/>
                <w:sz w:val="24"/>
                <w:szCs w:val="24"/>
              </w:rPr>
              <w:t>项目周围500m范围内环境敏感点包括：距离本项目</w:t>
            </w:r>
            <w:r>
              <w:rPr>
                <w:rFonts w:hint="eastAsia"/>
                <w:kern w:val="2"/>
                <w:sz w:val="24"/>
                <w:szCs w:val="24"/>
                <w:lang w:val="en-US" w:eastAsia="zh-CN"/>
              </w:rPr>
              <w:t>厂</w:t>
            </w:r>
            <w:r>
              <w:rPr>
                <w:rFonts w:hint="eastAsia"/>
                <w:sz w:val="24"/>
                <w:szCs w:val="24"/>
                <w:lang w:val="en-US" w:eastAsia="zh-CN"/>
              </w:rPr>
              <w:t>界</w:t>
            </w:r>
            <w:r>
              <w:rPr>
                <w:rFonts w:hint="eastAsia"/>
                <w:sz w:val="24"/>
                <w:szCs w:val="24"/>
              </w:rPr>
              <w:t>西</w:t>
            </w:r>
            <w:r>
              <w:rPr>
                <w:rFonts w:hint="eastAsia"/>
                <w:sz w:val="24"/>
                <w:szCs w:val="24"/>
                <w:lang w:val="en-US" w:eastAsia="zh-CN"/>
              </w:rPr>
              <w:t>北</w:t>
            </w:r>
            <w:r>
              <w:rPr>
                <w:sz w:val="24"/>
                <w:szCs w:val="24"/>
              </w:rPr>
              <w:t>侧</w:t>
            </w:r>
            <w:r>
              <w:rPr>
                <w:rFonts w:hint="eastAsia"/>
                <w:sz w:val="24"/>
                <w:szCs w:val="24"/>
                <w:lang w:val="en-US" w:eastAsia="zh-CN"/>
              </w:rPr>
              <w:t>190</w:t>
            </w:r>
            <w:r>
              <w:rPr>
                <w:sz w:val="24"/>
                <w:szCs w:val="24"/>
              </w:rPr>
              <w:t>m处的</w:t>
            </w:r>
            <w:r>
              <w:rPr>
                <w:rFonts w:hint="eastAsia"/>
                <w:sz w:val="24"/>
                <w:szCs w:val="24"/>
                <w:lang w:val="en-US" w:eastAsia="zh-CN"/>
              </w:rPr>
              <w:t>新安村</w:t>
            </w:r>
            <w:r>
              <w:rPr>
                <w:sz w:val="24"/>
                <w:szCs w:val="24"/>
              </w:rPr>
              <w:t>、</w:t>
            </w:r>
            <w:r>
              <w:rPr>
                <w:rFonts w:hint="eastAsia"/>
                <w:sz w:val="24"/>
                <w:szCs w:val="24"/>
                <w:lang w:val="en-US" w:eastAsia="zh-CN"/>
              </w:rPr>
              <w:t>西南侧289m处的前巷、东北</w:t>
            </w:r>
            <w:r>
              <w:rPr>
                <w:sz w:val="24"/>
                <w:szCs w:val="24"/>
              </w:rPr>
              <w:t>侧</w:t>
            </w:r>
            <w:r>
              <w:rPr>
                <w:rFonts w:hint="eastAsia"/>
                <w:sz w:val="24"/>
                <w:szCs w:val="24"/>
                <w:lang w:val="en-US" w:eastAsia="zh-CN"/>
              </w:rPr>
              <w:t>436</w:t>
            </w:r>
            <w:r>
              <w:rPr>
                <w:sz w:val="24"/>
                <w:szCs w:val="24"/>
              </w:rPr>
              <w:t>m处的</w:t>
            </w:r>
            <w:r>
              <w:rPr>
                <w:rFonts w:hint="eastAsia"/>
                <w:sz w:val="24"/>
                <w:szCs w:val="24"/>
                <w:lang w:val="en-US" w:eastAsia="zh-CN"/>
              </w:rPr>
              <w:t>范家村、西北侧480m处的时家村</w:t>
            </w:r>
            <w:r>
              <w:rPr>
                <w:sz w:val="24"/>
                <w:szCs w:val="24"/>
              </w:rPr>
              <w:t>。项目厂界周围状况详见附图2。</w:t>
            </w:r>
          </w:p>
          <w:p w14:paraId="690F7B94">
            <w:pPr>
              <w:pStyle w:val="2"/>
              <w:widowControl w:val="0"/>
              <w:snapToGrid/>
              <w:spacing w:before="0" w:after="0" w:line="480" w:lineRule="exact"/>
              <w:ind w:right="0" w:firstLine="482" w:firstLineChars="200"/>
              <w:rPr>
                <w:b/>
                <w:sz w:val="21"/>
                <w:szCs w:val="21"/>
              </w:rPr>
            </w:pPr>
            <w:r>
              <w:rPr>
                <w:b/>
                <w:bCs/>
                <w:kern w:val="2"/>
                <w:sz w:val="24"/>
                <w:szCs w:val="24"/>
              </w:rPr>
              <w:t>3、产品方案</w:t>
            </w:r>
          </w:p>
          <w:p w14:paraId="1B2EB0DF">
            <w:pPr>
              <w:snapToGrid w:val="0"/>
              <w:spacing w:line="240" w:lineRule="auto"/>
              <w:jc w:val="center"/>
              <w:rPr>
                <w:b/>
                <w:sz w:val="21"/>
                <w:szCs w:val="21"/>
              </w:rPr>
            </w:pPr>
            <w:r>
              <w:rPr>
                <w:b/>
                <w:sz w:val="21"/>
                <w:szCs w:val="21"/>
              </w:rPr>
              <w:t xml:space="preserve">表2-1  </w:t>
            </w:r>
            <w:r>
              <w:rPr>
                <w:rFonts w:hint="eastAsia"/>
                <w:b/>
                <w:sz w:val="21"/>
                <w:szCs w:val="21"/>
                <w:lang w:val="en-US" w:eastAsia="zh-CN"/>
              </w:rPr>
              <w:t>本项目</w:t>
            </w:r>
            <w:r>
              <w:rPr>
                <w:b/>
                <w:sz w:val="21"/>
                <w:szCs w:val="21"/>
              </w:rPr>
              <w:t>产品</w:t>
            </w:r>
            <w:r>
              <w:rPr>
                <w:rFonts w:hint="eastAsia"/>
                <w:b/>
                <w:sz w:val="21"/>
                <w:szCs w:val="21"/>
              </w:rPr>
              <w:t>方案</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62"/>
              <w:gridCol w:w="2223"/>
              <w:gridCol w:w="2000"/>
              <w:gridCol w:w="2372"/>
            </w:tblGrid>
            <w:tr w14:paraId="50AF1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pct"/>
                  <w:vAlign w:val="center"/>
                </w:tcPr>
                <w:p w14:paraId="1B2D336B">
                  <w:pPr>
                    <w:spacing w:line="240" w:lineRule="auto"/>
                    <w:jc w:val="center"/>
                    <w:rPr>
                      <w:b/>
                      <w:bCs/>
                      <w:sz w:val="21"/>
                      <w:szCs w:val="21"/>
                    </w:rPr>
                  </w:pPr>
                  <w:r>
                    <w:rPr>
                      <w:b/>
                      <w:bCs/>
                      <w:sz w:val="21"/>
                      <w:szCs w:val="21"/>
                    </w:rPr>
                    <w:t>序号</w:t>
                  </w:r>
                </w:p>
              </w:tc>
              <w:tc>
                <w:tcPr>
                  <w:tcW w:w="1865" w:type="pct"/>
                  <w:gridSpan w:val="2"/>
                  <w:vAlign w:val="center"/>
                </w:tcPr>
                <w:p w14:paraId="52571AFE">
                  <w:pPr>
                    <w:spacing w:line="240" w:lineRule="auto"/>
                    <w:jc w:val="center"/>
                    <w:rPr>
                      <w:rFonts w:hint="eastAsia"/>
                      <w:b/>
                      <w:bCs/>
                      <w:sz w:val="21"/>
                      <w:szCs w:val="21"/>
                      <w:lang w:val="en-US" w:eastAsia="zh-CN"/>
                    </w:rPr>
                  </w:pPr>
                  <w:r>
                    <w:rPr>
                      <w:rFonts w:hint="eastAsia"/>
                      <w:b/>
                      <w:bCs/>
                      <w:sz w:val="21"/>
                      <w:szCs w:val="21"/>
                      <w:lang w:val="en-US" w:eastAsia="zh-CN"/>
                    </w:rPr>
                    <w:t>产品名称</w:t>
                  </w:r>
                </w:p>
              </w:tc>
              <w:tc>
                <w:tcPr>
                  <w:tcW w:w="1209" w:type="pct"/>
                  <w:vAlign w:val="center"/>
                </w:tcPr>
                <w:p w14:paraId="5684DB68">
                  <w:pPr>
                    <w:spacing w:line="240" w:lineRule="auto"/>
                    <w:jc w:val="center"/>
                    <w:rPr>
                      <w:b/>
                      <w:bCs/>
                      <w:sz w:val="21"/>
                      <w:szCs w:val="21"/>
                    </w:rPr>
                  </w:pPr>
                  <w:r>
                    <w:rPr>
                      <w:b/>
                      <w:bCs/>
                      <w:sz w:val="21"/>
                      <w:szCs w:val="21"/>
                    </w:rPr>
                    <w:t>设计能力</w:t>
                  </w:r>
                </w:p>
              </w:tc>
              <w:tc>
                <w:tcPr>
                  <w:tcW w:w="1434" w:type="pct"/>
                  <w:vAlign w:val="center"/>
                </w:tcPr>
                <w:p w14:paraId="5601334B">
                  <w:pPr>
                    <w:spacing w:line="240" w:lineRule="auto"/>
                    <w:jc w:val="center"/>
                    <w:rPr>
                      <w:b/>
                      <w:bCs/>
                      <w:sz w:val="21"/>
                      <w:szCs w:val="21"/>
                    </w:rPr>
                  </w:pPr>
                  <w:r>
                    <w:rPr>
                      <w:b/>
                      <w:bCs/>
                      <w:sz w:val="21"/>
                      <w:szCs w:val="21"/>
                    </w:rPr>
                    <w:t>年运行时数</w:t>
                  </w:r>
                </w:p>
              </w:tc>
            </w:tr>
            <w:tr w14:paraId="7F62D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Align w:val="center"/>
                </w:tcPr>
                <w:p w14:paraId="52455451">
                  <w:pPr>
                    <w:spacing w:line="240" w:lineRule="auto"/>
                    <w:jc w:val="center"/>
                    <w:rPr>
                      <w:rFonts w:hint="eastAsia" w:eastAsia="仿宋"/>
                      <w:sz w:val="21"/>
                      <w:szCs w:val="21"/>
                      <w:lang w:eastAsia="zh-CN"/>
                    </w:rPr>
                  </w:pPr>
                  <w:r>
                    <w:rPr>
                      <w:rFonts w:hint="eastAsia"/>
                      <w:sz w:val="21"/>
                      <w:szCs w:val="21"/>
                      <w:lang w:val="en-US" w:eastAsia="zh-CN"/>
                    </w:rPr>
                    <w:t>1</w:t>
                  </w:r>
                </w:p>
              </w:tc>
              <w:tc>
                <w:tcPr>
                  <w:tcW w:w="521" w:type="pct"/>
                  <w:vMerge w:val="restart"/>
                  <w:vAlign w:val="center"/>
                </w:tcPr>
                <w:p w14:paraId="7611E255">
                  <w:pPr>
                    <w:spacing w:line="240" w:lineRule="auto"/>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铝制零部件</w:t>
                  </w:r>
                </w:p>
              </w:tc>
              <w:tc>
                <w:tcPr>
                  <w:tcW w:w="1344" w:type="pct"/>
                  <w:shd w:val="clear" w:color="auto" w:fill="auto"/>
                  <w:vAlign w:val="center"/>
                </w:tcPr>
                <w:p w14:paraId="2CAD5611">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电机配件</w:t>
                  </w:r>
                </w:p>
              </w:tc>
              <w:tc>
                <w:tcPr>
                  <w:tcW w:w="1209" w:type="pct"/>
                  <w:vAlign w:val="center"/>
                </w:tcPr>
                <w:p w14:paraId="54984CAA">
                  <w:pPr>
                    <w:spacing w:line="240" w:lineRule="auto"/>
                    <w:jc w:val="center"/>
                    <w:rPr>
                      <w:rFonts w:hint="default"/>
                      <w:sz w:val="21"/>
                      <w:szCs w:val="21"/>
                      <w:lang w:val="en-US" w:eastAsia="zh-CN"/>
                    </w:rPr>
                  </w:pPr>
                  <w:r>
                    <w:rPr>
                      <w:rFonts w:hint="eastAsia"/>
                      <w:sz w:val="21"/>
                      <w:szCs w:val="21"/>
                      <w:lang w:val="en-US" w:eastAsia="zh-CN"/>
                    </w:rPr>
                    <w:t>700万件/年</w:t>
                  </w:r>
                </w:p>
              </w:tc>
              <w:tc>
                <w:tcPr>
                  <w:tcW w:w="1434" w:type="pct"/>
                  <w:vMerge w:val="restart"/>
                  <w:vAlign w:val="center"/>
                </w:tcPr>
                <w:p w14:paraId="59D1F2D7">
                  <w:pPr>
                    <w:spacing w:line="240" w:lineRule="auto"/>
                    <w:jc w:val="center"/>
                    <w:rPr>
                      <w:sz w:val="21"/>
                      <w:szCs w:val="21"/>
                    </w:rPr>
                  </w:pPr>
                  <w:r>
                    <w:rPr>
                      <w:rFonts w:hint="eastAsia"/>
                      <w:sz w:val="21"/>
                      <w:szCs w:val="21"/>
                      <w:lang w:val="en-US" w:eastAsia="zh-CN"/>
                    </w:rPr>
                    <w:t>72</w:t>
                  </w:r>
                  <w:r>
                    <w:rPr>
                      <w:rFonts w:hint="eastAsia"/>
                      <w:sz w:val="21"/>
                      <w:szCs w:val="21"/>
                    </w:rPr>
                    <w:t>00h</w:t>
                  </w:r>
                </w:p>
              </w:tc>
            </w:tr>
            <w:tr w14:paraId="163E2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Align w:val="center"/>
                </w:tcPr>
                <w:p w14:paraId="7985B866">
                  <w:pPr>
                    <w:spacing w:line="240" w:lineRule="auto"/>
                    <w:jc w:val="center"/>
                    <w:rPr>
                      <w:rFonts w:hint="default"/>
                      <w:sz w:val="21"/>
                      <w:szCs w:val="21"/>
                      <w:lang w:val="en-US" w:eastAsia="zh-CN"/>
                    </w:rPr>
                  </w:pPr>
                  <w:r>
                    <w:rPr>
                      <w:rFonts w:hint="eastAsia"/>
                      <w:sz w:val="21"/>
                      <w:szCs w:val="21"/>
                      <w:lang w:val="en-US" w:eastAsia="zh-CN"/>
                    </w:rPr>
                    <w:t>2</w:t>
                  </w:r>
                </w:p>
              </w:tc>
              <w:tc>
                <w:tcPr>
                  <w:tcW w:w="521" w:type="pct"/>
                  <w:vMerge w:val="continue"/>
                  <w:vAlign w:val="center"/>
                </w:tcPr>
                <w:p w14:paraId="7A125B6F">
                  <w:pPr>
                    <w:spacing w:line="240" w:lineRule="auto"/>
                    <w:jc w:val="center"/>
                    <w:rPr>
                      <w:rFonts w:hint="default"/>
                      <w:sz w:val="21"/>
                      <w:szCs w:val="21"/>
                      <w:lang w:val="en-US" w:eastAsia="zh-CN"/>
                    </w:rPr>
                  </w:pPr>
                </w:p>
              </w:tc>
              <w:tc>
                <w:tcPr>
                  <w:tcW w:w="1344" w:type="pct"/>
                  <w:shd w:val="clear" w:color="auto" w:fill="auto"/>
                  <w:vAlign w:val="center"/>
                </w:tcPr>
                <w:p w14:paraId="307E5FE2">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新能源汽车配件</w:t>
                  </w:r>
                </w:p>
              </w:tc>
              <w:tc>
                <w:tcPr>
                  <w:tcW w:w="1209" w:type="pct"/>
                  <w:vAlign w:val="center"/>
                </w:tcPr>
                <w:p w14:paraId="261C821F">
                  <w:pPr>
                    <w:spacing w:line="240" w:lineRule="auto"/>
                    <w:jc w:val="center"/>
                    <w:rPr>
                      <w:rFonts w:hint="default"/>
                      <w:sz w:val="21"/>
                      <w:szCs w:val="21"/>
                      <w:lang w:val="en-US" w:eastAsia="zh-CN"/>
                    </w:rPr>
                  </w:pPr>
                  <w:r>
                    <w:rPr>
                      <w:rFonts w:hint="eastAsia"/>
                      <w:sz w:val="21"/>
                      <w:szCs w:val="21"/>
                      <w:lang w:val="en-US" w:eastAsia="zh-CN"/>
                    </w:rPr>
                    <w:t>250万件/年</w:t>
                  </w:r>
                </w:p>
              </w:tc>
              <w:tc>
                <w:tcPr>
                  <w:tcW w:w="1434" w:type="pct"/>
                  <w:vMerge w:val="continue"/>
                  <w:vAlign w:val="center"/>
                </w:tcPr>
                <w:p w14:paraId="61282473">
                  <w:pPr>
                    <w:spacing w:line="240" w:lineRule="auto"/>
                    <w:jc w:val="center"/>
                    <w:rPr>
                      <w:rFonts w:hint="eastAsia"/>
                      <w:sz w:val="21"/>
                      <w:szCs w:val="21"/>
                      <w:lang w:val="en-US" w:eastAsia="zh-CN"/>
                    </w:rPr>
                  </w:pPr>
                </w:p>
              </w:tc>
            </w:tr>
            <w:tr w14:paraId="0D926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Align w:val="center"/>
                </w:tcPr>
                <w:p w14:paraId="7DF2C70D">
                  <w:pPr>
                    <w:spacing w:line="240" w:lineRule="auto"/>
                    <w:jc w:val="center"/>
                    <w:rPr>
                      <w:rFonts w:hint="default"/>
                      <w:sz w:val="21"/>
                      <w:szCs w:val="21"/>
                      <w:lang w:val="en-US" w:eastAsia="zh-CN"/>
                    </w:rPr>
                  </w:pPr>
                  <w:r>
                    <w:rPr>
                      <w:rFonts w:hint="eastAsia"/>
                      <w:sz w:val="21"/>
                      <w:szCs w:val="21"/>
                      <w:lang w:val="en-US" w:eastAsia="zh-CN"/>
                    </w:rPr>
                    <w:t>3</w:t>
                  </w:r>
                </w:p>
              </w:tc>
              <w:tc>
                <w:tcPr>
                  <w:tcW w:w="521" w:type="pct"/>
                  <w:vMerge w:val="continue"/>
                  <w:vAlign w:val="center"/>
                </w:tcPr>
                <w:p w14:paraId="1B4E95E0">
                  <w:pPr>
                    <w:spacing w:line="240" w:lineRule="auto"/>
                    <w:jc w:val="center"/>
                    <w:rPr>
                      <w:rFonts w:hint="default"/>
                      <w:sz w:val="21"/>
                      <w:szCs w:val="21"/>
                      <w:lang w:val="en-US" w:eastAsia="zh-CN"/>
                    </w:rPr>
                  </w:pPr>
                </w:p>
              </w:tc>
              <w:tc>
                <w:tcPr>
                  <w:tcW w:w="1344" w:type="pct"/>
                  <w:shd w:val="clear" w:color="auto" w:fill="auto"/>
                  <w:vAlign w:val="center"/>
                </w:tcPr>
                <w:p w14:paraId="38715F25">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医疗器械配件</w:t>
                  </w:r>
                </w:p>
              </w:tc>
              <w:tc>
                <w:tcPr>
                  <w:tcW w:w="1209" w:type="pct"/>
                  <w:vAlign w:val="center"/>
                </w:tcPr>
                <w:p w14:paraId="228E6362">
                  <w:pPr>
                    <w:spacing w:line="240" w:lineRule="auto"/>
                    <w:jc w:val="center"/>
                    <w:rPr>
                      <w:rFonts w:hint="default"/>
                      <w:sz w:val="21"/>
                      <w:szCs w:val="21"/>
                      <w:lang w:val="en-US" w:eastAsia="zh-CN"/>
                    </w:rPr>
                  </w:pPr>
                  <w:r>
                    <w:rPr>
                      <w:rFonts w:hint="eastAsia"/>
                      <w:sz w:val="21"/>
                      <w:szCs w:val="21"/>
                      <w:lang w:val="en-US" w:eastAsia="zh-CN"/>
                    </w:rPr>
                    <w:t>500万件/年</w:t>
                  </w:r>
                </w:p>
              </w:tc>
              <w:tc>
                <w:tcPr>
                  <w:tcW w:w="1434" w:type="pct"/>
                  <w:vMerge w:val="continue"/>
                  <w:vAlign w:val="center"/>
                </w:tcPr>
                <w:p w14:paraId="00614D68">
                  <w:pPr>
                    <w:spacing w:line="240" w:lineRule="auto"/>
                    <w:jc w:val="center"/>
                    <w:rPr>
                      <w:rFonts w:hint="eastAsia"/>
                      <w:sz w:val="21"/>
                      <w:szCs w:val="21"/>
                      <w:lang w:val="en-US" w:eastAsia="zh-CN"/>
                    </w:rPr>
                  </w:pPr>
                </w:p>
              </w:tc>
            </w:tr>
            <w:tr w14:paraId="39357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Align w:val="center"/>
                </w:tcPr>
                <w:p w14:paraId="531B5536">
                  <w:pPr>
                    <w:spacing w:line="240" w:lineRule="auto"/>
                    <w:jc w:val="center"/>
                    <w:rPr>
                      <w:rFonts w:hint="default"/>
                      <w:sz w:val="21"/>
                      <w:szCs w:val="21"/>
                      <w:lang w:val="en-US" w:eastAsia="zh-CN"/>
                    </w:rPr>
                  </w:pPr>
                  <w:r>
                    <w:rPr>
                      <w:rFonts w:hint="eastAsia"/>
                      <w:sz w:val="21"/>
                      <w:szCs w:val="21"/>
                      <w:lang w:val="en-US" w:eastAsia="zh-CN"/>
                    </w:rPr>
                    <w:t>4</w:t>
                  </w:r>
                </w:p>
              </w:tc>
              <w:tc>
                <w:tcPr>
                  <w:tcW w:w="521" w:type="pct"/>
                  <w:vMerge w:val="continue"/>
                  <w:shd w:val="clear" w:color="auto" w:fill="auto"/>
                  <w:vAlign w:val="center"/>
                </w:tcPr>
                <w:p w14:paraId="137F1217">
                  <w:pPr>
                    <w:spacing w:line="240" w:lineRule="auto"/>
                    <w:jc w:val="center"/>
                    <w:rPr>
                      <w:rFonts w:hint="default" w:ascii="Times New Roman" w:hAnsi="Times New Roman" w:eastAsia="仿宋" w:cs="Times New Roman"/>
                      <w:kern w:val="2"/>
                      <w:sz w:val="21"/>
                      <w:szCs w:val="21"/>
                      <w:lang w:val="en-US" w:eastAsia="zh-CN" w:bidi="ar-SA"/>
                    </w:rPr>
                  </w:pPr>
                </w:p>
              </w:tc>
              <w:tc>
                <w:tcPr>
                  <w:tcW w:w="1344" w:type="pct"/>
                  <w:shd w:val="clear" w:color="auto" w:fill="auto"/>
                  <w:vAlign w:val="center"/>
                </w:tcPr>
                <w:p w14:paraId="1632CCF3">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石化设备配件</w:t>
                  </w:r>
                </w:p>
              </w:tc>
              <w:tc>
                <w:tcPr>
                  <w:tcW w:w="1209" w:type="pct"/>
                  <w:vAlign w:val="center"/>
                </w:tcPr>
                <w:p w14:paraId="30081FFC">
                  <w:pPr>
                    <w:spacing w:line="240" w:lineRule="auto"/>
                    <w:jc w:val="center"/>
                    <w:rPr>
                      <w:rFonts w:hint="default"/>
                      <w:sz w:val="21"/>
                      <w:szCs w:val="21"/>
                      <w:lang w:val="en-US" w:eastAsia="zh-CN"/>
                    </w:rPr>
                  </w:pPr>
                  <w:r>
                    <w:rPr>
                      <w:rFonts w:hint="eastAsia"/>
                      <w:sz w:val="21"/>
                      <w:szCs w:val="21"/>
                      <w:lang w:val="en-US" w:eastAsia="zh-CN"/>
                    </w:rPr>
                    <w:t>50万件/年</w:t>
                  </w:r>
                </w:p>
              </w:tc>
              <w:tc>
                <w:tcPr>
                  <w:tcW w:w="1434" w:type="pct"/>
                  <w:vMerge w:val="continue"/>
                  <w:shd w:val="clear" w:color="auto" w:fill="auto"/>
                  <w:vAlign w:val="center"/>
                </w:tcPr>
                <w:p w14:paraId="269394CE">
                  <w:pPr>
                    <w:spacing w:line="240" w:lineRule="auto"/>
                    <w:jc w:val="center"/>
                    <w:rPr>
                      <w:rFonts w:hint="eastAsia" w:ascii="Times New Roman" w:hAnsi="Times New Roman" w:eastAsia="仿宋" w:cs="Times New Roman"/>
                      <w:kern w:val="2"/>
                      <w:sz w:val="21"/>
                      <w:szCs w:val="21"/>
                      <w:lang w:val="en-US" w:eastAsia="zh-CN" w:bidi="ar-SA"/>
                    </w:rPr>
                  </w:pPr>
                </w:p>
              </w:tc>
            </w:tr>
            <w:tr w14:paraId="328E2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6" w:type="pct"/>
                  <w:gridSpan w:val="3"/>
                  <w:vAlign w:val="center"/>
                </w:tcPr>
                <w:p w14:paraId="1989487B">
                  <w:pPr>
                    <w:spacing w:line="240" w:lineRule="auto"/>
                    <w:jc w:val="center"/>
                    <w:rPr>
                      <w:rFonts w:hint="default"/>
                      <w:b/>
                      <w:bCs/>
                      <w:sz w:val="21"/>
                      <w:szCs w:val="21"/>
                      <w:lang w:val="en-US" w:eastAsia="zh-CN"/>
                    </w:rPr>
                  </w:pPr>
                  <w:r>
                    <w:rPr>
                      <w:rFonts w:hint="eastAsia"/>
                      <w:b/>
                      <w:bCs/>
                      <w:sz w:val="21"/>
                      <w:szCs w:val="21"/>
                      <w:lang w:val="en-US" w:eastAsia="zh-CN"/>
                    </w:rPr>
                    <w:t>合计</w:t>
                  </w:r>
                </w:p>
              </w:tc>
              <w:tc>
                <w:tcPr>
                  <w:tcW w:w="1209" w:type="pct"/>
                  <w:vAlign w:val="center"/>
                </w:tcPr>
                <w:p w14:paraId="245EB217">
                  <w:pPr>
                    <w:spacing w:line="240" w:lineRule="auto"/>
                    <w:jc w:val="center"/>
                    <w:rPr>
                      <w:rFonts w:hint="default"/>
                      <w:b/>
                      <w:bCs/>
                      <w:sz w:val="21"/>
                      <w:szCs w:val="21"/>
                      <w:lang w:val="en-US" w:eastAsia="zh-CN"/>
                    </w:rPr>
                  </w:pPr>
                  <w:r>
                    <w:rPr>
                      <w:rFonts w:hint="eastAsia"/>
                      <w:b/>
                      <w:bCs/>
                      <w:sz w:val="21"/>
                      <w:szCs w:val="21"/>
                      <w:lang w:val="en-US" w:eastAsia="zh-CN"/>
                    </w:rPr>
                    <w:t>500万件/年</w:t>
                  </w:r>
                </w:p>
              </w:tc>
              <w:tc>
                <w:tcPr>
                  <w:tcW w:w="1434" w:type="pct"/>
                  <w:shd w:val="clear" w:color="auto" w:fill="auto"/>
                  <w:vAlign w:val="center"/>
                </w:tcPr>
                <w:p w14:paraId="56542A37">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72</w:t>
                  </w:r>
                  <w:r>
                    <w:rPr>
                      <w:rFonts w:hint="eastAsia"/>
                      <w:b/>
                      <w:bCs/>
                      <w:sz w:val="21"/>
                      <w:szCs w:val="21"/>
                    </w:rPr>
                    <w:t>00h</w:t>
                  </w:r>
                </w:p>
              </w:tc>
            </w:tr>
          </w:tbl>
          <w:p w14:paraId="3D0CA249">
            <w:pPr>
              <w:snapToGrid w:val="0"/>
              <w:spacing w:line="240" w:lineRule="auto"/>
              <w:jc w:val="center"/>
              <w:rPr>
                <w:b/>
                <w:sz w:val="21"/>
                <w:szCs w:val="21"/>
                <w:highlight w:val="yellow"/>
              </w:rPr>
            </w:pPr>
          </w:p>
          <w:p w14:paraId="19B3D8A5">
            <w:pPr>
              <w:snapToGrid w:val="0"/>
              <w:spacing w:line="240" w:lineRule="auto"/>
              <w:jc w:val="center"/>
              <w:rPr>
                <w:b/>
                <w:sz w:val="21"/>
                <w:szCs w:val="21"/>
                <w:highlight w:val="yellow"/>
              </w:rPr>
            </w:pPr>
          </w:p>
          <w:p w14:paraId="125B06E4">
            <w:pPr>
              <w:snapToGrid w:val="0"/>
              <w:spacing w:line="240" w:lineRule="auto"/>
              <w:jc w:val="center"/>
              <w:rPr>
                <w:b/>
                <w:sz w:val="21"/>
                <w:szCs w:val="21"/>
                <w:highlight w:val="yellow"/>
              </w:rPr>
            </w:pPr>
          </w:p>
          <w:p w14:paraId="17A8CB43">
            <w:pPr>
              <w:snapToGrid w:val="0"/>
              <w:spacing w:line="240" w:lineRule="auto"/>
              <w:jc w:val="center"/>
              <w:rPr>
                <w:b/>
                <w:sz w:val="21"/>
                <w:szCs w:val="21"/>
                <w:highlight w:val="yellow"/>
              </w:rPr>
            </w:pPr>
          </w:p>
          <w:p w14:paraId="511B7577">
            <w:pPr>
              <w:snapToGrid w:val="0"/>
              <w:spacing w:line="240" w:lineRule="auto"/>
              <w:jc w:val="center"/>
              <w:rPr>
                <w:b/>
                <w:sz w:val="21"/>
                <w:szCs w:val="21"/>
                <w:highlight w:val="yellow"/>
              </w:rPr>
            </w:pPr>
          </w:p>
          <w:p w14:paraId="3EC93193">
            <w:pPr>
              <w:snapToGrid w:val="0"/>
              <w:spacing w:line="240" w:lineRule="auto"/>
              <w:jc w:val="center"/>
              <w:rPr>
                <w:b/>
                <w:sz w:val="21"/>
                <w:szCs w:val="21"/>
                <w:highlight w:val="yellow"/>
              </w:rPr>
            </w:pPr>
          </w:p>
          <w:p w14:paraId="3147C234">
            <w:pPr>
              <w:snapToGrid w:val="0"/>
              <w:spacing w:line="240" w:lineRule="auto"/>
              <w:jc w:val="center"/>
              <w:rPr>
                <w:b/>
                <w:sz w:val="21"/>
                <w:szCs w:val="21"/>
                <w:highlight w:val="yellow"/>
              </w:rPr>
            </w:pPr>
          </w:p>
          <w:p w14:paraId="1D26FB0D">
            <w:pPr>
              <w:pStyle w:val="2"/>
            </w:pPr>
          </w:p>
          <w:p w14:paraId="1B49FC25">
            <w:pPr>
              <w:snapToGrid w:val="0"/>
              <w:spacing w:line="240" w:lineRule="auto"/>
              <w:jc w:val="center"/>
              <w:rPr>
                <w:b/>
                <w:sz w:val="21"/>
                <w:szCs w:val="21"/>
                <w:highlight w:val="none"/>
              </w:rPr>
            </w:pPr>
            <w:r>
              <w:rPr>
                <w:b/>
                <w:sz w:val="21"/>
                <w:szCs w:val="21"/>
                <w:highlight w:val="none"/>
              </w:rPr>
              <w:t>表</w:t>
            </w:r>
            <w:r>
              <w:rPr>
                <w:rFonts w:hint="eastAsia"/>
                <w:b/>
                <w:sz w:val="21"/>
                <w:szCs w:val="21"/>
                <w:highlight w:val="none"/>
              </w:rPr>
              <w:t>2</w:t>
            </w:r>
            <w:r>
              <w:rPr>
                <w:b/>
                <w:sz w:val="21"/>
                <w:szCs w:val="21"/>
                <w:highlight w:val="none"/>
              </w:rPr>
              <w:t>-</w:t>
            </w:r>
            <w:r>
              <w:rPr>
                <w:rFonts w:hint="eastAsia"/>
                <w:b/>
                <w:sz w:val="21"/>
                <w:szCs w:val="21"/>
                <w:highlight w:val="none"/>
              </w:rPr>
              <w:t>2</w:t>
            </w:r>
            <w:r>
              <w:rPr>
                <w:b/>
                <w:sz w:val="21"/>
                <w:szCs w:val="21"/>
                <w:highlight w:val="none"/>
              </w:rPr>
              <w:t xml:space="preserve">  </w:t>
            </w:r>
            <w:r>
              <w:rPr>
                <w:rFonts w:hint="eastAsia"/>
                <w:b/>
                <w:sz w:val="21"/>
                <w:szCs w:val="21"/>
                <w:highlight w:val="none"/>
                <w:lang w:val="en-US" w:eastAsia="zh-CN"/>
              </w:rPr>
              <w:t>铝制零部件</w:t>
            </w:r>
            <w:r>
              <w:rPr>
                <w:rFonts w:hint="eastAsia"/>
                <w:b/>
                <w:sz w:val="21"/>
                <w:szCs w:val="21"/>
                <w:highlight w:val="none"/>
              </w:rPr>
              <w:t>参数表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8"/>
              <w:gridCol w:w="570"/>
              <w:gridCol w:w="1365"/>
              <w:gridCol w:w="3465"/>
              <w:gridCol w:w="1335"/>
              <w:gridCol w:w="1138"/>
            </w:tblGrid>
            <w:tr w14:paraId="565CD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240" w:type="pct"/>
                  <w:tcMar>
                    <w:left w:w="0" w:type="dxa"/>
                    <w:right w:w="0" w:type="dxa"/>
                  </w:tcMar>
                  <w:vAlign w:val="center"/>
                </w:tcPr>
                <w:p w14:paraId="24F4DB33">
                  <w:pPr>
                    <w:widowControl/>
                    <w:spacing w:line="240" w:lineRule="auto"/>
                    <w:jc w:val="center"/>
                    <w:rPr>
                      <w:b/>
                      <w:bCs/>
                      <w:kern w:val="0"/>
                      <w:sz w:val="21"/>
                      <w:szCs w:val="21"/>
                    </w:rPr>
                  </w:pPr>
                  <w:r>
                    <w:rPr>
                      <w:b/>
                      <w:bCs/>
                      <w:kern w:val="0"/>
                      <w:sz w:val="21"/>
                      <w:szCs w:val="21"/>
                    </w:rPr>
                    <w:t>序号</w:t>
                  </w:r>
                </w:p>
              </w:tc>
              <w:tc>
                <w:tcPr>
                  <w:tcW w:w="344" w:type="pct"/>
                  <w:tcMar>
                    <w:left w:w="0" w:type="dxa"/>
                    <w:right w:w="0" w:type="dxa"/>
                  </w:tcMar>
                  <w:vAlign w:val="center"/>
                </w:tcPr>
                <w:p w14:paraId="1366946B">
                  <w:pPr>
                    <w:widowControl/>
                    <w:spacing w:line="240" w:lineRule="auto"/>
                    <w:jc w:val="center"/>
                    <w:rPr>
                      <w:b/>
                      <w:bCs/>
                      <w:kern w:val="0"/>
                      <w:sz w:val="21"/>
                      <w:szCs w:val="21"/>
                    </w:rPr>
                  </w:pPr>
                  <w:r>
                    <w:rPr>
                      <w:rFonts w:hint="eastAsia"/>
                      <w:b/>
                      <w:bCs/>
                      <w:kern w:val="0"/>
                      <w:sz w:val="21"/>
                      <w:szCs w:val="21"/>
                    </w:rPr>
                    <w:t>产品名称</w:t>
                  </w:r>
                </w:p>
              </w:tc>
              <w:tc>
                <w:tcPr>
                  <w:tcW w:w="825" w:type="pct"/>
                  <w:vAlign w:val="center"/>
                </w:tcPr>
                <w:p w14:paraId="324611A1">
                  <w:pPr>
                    <w:widowControl/>
                    <w:spacing w:line="240" w:lineRule="auto"/>
                    <w:jc w:val="center"/>
                    <w:rPr>
                      <w:b/>
                      <w:bCs/>
                      <w:kern w:val="0"/>
                      <w:sz w:val="21"/>
                      <w:szCs w:val="21"/>
                    </w:rPr>
                  </w:pPr>
                  <w:r>
                    <w:rPr>
                      <w:rFonts w:hint="eastAsia"/>
                      <w:b/>
                      <w:bCs/>
                      <w:kern w:val="0"/>
                      <w:sz w:val="21"/>
                      <w:szCs w:val="21"/>
                      <w:highlight w:val="none"/>
                    </w:rPr>
                    <w:t>产品规格</w:t>
                  </w:r>
                </w:p>
              </w:tc>
              <w:tc>
                <w:tcPr>
                  <w:tcW w:w="2094" w:type="pct"/>
                  <w:vAlign w:val="center"/>
                </w:tcPr>
                <w:p w14:paraId="780F1C0B">
                  <w:pPr>
                    <w:widowControl/>
                    <w:spacing w:line="240" w:lineRule="auto"/>
                    <w:jc w:val="center"/>
                    <w:rPr>
                      <w:b/>
                      <w:bCs/>
                      <w:kern w:val="0"/>
                      <w:sz w:val="21"/>
                      <w:szCs w:val="21"/>
                    </w:rPr>
                  </w:pPr>
                  <w:r>
                    <w:rPr>
                      <w:rFonts w:hint="eastAsia"/>
                      <w:b/>
                      <w:bCs/>
                      <w:kern w:val="0"/>
                      <w:sz w:val="21"/>
                      <w:szCs w:val="21"/>
                    </w:rPr>
                    <w:t>产品照片</w:t>
                  </w:r>
                </w:p>
              </w:tc>
              <w:tc>
                <w:tcPr>
                  <w:tcW w:w="807" w:type="pct"/>
                  <w:vAlign w:val="center"/>
                </w:tcPr>
                <w:p w14:paraId="15CB795D">
                  <w:pPr>
                    <w:widowControl/>
                    <w:spacing w:line="240" w:lineRule="auto"/>
                    <w:jc w:val="center"/>
                    <w:rPr>
                      <w:rFonts w:hint="eastAsia" w:eastAsia="仿宋"/>
                      <w:b/>
                      <w:bCs/>
                      <w:kern w:val="0"/>
                      <w:sz w:val="21"/>
                      <w:szCs w:val="21"/>
                      <w:lang w:val="en-US" w:eastAsia="zh-CN"/>
                    </w:rPr>
                  </w:pPr>
                  <w:r>
                    <w:rPr>
                      <w:rFonts w:hint="eastAsia"/>
                      <w:b/>
                      <w:bCs/>
                      <w:kern w:val="0"/>
                      <w:sz w:val="21"/>
                      <w:szCs w:val="21"/>
                      <w:lang w:val="en-US" w:eastAsia="zh-CN"/>
                    </w:rPr>
                    <w:t>设计能力</w:t>
                  </w:r>
                </w:p>
              </w:tc>
              <w:tc>
                <w:tcPr>
                  <w:tcW w:w="687" w:type="pct"/>
                  <w:vAlign w:val="center"/>
                </w:tcPr>
                <w:p w14:paraId="073BBC0D">
                  <w:pPr>
                    <w:widowControl/>
                    <w:spacing w:line="240" w:lineRule="auto"/>
                    <w:jc w:val="center"/>
                    <w:rPr>
                      <w:rFonts w:hint="eastAsia" w:eastAsia="仿宋"/>
                      <w:b/>
                      <w:bCs/>
                      <w:kern w:val="0"/>
                      <w:sz w:val="21"/>
                      <w:szCs w:val="21"/>
                      <w:lang w:val="en-US" w:eastAsia="zh-CN"/>
                    </w:rPr>
                  </w:pPr>
                  <w:r>
                    <w:rPr>
                      <w:rFonts w:hint="eastAsia"/>
                      <w:b/>
                      <w:bCs/>
                      <w:kern w:val="0"/>
                      <w:sz w:val="21"/>
                      <w:szCs w:val="21"/>
                      <w:lang w:val="en-US" w:eastAsia="zh-CN"/>
                    </w:rPr>
                    <w:t>产量（t/a）</w:t>
                  </w:r>
                </w:p>
              </w:tc>
            </w:tr>
            <w:tr w14:paraId="6B0A0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240" w:type="pct"/>
                  <w:tcMar>
                    <w:left w:w="0" w:type="dxa"/>
                    <w:right w:w="0" w:type="dxa"/>
                  </w:tcMar>
                  <w:vAlign w:val="center"/>
                </w:tcPr>
                <w:p w14:paraId="387C6500">
                  <w:pPr>
                    <w:widowControl/>
                    <w:spacing w:line="240" w:lineRule="auto"/>
                    <w:jc w:val="center"/>
                    <w:rPr>
                      <w:sz w:val="21"/>
                      <w:szCs w:val="21"/>
                    </w:rPr>
                  </w:pPr>
                  <w:r>
                    <w:rPr>
                      <w:rFonts w:hint="eastAsia"/>
                      <w:sz w:val="21"/>
                      <w:szCs w:val="21"/>
                    </w:rPr>
                    <w:t>1</w:t>
                  </w:r>
                </w:p>
              </w:tc>
              <w:tc>
                <w:tcPr>
                  <w:tcW w:w="344" w:type="pct"/>
                  <w:tcMar>
                    <w:left w:w="0" w:type="dxa"/>
                    <w:right w:w="0" w:type="dxa"/>
                  </w:tcMar>
                  <w:vAlign w:val="center"/>
                </w:tcPr>
                <w:p w14:paraId="2AFB6742">
                  <w:pPr>
                    <w:widowControl/>
                    <w:spacing w:line="240" w:lineRule="auto"/>
                    <w:jc w:val="center"/>
                    <w:rPr>
                      <w:rFonts w:hint="default" w:eastAsia="仿宋"/>
                      <w:sz w:val="21"/>
                      <w:szCs w:val="21"/>
                      <w:lang w:val="en-US" w:eastAsia="zh-CN"/>
                    </w:rPr>
                  </w:pPr>
                  <w:r>
                    <w:rPr>
                      <w:rFonts w:hint="eastAsia"/>
                      <w:sz w:val="21"/>
                      <w:szCs w:val="21"/>
                      <w:lang w:val="en-US" w:eastAsia="zh-CN"/>
                    </w:rPr>
                    <w:t>电机配件</w:t>
                  </w:r>
                </w:p>
              </w:tc>
              <w:tc>
                <w:tcPr>
                  <w:tcW w:w="825" w:type="pct"/>
                  <w:vAlign w:val="center"/>
                </w:tcPr>
                <w:p w14:paraId="70CCB621">
                  <w:pPr>
                    <w:widowControl/>
                    <w:spacing w:line="240" w:lineRule="auto"/>
                    <w:jc w:val="center"/>
                    <w:rPr>
                      <w:rFonts w:hint="eastAsia"/>
                      <w:sz w:val="21"/>
                      <w:szCs w:val="21"/>
                      <w:lang w:val="en-US" w:eastAsia="zh-CN"/>
                    </w:rPr>
                  </w:pPr>
                  <w:r>
                    <w:rPr>
                      <w:rFonts w:hint="eastAsia"/>
                      <w:sz w:val="21"/>
                      <w:szCs w:val="21"/>
                      <w:lang w:val="en-US" w:eastAsia="zh-CN"/>
                    </w:rPr>
                    <w:t>直径=15cm~28cm；</w:t>
                  </w:r>
                </w:p>
                <w:p w14:paraId="54CE7834">
                  <w:pPr>
                    <w:pStyle w:val="2"/>
                    <w:ind w:right="113" w:rightChars="0"/>
                    <w:jc w:val="center"/>
                    <w:rPr>
                      <w:rFonts w:hint="default" w:eastAsia="仿宋"/>
                      <w:sz w:val="21"/>
                      <w:szCs w:val="21"/>
                      <w:lang w:val="en-US" w:eastAsia="zh-CN"/>
                    </w:rPr>
                  </w:pPr>
                  <w:r>
                    <w:rPr>
                      <w:rFonts w:hint="eastAsia"/>
                      <w:sz w:val="21"/>
                      <w:szCs w:val="21"/>
                      <w:lang w:val="en-US" w:eastAsia="zh-CN"/>
                    </w:rPr>
                    <w:t>300-500g/件</w:t>
                  </w:r>
                </w:p>
              </w:tc>
              <w:tc>
                <w:tcPr>
                  <w:tcW w:w="2094" w:type="pct"/>
                  <w:vAlign w:val="center"/>
                </w:tcPr>
                <w:p w14:paraId="6D892AF7">
                  <w:pPr>
                    <w:widowControl/>
                    <w:spacing w:line="240" w:lineRule="auto"/>
                    <w:jc w:val="center"/>
                    <w:rPr>
                      <w:sz w:val="21"/>
                      <w:szCs w:val="21"/>
                    </w:rPr>
                  </w:pPr>
                  <w:r>
                    <w:drawing>
                      <wp:inline distT="0" distB="0" distL="114300" distR="114300">
                        <wp:extent cx="1699260" cy="1599565"/>
                        <wp:effectExtent l="0" t="0" r="15240" b="63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1699260" cy="1599565"/>
                                </a:xfrm>
                                <a:prstGeom prst="rect">
                                  <a:avLst/>
                                </a:prstGeom>
                              </pic:spPr>
                            </pic:pic>
                          </a:graphicData>
                        </a:graphic>
                      </wp:inline>
                    </w:drawing>
                  </w:r>
                </w:p>
              </w:tc>
              <w:tc>
                <w:tcPr>
                  <w:tcW w:w="807" w:type="pct"/>
                  <w:vAlign w:val="center"/>
                </w:tcPr>
                <w:p w14:paraId="75029AA4">
                  <w:pPr>
                    <w:spacing w:line="240" w:lineRule="auto"/>
                    <w:jc w:val="center"/>
                  </w:pPr>
                  <w:r>
                    <w:rPr>
                      <w:rFonts w:hint="eastAsia"/>
                      <w:sz w:val="21"/>
                      <w:szCs w:val="21"/>
                      <w:lang w:val="en-US" w:eastAsia="zh-CN"/>
                    </w:rPr>
                    <w:t>700万件/年</w:t>
                  </w:r>
                </w:p>
              </w:tc>
              <w:tc>
                <w:tcPr>
                  <w:tcW w:w="687" w:type="pct"/>
                  <w:vAlign w:val="center"/>
                </w:tcPr>
                <w:p w14:paraId="325E705E">
                  <w:pPr>
                    <w:widowControl/>
                    <w:spacing w:line="240" w:lineRule="auto"/>
                    <w:jc w:val="center"/>
                    <w:rPr>
                      <w:rFonts w:hint="default" w:eastAsia="仿宋"/>
                      <w:sz w:val="21"/>
                      <w:szCs w:val="21"/>
                      <w:lang w:val="en-US" w:eastAsia="zh-CN"/>
                    </w:rPr>
                  </w:pPr>
                  <w:r>
                    <w:rPr>
                      <w:rFonts w:hint="eastAsia"/>
                      <w:sz w:val="21"/>
                      <w:szCs w:val="21"/>
                      <w:lang w:val="en-US" w:eastAsia="zh-CN"/>
                    </w:rPr>
                    <w:t>2100-3500</w:t>
                  </w:r>
                </w:p>
              </w:tc>
            </w:tr>
            <w:tr w14:paraId="5C331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240" w:type="pct"/>
                  <w:tcMar>
                    <w:left w:w="0" w:type="dxa"/>
                    <w:right w:w="0" w:type="dxa"/>
                  </w:tcMar>
                  <w:vAlign w:val="center"/>
                </w:tcPr>
                <w:p w14:paraId="7F6A0F9A">
                  <w:pPr>
                    <w:widowControl/>
                    <w:spacing w:line="240" w:lineRule="auto"/>
                    <w:jc w:val="center"/>
                    <w:rPr>
                      <w:rFonts w:hint="eastAsia" w:eastAsia="仿宋"/>
                      <w:sz w:val="21"/>
                      <w:szCs w:val="21"/>
                      <w:lang w:val="en-US" w:eastAsia="zh-CN"/>
                    </w:rPr>
                  </w:pPr>
                  <w:r>
                    <w:rPr>
                      <w:rFonts w:hint="eastAsia"/>
                      <w:sz w:val="21"/>
                      <w:szCs w:val="21"/>
                      <w:lang w:val="en-US" w:eastAsia="zh-CN"/>
                    </w:rPr>
                    <w:t>2</w:t>
                  </w:r>
                </w:p>
              </w:tc>
              <w:tc>
                <w:tcPr>
                  <w:tcW w:w="344" w:type="pct"/>
                  <w:tcMar>
                    <w:left w:w="0" w:type="dxa"/>
                    <w:right w:w="0" w:type="dxa"/>
                  </w:tcMar>
                  <w:vAlign w:val="center"/>
                </w:tcPr>
                <w:p w14:paraId="24C5270E">
                  <w:pPr>
                    <w:spacing w:line="240" w:lineRule="auto"/>
                    <w:jc w:val="center"/>
                    <w:rPr>
                      <w:rFonts w:hint="default"/>
                      <w:sz w:val="21"/>
                      <w:szCs w:val="21"/>
                      <w:lang w:val="en-US" w:eastAsia="zh-CN"/>
                    </w:rPr>
                  </w:pPr>
                  <w:r>
                    <w:rPr>
                      <w:rFonts w:hint="eastAsia"/>
                      <w:sz w:val="21"/>
                      <w:szCs w:val="21"/>
                      <w:lang w:val="en-US" w:eastAsia="zh-CN"/>
                    </w:rPr>
                    <w:t>新能源汽车配件</w:t>
                  </w:r>
                </w:p>
              </w:tc>
              <w:tc>
                <w:tcPr>
                  <w:tcW w:w="825" w:type="pct"/>
                  <w:vAlign w:val="center"/>
                </w:tcPr>
                <w:p w14:paraId="3CF9B7F1">
                  <w:pPr>
                    <w:widowControl/>
                    <w:spacing w:line="240" w:lineRule="auto"/>
                    <w:jc w:val="center"/>
                    <w:rPr>
                      <w:rFonts w:hint="default" w:eastAsia="仿宋"/>
                      <w:sz w:val="21"/>
                      <w:szCs w:val="21"/>
                      <w:lang w:val="en-US" w:eastAsia="zh-CN"/>
                    </w:rPr>
                  </w:pPr>
                  <w:r>
                    <w:rPr>
                      <w:rFonts w:hint="eastAsia"/>
                      <w:sz w:val="21"/>
                      <w:szCs w:val="21"/>
                      <w:lang w:val="en-US" w:eastAsia="zh-CN"/>
                    </w:rPr>
                    <w:t>50-150g/件</w:t>
                  </w:r>
                </w:p>
              </w:tc>
              <w:tc>
                <w:tcPr>
                  <w:tcW w:w="2094" w:type="pct"/>
                  <w:vAlign w:val="center"/>
                </w:tcPr>
                <w:p w14:paraId="68F116D3">
                  <w:pPr>
                    <w:widowControl/>
                    <w:spacing w:line="240" w:lineRule="auto"/>
                    <w:jc w:val="center"/>
                  </w:pPr>
                  <w:r>
                    <w:drawing>
                      <wp:inline distT="0" distB="0" distL="114300" distR="114300">
                        <wp:extent cx="1711960" cy="979170"/>
                        <wp:effectExtent l="0" t="0" r="2540" b="1143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1711960" cy="979170"/>
                                </a:xfrm>
                                <a:prstGeom prst="rect">
                                  <a:avLst/>
                                </a:prstGeom>
                              </pic:spPr>
                            </pic:pic>
                          </a:graphicData>
                        </a:graphic>
                      </wp:inline>
                    </w:drawing>
                  </w:r>
                </w:p>
              </w:tc>
              <w:tc>
                <w:tcPr>
                  <w:tcW w:w="807" w:type="pct"/>
                  <w:vAlign w:val="center"/>
                </w:tcPr>
                <w:p w14:paraId="437AFCD9">
                  <w:pPr>
                    <w:spacing w:line="240" w:lineRule="auto"/>
                    <w:jc w:val="center"/>
                  </w:pPr>
                  <w:r>
                    <w:rPr>
                      <w:rFonts w:hint="eastAsia"/>
                      <w:sz w:val="21"/>
                      <w:szCs w:val="21"/>
                      <w:lang w:val="en-US" w:eastAsia="zh-CN"/>
                    </w:rPr>
                    <w:t>250万件/年</w:t>
                  </w:r>
                </w:p>
              </w:tc>
              <w:tc>
                <w:tcPr>
                  <w:tcW w:w="687" w:type="pct"/>
                  <w:vAlign w:val="center"/>
                </w:tcPr>
                <w:p w14:paraId="11C5589E">
                  <w:pPr>
                    <w:widowControl/>
                    <w:spacing w:line="240" w:lineRule="auto"/>
                    <w:jc w:val="center"/>
                    <w:rPr>
                      <w:rFonts w:hint="default" w:eastAsia="仿宋"/>
                      <w:sz w:val="21"/>
                      <w:szCs w:val="21"/>
                      <w:lang w:val="en-US" w:eastAsia="zh-CN"/>
                    </w:rPr>
                  </w:pPr>
                  <w:r>
                    <w:rPr>
                      <w:rFonts w:hint="eastAsia"/>
                      <w:sz w:val="21"/>
                      <w:szCs w:val="21"/>
                      <w:lang w:val="en-US" w:eastAsia="zh-CN"/>
                    </w:rPr>
                    <w:t>125-375</w:t>
                  </w:r>
                </w:p>
              </w:tc>
            </w:tr>
            <w:tr w14:paraId="59160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240" w:type="pct"/>
                  <w:tcMar>
                    <w:left w:w="0" w:type="dxa"/>
                    <w:right w:w="0" w:type="dxa"/>
                  </w:tcMar>
                  <w:vAlign w:val="center"/>
                </w:tcPr>
                <w:p w14:paraId="46AC732D">
                  <w:pPr>
                    <w:widowControl/>
                    <w:spacing w:line="240" w:lineRule="auto"/>
                    <w:jc w:val="center"/>
                    <w:rPr>
                      <w:rFonts w:hint="default"/>
                      <w:sz w:val="21"/>
                      <w:szCs w:val="21"/>
                      <w:lang w:val="en-US" w:eastAsia="zh-CN"/>
                    </w:rPr>
                  </w:pPr>
                  <w:r>
                    <w:rPr>
                      <w:rFonts w:hint="eastAsia"/>
                      <w:sz w:val="21"/>
                      <w:szCs w:val="21"/>
                      <w:lang w:val="en-US" w:eastAsia="zh-CN"/>
                    </w:rPr>
                    <w:t>3</w:t>
                  </w:r>
                </w:p>
              </w:tc>
              <w:tc>
                <w:tcPr>
                  <w:tcW w:w="344" w:type="pct"/>
                  <w:shd w:val="clear" w:color="auto" w:fill="auto"/>
                  <w:tcMar>
                    <w:left w:w="0" w:type="dxa"/>
                    <w:right w:w="0" w:type="dxa"/>
                  </w:tcMar>
                  <w:vAlign w:val="center"/>
                </w:tcPr>
                <w:p w14:paraId="44A2B98B">
                  <w:pPr>
                    <w:widowControl/>
                    <w:spacing w:line="240" w:lineRule="auto"/>
                    <w:jc w:val="center"/>
                    <w:rPr>
                      <w:rFonts w:hint="eastAsia"/>
                      <w:sz w:val="21"/>
                      <w:szCs w:val="21"/>
                      <w:lang w:val="en-US" w:eastAsia="zh-CN"/>
                    </w:rPr>
                  </w:pPr>
                  <w:r>
                    <w:rPr>
                      <w:rFonts w:hint="eastAsia"/>
                      <w:sz w:val="21"/>
                      <w:szCs w:val="21"/>
                      <w:lang w:val="en-US" w:eastAsia="zh-CN"/>
                    </w:rPr>
                    <w:t>医疗器械配件</w:t>
                  </w:r>
                </w:p>
              </w:tc>
              <w:tc>
                <w:tcPr>
                  <w:tcW w:w="825" w:type="pct"/>
                  <w:vAlign w:val="center"/>
                </w:tcPr>
                <w:p w14:paraId="1FD0F2B3">
                  <w:pPr>
                    <w:widowControl/>
                    <w:spacing w:line="240" w:lineRule="auto"/>
                    <w:jc w:val="center"/>
                    <w:rPr>
                      <w:rFonts w:hint="eastAsia" w:eastAsia="仿宋"/>
                      <w:sz w:val="21"/>
                      <w:szCs w:val="21"/>
                      <w:lang w:val="en-US" w:eastAsia="zh-CN"/>
                    </w:rPr>
                  </w:pPr>
                  <w:r>
                    <w:rPr>
                      <w:rFonts w:hint="eastAsia"/>
                      <w:sz w:val="21"/>
                      <w:szCs w:val="21"/>
                      <w:lang w:val="en-US" w:eastAsia="zh-CN"/>
                    </w:rPr>
                    <w:t>50-150g/件</w:t>
                  </w:r>
                </w:p>
              </w:tc>
              <w:tc>
                <w:tcPr>
                  <w:tcW w:w="2094" w:type="pct"/>
                  <w:vAlign w:val="center"/>
                </w:tcPr>
                <w:p w14:paraId="18BCD56F">
                  <w:pPr>
                    <w:widowControl/>
                    <w:spacing w:line="240" w:lineRule="auto"/>
                    <w:jc w:val="center"/>
                  </w:pPr>
                  <w:r>
                    <w:drawing>
                      <wp:inline distT="0" distB="0" distL="114300" distR="114300">
                        <wp:extent cx="1733550" cy="1369695"/>
                        <wp:effectExtent l="0" t="0" r="0" b="19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stretch>
                                  <a:fillRect/>
                                </a:stretch>
                              </pic:blipFill>
                              <pic:spPr>
                                <a:xfrm>
                                  <a:off x="0" y="0"/>
                                  <a:ext cx="1733550" cy="1369695"/>
                                </a:xfrm>
                                <a:prstGeom prst="rect">
                                  <a:avLst/>
                                </a:prstGeom>
                              </pic:spPr>
                            </pic:pic>
                          </a:graphicData>
                        </a:graphic>
                      </wp:inline>
                    </w:drawing>
                  </w:r>
                </w:p>
              </w:tc>
              <w:tc>
                <w:tcPr>
                  <w:tcW w:w="807" w:type="pct"/>
                  <w:vAlign w:val="center"/>
                </w:tcPr>
                <w:p w14:paraId="6EC480F7">
                  <w:pPr>
                    <w:spacing w:line="240" w:lineRule="auto"/>
                    <w:jc w:val="center"/>
                  </w:pPr>
                  <w:r>
                    <w:rPr>
                      <w:rFonts w:hint="eastAsia"/>
                      <w:sz w:val="21"/>
                      <w:szCs w:val="21"/>
                      <w:lang w:val="en-US" w:eastAsia="zh-CN"/>
                    </w:rPr>
                    <w:t>500万件/年</w:t>
                  </w:r>
                </w:p>
              </w:tc>
              <w:tc>
                <w:tcPr>
                  <w:tcW w:w="687" w:type="pct"/>
                  <w:vAlign w:val="center"/>
                </w:tcPr>
                <w:p w14:paraId="2D451495">
                  <w:pPr>
                    <w:widowControl/>
                    <w:spacing w:line="240" w:lineRule="auto"/>
                    <w:jc w:val="center"/>
                    <w:rPr>
                      <w:rFonts w:hint="default" w:eastAsia="仿宋"/>
                      <w:sz w:val="21"/>
                      <w:szCs w:val="21"/>
                      <w:lang w:val="en-US" w:eastAsia="zh-CN"/>
                    </w:rPr>
                  </w:pPr>
                  <w:r>
                    <w:rPr>
                      <w:rFonts w:hint="eastAsia"/>
                      <w:sz w:val="21"/>
                      <w:szCs w:val="21"/>
                      <w:lang w:val="en-US" w:eastAsia="zh-CN"/>
                    </w:rPr>
                    <w:t>250-750</w:t>
                  </w:r>
                </w:p>
              </w:tc>
            </w:tr>
            <w:tr w14:paraId="591AD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240" w:type="pct"/>
                  <w:tcMar>
                    <w:left w:w="0" w:type="dxa"/>
                    <w:right w:w="0" w:type="dxa"/>
                  </w:tcMar>
                  <w:vAlign w:val="center"/>
                </w:tcPr>
                <w:p w14:paraId="581AB569">
                  <w:pPr>
                    <w:widowControl/>
                    <w:spacing w:line="240" w:lineRule="auto"/>
                    <w:jc w:val="center"/>
                    <w:rPr>
                      <w:rFonts w:hint="default"/>
                      <w:sz w:val="21"/>
                      <w:szCs w:val="21"/>
                      <w:lang w:val="en-US" w:eastAsia="zh-CN"/>
                    </w:rPr>
                  </w:pPr>
                  <w:r>
                    <w:rPr>
                      <w:rFonts w:hint="eastAsia"/>
                      <w:sz w:val="21"/>
                      <w:szCs w:val="21"/>
                      <w:lang w:val="en-US" w:eastAsia="zh-CN"/>
                    </w:rPr>
                    <w:t>4</w:t>
                  </w:r>
                </w:p>
              </w:tc>
              <w:tc>
                <w:tcPr>
                  <w:tcW w:w="344" w:type="pct"/>
                  <w:shd w:val="clear" w:color="auto" w:fill="auto"/>
                  <w:tcMar>
                    <w:left w:w="0" w:type="dxa"/>
                    <w:right w:w="0" w:type="dxa"/>
                  </w:tcMar>
                  <w:vAlign w:val="center"/>
                </w:tcPr>
                <w:p w14:paraId="531733B1">
                  <w:pPr>
                    <w:widowControl/>
                    <w:spacing w:line="240" w:lineRule="auto"/>
                    <w:jc w:val="center"/>
                    <w:rPr>
                      <w:rFonts w:hint="eastAsia"/>
                      <w:sz w:val="21"/>
                      <w:szCs w:val="21"/>
                      <w:lang w:val="en-US" w:eastAsia="zh-CN"/>
                    </w:rPr>
                  </w:pPr>
                  <w:r>
                    <w:rPr>
                      <w:rFonts w:hint="eastAsia"/>
                      <w:sz w:val="21"/>
                      <w:szCs w:val="21"/>
                      <w:lang w:val="en-US" w:eastAsia="zh-CN"/>
                    </w:rPr>
                    <w:t>石化设备配件</w:t>
                  </w:r>
                </w:p>
              </w:tc>
              <w:tc>
                <w:tcPr>
                  <w:tcW w:w="825" w:type="pct"/>
                  <w:shd w:val="clear" w:color="auto" w:fill="auto"/>
                  <w:vAlign w:val="center"/>
                </w:tcPr>
                <w:p w14:paraId="42D4BA6B">
                  <w:pPr>
                    <w:widowControl/>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100-1000g/件</w:t>
                  </w:r>
                </w:p>
              </w:tc>
              <w:tc>
                <w:tcPr>
                  <w:tcW w:w="2094" w:type="pct"/>
                  <w:vAlign w:val="center"/>
                </w:tcPr>
                <w:p w14:paraId="2084BF75">
                  <w:pPr>
                    <w:widowControl/>
                    <w:spacing w:line="240" w:lineRule="auto"/>
                    <w:jc w:val="center"/>
                  </w:pPr>
                  <w:r>
                    <w:drawing>
                      <wp:inline distT="0" distB="0" distL="114300" distR="114300">
                        <wp:extent cx="1812925" cy="1451610"/>
                        <wp:effectExtent l="0" t="0" r="15875" b="152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1812925" cy="1451610"/>
                                </a:xfrm>
                                <a:prstGeom prst="rect">
                                  <a:avLst/>
                                </a:prstGeom>
                                <a:noFill/>
                                <a:ln>
                                  <a:noFill/>
                                </a:ln>
                              </pic:spPr>
                            </pic:pic>
                          </a:graphicData>
                        </a:graphic>
                      </wp:inline>
                    </w:drawing>
                  </w:r>
                </w:p>
              </w:tc>
              <w:tc>
                <w:tcPr>
                  <w:tcW w:w="807" w:type="pct"/>
                  <w:vAlign w:val="center"/>
                </w:tcPr>
                <w:p w14:paraId="40D116A2">
                  <w:pPr>
                    <w:spacing w:line="240" w:lineRule="auto"/>
                    <w:jc w:val="center"/>
                  </w:pPr>
                  <w:r>
                    <w:rPr>
                      <w:rFonts w:hint="eastAsia"/>
                      <w:sz w:val="21"/>
                      <w:szCs w:val="21"/>
                      <w:lang w:val="en-US" w:eastAsia="zh-CN"/>
                    </w:rPr>
                    <w:t>50万件/年</w:t>
                  </w:r>
                </w:p>
              </w:tc>
              <w:tc>
                <w:tcPr>
                  <w:tcW w:w="687" w:type="pct"/>
                  <w:vAlign w:val="center"/>
                </w:tcPr>
                <w:p w14:paraId="4E23A3F4">
                  <w:pPr>
                    <w:widowControl/>
                    <w:spacing w:line="240" w:lineRule="auto"/>
                    <w:jc w:val="center"/>
                    <w:rPr>
                      <w:rFonts w:hint="default" w:eastAsia="仿宋"/>
                      <w:sz w:val="21"/>
                      <w:szCs w:val="21"/>
                      <w:lang w:val="en-US" w:eastAsia="zh-CN"/>
                    </w:rPr>
                  </w:pPr>
                  <w:r>
                    <w:rPr>
                      <w:rFonts w:hint="eastAsia"/>
                      <w:sz w:val="21"/>
                      <w:szCs w:val="21"/>
                      <w:lang w:val="en-US" w:eastAsia="zh-CN"/>
                    </w:rPr>
                    <w:t>50-500</w:t>
                  </w:r>
                </w:p>
              </w:tc>
            </w:tr>
            <w:tr w14:paraId="72ABB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505" w:type="pct"/>
                  <w:gridSpan w:val="4"/>
                  <w:tcMar>
                    <w:left w:w="0" w:type="dxa"/>
                    <w:right w:w="0" w:type="dxa"/>
                  </w:tcMar>
                  <w:vAlign w:val="center"/>
                </w:tcPr>
                <w:p w14:paraId="5D013B46">
                  <w:pPr>
                    <w:widowControl/>
                    <w:spacing w:line="240" w:lineRule="auto"/>
                    <w:jc w:val="center"/>
                    <w:rPr>
                      <w:rFonts w:hint="eastAsia" w:eastAsia="仿宋"/>
                      <w:sz w:val="21"/>
                      <w:szCs w:val="21"/>
                      <w:lang w:val="en-US" w:eastAsia="zh-CN"/>
                    </w:rPr>
                  </w:pPr>
                  <w:r>
                    <w:rPr>
                      <w:rFonts w:hint="eastAsia"/>
                      <w:sz w:val="21"/>
                      <w:szCs w:val="21"/>
                      <w:lang w:val="en-US" w:eastAsia="zh-CN"/>
                    </w:rPr>
                    <w:t>合计</w:t>
                  </w:r>
                </w:p>
              </w:tc>
              <w:tc>
                <w:tcPr>
                  <w:tcW w:w="807" w:type="pct"/>
                  <w:vAlign w:val="center"/>
                </w:tcPr>
                <w:p w14:paraId="587E8085">
                  <w:pPr>
                    <w:spacing w:line="240" w:lineRule="auto"/>
                    <w:jc w:val="center"/>
                    <w:rPr>
                      <w:rFonts w:hint="default"/>
                      <w:sz w:val="21"/>
                      <w:szCs w:val="21"/>
                      <w:lang w:val="en-US" w:eastAsia="zh-CN"/>
                    </w:rPr>
                  </w:pPr>
                  <w:r>
                    <w:rPr>
                      <w:rFonts w:hint="eastAsia"/>
                      <w:sz w:val="21"/>
                      <w:szCs w:val="21"/>
                      <w:lang w:val="en-US" w:eastAsia="zh-CN"/>
                    </w:rPr>
                    <w:t>1500万件/年</w:t>
                  </w:r>
                </w:p>
              </w:tc>
              <w:tc>
                <w:tcPr>
                  <w:tcW w:w="687" w:type="pct"/>
                  <w:vAlign w:val="center"/>
                </w:tcPr>
                <w:p w14:paraId="3BF782BE">
                  <w:pPr>
                    <w:widowControl/>
                    <w:spacing w:line="240" w:lineRule="auto"/>
                    <w:jc w:val="center"/>
                    <w:rPr>
                      <w:rFonts w:hint="default"/>
                      <w:sz w:val="21"/>
                      <w:szCs w:val="21"/>
                      <w:lang w:val="en-US" w:eastAsia="zh-CN"/>
                    </w:rPr>
                  </w:pPr>
                  <w:r>
                    <w:rPr>
                      <w:rFonts w:hint="eastAsia"/>
                      <w:sz w:val="21"/>
                      <w:szCs w:val="21"/>
                      <w:lang w:val="en-US" w:eastAsia="zh-CN"/>
                    </w:rPr>
                    <w:t>2525-5125</w:t>
                  </w:r>
                </w:p>
              </w:tc>
            </w:tr>
          </w:tbl>
          <w:p w14:paraId="4B1DD1B4">
            <w:pPr>
              <w:pStyle w:val="2"/>
              <w:widowControl w:val="0"/>
              <w:snapToGrid/>
              <w:spacing w:before="0" w:after="0" w:line="240" w:lineRule="auto"/>
              <w:ind w:right="0"/>
              <w:rPr>
                <w:rFonts w:hint="default" w:eastAsia="仿宋"/>
                <w:b/>
                <w:bCs/>
                <w:kern w:val="2"/>
                <w:sz w:val="21"/>
                <w:szCs w:val="21"/>
                <w:lang w:val="en-US" w:eastAsia="zh-CN"/>
              </w:rPr>
            </w:pPr>
            <w:r>
              <w:rPr>
                <w:rFonts w:hint="eastAsia"/>
                <w:b/>
                <w:bCs/>
                <w:kern w:val="2"/>
                <w:sz w:val="21"/>
                <w:szCs w:val="21"/>
                <w:lang w:val="en-US" w:eastAsia="zh-CN"/>
              </w:rPr>
              <w:t>注：本项目设计年产量为1500万件，铝合金锭年用量为3250吨，与上表计算产能相符。</w:t>
            </w:r>
          </w:p>
          <w:p w14:paraId="61DD6E26">
            <w:pPr>
              <w:pStyle w:val="2"/>
              <w:widowControl w:val="0"/>
              <w:snapToGrid/>
              <w:spacing w:before="0" w:after="0" w:line="480" w:lineRule="exact"/>
              <w:ind w:right="0" w:firstLine="482" w:firstLineChars="200"/>
              <w:rPr>
                <w:b/>
                <w:bCs/>
                <w:kern w:val="2"/>
                <w:sz w:val="24"/>
                <w:szCs w:val="24"/>
              </w:rPr>
            </w:pPr>
            <w:r>
              <w:rPr>
                <w:b/>
                <w:bCs/>
                <w:kern w:val="2"/>
                <w:sz w:val="24"/>
                <w:szCs w:val="24"/>
              </w:rPr>
              <w:t>4、</w:t>
            </w:r>
            <w:r>
              <w:rPr>
                <w:rFonts w:hint="eastAsia"/>
                <w:b/>
                <w:bCs/>
                <w:kern w:val="2"/>
                <w:sz w:val="24"/>
                <w:szCs w:val="24"/>
                <w:lang w:val="en-US" w:eastAsia="zh-CN"/>
              </w:rPr>
              <w:t>主体、</w:t>
            </w:r>
            <w:r>
              <w:rPr>
                <w:b/>
                <w:bCs/>
                <w:kern w:val="2"/>
                <w:sz w:val="24"/>
                <w:szCs w:val="24"/>
              </w:rPr>
              <w:t>公用及辅助工程</w:t>
            </w:r>
          </w:p>
          <w:p w14:paraId="087F6CBD">
            <w:pPr>
              <w:snapToGrid w:val="0"/>
              <w:spacing w:line="240" w:lineRule="auto"/>
              <w:jc w:val="center"/>
              <w:rPr>
                <w:b/>
                <w:sz w:val="21"/>
                <w:szCs w:val="21"/>
              </w:rPr>
            </w:pPr>
            <w:r>
              <w:rPr>
                <w:b/>
                <w:sz w:val="21"/>
                <w:szCs w:val="21"/>
              </w:rPr>
              <w:t>表</w:t>
            </w:r>
            <w:r>
              <w:rPr>
                <w:rFonts w:hint="eastAsia"/>
                <w:b/>
                <w:sz w:val="21"/>
                <w:szCs w:val="21"/>
              </w:rPr>
              <w:t>2</w:t>
            </w:r>
            <w:r>
              <w:rPr>
                <w:b/>
                <w:sz w:val="21"/>
                <w:szCs w:val="21"/>
              </w:rPr>
              <w:t>-</w:t>
            </w:r>
            <w:r>
              <w:rPr>
                <w:rFonts w:hint="eastAsia"/>
                <w:b/>
                <w:sz w:val="21"/>
                <w:szCs w:val="21"/>
              </w:rPr>
              <w:t>3</w:t>
            </w:r>
            <w:r>
              <w:rPr>
                <w:b/>
                <w:sz w:val="21"/>
                <w:szCs w:val="21"/>
              </w:rPr>
              <w:t xml:space="preserve">  </w:t>
            </w:r>
            <w:r>
              <w:rPr>
                <w:rFonts w:hint="eastAsia"/>
                <w:b/>
                <w:sz w:val="21"/>
                <w:szCs w:val="21"/>
              </w:rPr>
              <w:t>本项目</w:t>
            </w:r>
            <w:r>
              <w:rPr>
                <w:b/>
                <w:sz w:val="21"/>
                <w:szCs w:val="21"/>
              </w:rPr>
              <w:t>主体工程一览表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4"/>
              <w:gridCol w:w="1085"/>
              <w:gridCol w:w="1300"/>
              <w:gridCol w:w="1287"/>
              <w:gridCol w:w="877"/>
              <w:gridCol w:w="1257"/>
              <w:gridCol w:w="964"/>
              <w:gridCol w:w="862"/>
            </w:tblGrid>
            <w:tr w14:paraId="3032C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3" w:type="pct"/>
                  <w:tcMar>
                    <w:left w:w="0" w:type="dxa"/>
                    <w:right w:w="0" w:type="dxa"/>
                  </w:tcMar>
                  <w:vAlign w:val="center"/>
                </w:tcPr>
                <w:p w14:paraId="5C6E02BB">
                  <w:pPr>
                    <w:widowControl/>
                    <w:spacing w:line="240" w:lineRule="auto"/>
                    <w:jc w:val="center"/>
                    <w:rPr>
                      <w:b/>
                      <w:bCs/>
                      <w:kern w:val="0"/>
                      <w:sz w:val="21"/>
                      <w:szCs w:val="21"/>
                    </w:rPr>
                  </w:pPr>
                  <w:r>
                    <w:rPr>
                      <w:b/>
                      <w:bCs/>
                      <w:kern w:val="0"/>
                      <w:sz w:val="21"/>
                      <w:szCs w:val="21"/>
                    </w:rPr>
                    <w:t>序号</w:t>
                  </w:r>
                </w:p>
              </w:tc>
              <w:tc>
                <w:tcPr>
                  <w:tcW w:w="656" w:type="pct"/>
                  <w:tcMar>
                    <w:left w:w="0" w:type="dxa"/>
                    <w:right w:w="0" w:type="dxa"/>
                  </w:tcMar>
                  <w:vAlign w:val="center"/>
                </w:tcPr>
                <w:p w14:paraId="625AEAFF">
                  <w:pPr>
                    <w:widowControl/>
                    <w:spacing w:line="240" w:lineRule="auto"/>
                    <w:jc w:val="center"/>
                    <w:rPr>
                      <w:b/>
                      <w:bCs/>
                      <w:kern w:val="0"/>
                      <w:sz w:val="21"/>
                      <w:szCs w:val="21"/>
                    </w:rPr>
                  </w:pPr>
                  <w:r>
                    <w:rPr>
                      <w:b/>
                      <w:bCs/>
                      <w:kern w:val="0"/>
                      <w:sz w:val="21"/>
                      <w:szCs w:val="21"/>
                    </w:rPr>
                    <w:t>主要建、构筑物名称</w:t>
                  </w:r>
                </w:p>
              </w:tc>
              <w:tc>
                <w:tcPr>
                  <w:tcW w:w="786" w:type="pct"/>
                  <w:tcMar>
                    <w:left w:w="0" w:type="dxa"/>
                    <w:right w:w="0" w:type="dxa"/>
                  </w:tcMar>
                  <w:vAlign w:val="center"/>
                </w:tcPr>
                <w:p w14:paraId="290CA7AA">
                  <w:pPr>
                    <w:widowControl/>
                    <w:spacing w:line="240" w:lineRule="auto"/>
                    <w:jc w:val="center"/>
                    <w:rPr>
                      <w:rFonts w:hint="eastAsia" w:eastAsia="仿宋"/>
                      <w:b/>
                      <w:bCs/>
                      <w:kern w:val="0"/>
                      <w:sz w:val="21"/>
                      <w:szCs w:val="21"/>
                      <w:lang w:eastAsia="zh-CN"/>
                    </w:rPr>
                  </w:pPr>
                  <w:r>
                    <w:rPr>
                      <w:b/>
                      <w:bCs/>
                      <w:kern w:val="0"/>
                      <w:sz w:val="21"/>
                      <w:szCs w:val="21"/>
                    </w:rPr>
                    <w:t>占地面积</w:t>
                  </w:r>
                  <w:r>
                    <w:rPr>
                      <w:rFonts w:hint="eastAsia"/>
                      <w:b/>
                      <w:bCs/>
                      <w:kern w:val="0"/>
                      <w:sz w:val="21"/>
                      <w:szCs w:val="21"/>
                      <w:lang w:eastAsia="zh-CN"/>
                    </w:rPr>
                    <w:t>（</w:t>
                  </w:r>
                  <w:r>
                    <w:rPr>
                      <w:b/>
                      <w:bCs/>
                      <w:kern w:val="0"/>
                      <w:sz w:val="21"/>
                      <w:szCs w:val="21"/>
                    </w:rPr>
                    <w:t>m</w:t>
                  </w:r>
                  <w:r>
                    <w:rPr>
                      <w:b/>
                      <w:bCs/>
                      <w:kern w:val="0"/>
                      <w:sz w:val="21"/>
                      <w:szCs w:val="21"/>
                      <w:vertAlign w:val="superscript"/>
                    </w:rPr>
                    <w:t>2</w:t>
                  </w:r>
                  <w:r>
                    <w:rPr>
                      <w:rFonts w:hint="eastAsia"/>
                      <w:b/>
                      <w:bCs/>
                      <w:kern w:val="0"/>
                      <w:sz w:val="21"/>
                      <w:szCs w:val="21"/>
                      <w:lang w:eastAsia="zh-CN"/>
                    </w:rPr>
                    <w:t>）</w:t>
                  </w:r>
                </w:p>
              </w:tc>
              <w:tc>
                <w:tcPr>
                  <w:tcW w:w="778" w:type="pct"/>
                  <w:vAlign w:val="center"/>
                </w:tcPr>
                <w:p w14:paraId="6E701279">
                  <w:pPr>
                    <w:widowControl/>
                    <w:spacing w:line="240" w:lineRule="auto"/>
                    <w:jc w:val="center"/>
                    <w:rPr>
                      <w:rFonts w:hint="eastAsia" w:eastAsia="仿宋"/>
                      <w:b/>
                      <w:bCs/>
                      <w:kern w:val="0"/>
                      <w:sz w:val="21"/>
                      <w:szCs w:val="21"/>
                      <w:lang w:eastAsia="zh-CN"/>
                    </w:rPr>
                  </w:pPr>
                  <w:r>
                    <w:rPr>
                      <w:b/>
                      <w:bCs/>
                      <w:kern w:val="0"/>
                      <w:sz w:val="21"/>
                      <w:szCs w:val="21"/>
                    </w:rPr>
                    <w:t>建筑面积</w:t>
                  </w:r>
                  <w:r>
                    <w:rPr>
                      <w:rFonts w:hint="eastAsia"/>
                      <w:b/>
                      <w:bCs/>
                      <w:kern w:val="0"/>
                      <w:sz w:val="21"/>
                      <w:szCs w:val="21"/>
                      <w:lang w:eastAsia="zh-CN"/>
                    </w:rPr>
                    <w:t>（</w:t>
                  </w:r>
                  <w:r>
                    <w:rPr>
                      <w:b/>
                      <w:bCs/>
                      <w:kern w:val="0"/>
                      <w:sz w:val="21"/>
                      <w:szCs w:val="21"/>
                    </w:rPr>
                    <w:t>m</w:t>
                  </w:r>
                  <w:r>
                    <w:rPr>
                      <w:b/>
                      <w:bCs/>
                      <w:kern w:val="0"/>
                      <w:sz w:val="21"/>
                      <w:szCs w:val="21"/>
                      <w:vertAlign w:val="superscript"/>
                    </w:rPr>
                    <w:t>2</w:t>
                  </w:r>
                  <w:r>
                    <w:rPr>
                      <w:rFonts w:hint="eastAsia"/>
                      <w:b/>
                      <w:bCs/>
                      <w:kern w:val="0"/>
                      <w:sz w:val="21"/>
                      <w:szCs w:val="21"/>
                      <w:lang w:eastAsia="zh-CN"/>
                    </w:rPr>
                    <w:t>）</w:t>
                  </w:r>
                </w:p>
              </w:tc>
              <w:tc>
                <w:tcPr>
                  <w:tcW w:w="530" w:type="pct"/>
                  <w:vAlign w:val="center"/>
                </w:tcPr>
                <w:p w14:paraId="56E8281F">
                  <w:pPr>
                    <w:widowControl/>
                    <w:spacing w:line="240" w:lineRule="auto"/>
                    <w:jc w:val="center"/>
                    <w:rPr>
                      <w:b/>
                      <w:bCs/>
                      <w:kern w:val="0"/>
                      <w:sz w:val="21"/>
                      <w:szCs w:val="21"/>
                    </w:rPr>
                  </w:pPr>
                  <w:r>
                    <w:rPr>
                      <w:b/>
                      <w:bCs/>
                      <w:kern w:val="0"/>
                      <w:sz w:val="21"/>
                      <w:szCs w:val="21"/>
                    </w:rPr>
                    <w:t>建筑层数</w:t>
                  </w:r>
                </w:p>
              </w:tc>
              <w:tc>
                <w:tcPr>
                  <w:tcW w:w="760" w:type="pct"/>
                  <w:vAlign w:val="center"/>
                </w:tcPr>
                <w:p w14:paraId="03BD1DF0">
                  <w:pPr>
                    <w:widowControl/>
                    <w:spacing w:line="240" w:lineRule="auto"/>
                    <w:jc w:val="center"/>
                    <w:rPr>
                      <w:rFonts w:hint="eastAsia" w:eastAsia="仿宋"/>
                      <w:b/>
                      <w:bCs/>
                      <w:kern w:val="0"/>
                      <w:sz w:val="21"/>
                      <w:szCs w:val="21"/>
                      <w:lang w:eastAsia="zh-CN"/>
                    </w:rPr>
                  </w:pPr>
                  <w:r>
                    <w:rPr>
                      <w:b/>
                      <w:bCs/>
                      <w:kern w:val="0"/>
                      <w:sz w:val="21"/>
                      <w:szCs w:val="21"/>
                      <w:highlight w:val="none"/>
                    </w:rPr>
                    <w:t>建筑高度</w:t>
                  </w:r>
                  <w:r>
                    <w:rPr>
                      <w:rFonts w:hint="eastAsia"/>
                      <w:b/>
                      <w:bCs/>
                      <w:kern w:val="0"/>
                      <w:sz w:val="21"/>
                      <w:szCs w:val="21"/>
                      <w:highlight w:val="none"/>
                      <w:lang w:eastAsia="zh-CN"/>
                    </w:rPr>
                    <w:t>（</w:t>
                  </w:r>
                  <w:r>
                    <w:rPr>
                      <w:b/>
                      <w:bCs/>
                      <w:kern w:val="0"/>
                      <w:sz w:val="21"/>
                      <w:szCs w:val="21"/>
                      <w:highlight w:val="none"/>
                    </w:rPr>
                    <w:t>m</w:t>
                  </w:r>
                  <w:r>
                    <w:rPr>
                      <w:rFonts w:hint="eastAsia"/>
                      <w:b/>
                      <w:bCs/>
                      <w:kern w:val="0"/>
                      <w:sz w:val="21"/>
                      <w:szCs w:val="21"/>
                      <w:highlight w:val="none"/>
                      <w:lang w:eastAsia="zh-CN"/>
                    </w:rPr>
                    <w:t>）</w:t>
                  </w:r>
                </w:p>
              </w:tc>
              <w:tc>
                <w:tcPr>
                  <w:tcW w:w="583" w:type="pct"/>
                  <w:vAlign w:val="center"/>
                </w:tcPr>
                <w:p w14:paraId="3A14A6E4">
                  <w:pPr>
                    <w:widowControl/>
                    <w:spacing w:line="240" w:lineRule="auto"/>
                    <w:jc w:val="center"/>
                    <w:rPr>
                      <w:b/>
                      <w:bCs/>
                      <w:kern w:val="0"/>
                      <w:sz w:val="21"/>
                      <w:szCs w:val="21"/>
                    </w:rPr>
                  </w:pPr>
                  <w:r>
                    <w:rPr>
                      <w:b/>
                      <w:bCs/>
                      <w:kern w:val="0"/>
                      <w:sz w:val="21"/>
                      <w:szCs w:val="21"/>
                    </w:rPr>
                    <w:t>建筑结构</w:t>
                  </w:r>
                </w:p>
              </w:tc>
              <w:tc>
                <w:tcPr>
                  <w:tcW w:w="521" w:type="pct"/>
                  <w:vAlign w:val="center"/>
                </w:tcPr>
                <w:p w14:paraId="4B0C5E9D">
                  <w:pPr>
                    <w:widowControl/>
                    <w:spacing w:line="240" w:lineRule="auto"/>
                    <w:jc w:val="center"/>
                    <w:rPr>
                      <w:b/>
                      <w:bCs/>
                      <w:kern w:val="0"/>
                      <w:sz w:val="21"/>
                      <w:szCs w:val="21"/>
                    </w:rPr>
                  </w:pPr>
                  <w:r>
                    <w:rPr>
                      <w:b/>
                      <w:bCs/>
                      <w:kern w:val="0"/>
                      <w:sz w:val="21"/>
                      <w:szCs w:val="21"/>
                    </w:rPr>
                    <w:t>备注</w:t>
                  </w:r>
                </w:p>
              </w:tc>
            </w:tr>
            <w:tr w14:paraId="0874A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3" w:type="pct"/>
                  <w:vAlign w:val="center"/>
                </w:tcPr>
                <w:p w14:paraId="6955332C">
                  <w:pPr>
                    <w:spacing w:line="240" w:lineRule="auto"/>
                    <w:jc w:val="center"/>
                    <w:rPr>
                      <w:sz w:val="21"/>
                      <w:szCs w:val="21"/>
                    </w:rPr>
                  </w:pPr>
                  <w:r>
                    <w:rPr>
                      <w:rFonts w:hint="eastAsia"/>
                      <w:sz w:val="21"/>
                      <w:szCs w:val="21"/>
                    </w:rPr>
                    <w:t>1</w:t>
                  </w:r>
                </w:p>
              </w:tc>
              <w:tc>
                <w:tcPr>
                  <w:tcW w:w="656" w:type="pct"/>
                  <w:vAlign w:val="center"/>
                </w:tcPr>
                <w:p w14:paraId="398F73BA">
                  <w:pPr>
                    <w:widowControl/>
                    <w:spacing w:line="240" w:lineRule="auto"/>
                    <w:jc w:val="center"/>
                    <w:rPr>
                      <w:rFonts w:hint="default" w:eastAsia="仿宋"/>
                      <w:kern w:val="0"/>
                      <w:sz w:val="21"/>
                      <w:szCs w:val="21"/>
                      <w:lang w:val="en-US" w:eastAsia="zh-CN"/>
                    </w:rPr>
                  </w:pPr>
                  <w:r>
                    <w:rPr>
                      <w:rFonts w:hint="eastAsia"/>
                      <w:kern w:val="0"/>
                      <w:sz w:val="21"/>
                      <w:szCs w:val="21"/>
                      <w:lang w:val="en-US" w:eastAsia="zh-CN"/>
                    </w:rPr>
                    <w:t>生产车间</w:t>
                  </w:r>
                </w:p>
              </w:tc>
              <w:tc>
                <w:tcPr>
                  <w:tcW w:w="786" w:type="pct"/>
                  <w:vAlign w:val="center"/>
                </w:tcPr>
                <w:p w14:paraId="585D368D">
                  <w:pPr>
                    <w:widowControl/>
                    <w:spacing w:line="240" w:lineRule="auto"/>
                    <w:jc w:val="center"/>
                    <w:rPr>
                      <w:rFonts w:hint="default" w:eastAsia="仿宋"/>
                      <w:kern w:val="0"/>
                      <w:sz w:val="21"/>
                      <w:szCs w:val="21"/>
                      <w:lang w:val="en-US" w:eastAsia="zh-CN"/>
                    </w:rPr>
                  </w:pPr>
                  <w:r>
                    <w:rPr>
                      <w:rFonts w:hint="eastAsia"/>
                      <w:kern w:val="0"/>
                      <w:sz w:val="21"/>
                      <w:szCs w:val="21"/>
                      <w:lang w:val="en-US" w:eastAsia="zh-CN"/>
                    </w:rPr>
                    <w:t>1880</w:t>
                  </w:r>
                </w:p>
              </w:tc>
              <w:tc>
                <w:tcPr>
                  <w:tcW w:w="778" w:type="pct"/>
                  <w:vAlign w:val="center"/>
                </w:tcPr>
                <w:p w14:paraId="1B4622A9">
                  <w:pPr>
                    <w:widowControl/>
                    <w:spacing w:line="240" w:lineRule="auto"/>
                    <w:jc w:val="center"/>
                    <w:rPr>
                      <w:rFonts w:hint="default" w:eastAsia="仿宋"/>
                      <w:kern w:val="0"/>
                      <w:sz w:val="21"/>
                      <w:szCs w:val="21"/>
                      <w:lang w:val="en-US" w:eastAsia="zh-CN"/>
                    </w:rPr>
                  </w:pPr>
                  <w:r>
                    <w:rPr>
                      <w:rFonts w:hint="eastAsia"/>
                      <w:kern w:val="0"/>
                      <w:sz w:val="21"/>
                      <w:szCs w:val="21"/>
                      <w:lang w:val="en-US" w:eastAsia="zh-CN"/>
                    </w:rPr>
                    <w:t>1880</w:t>
                  </w:r>
                </w:p>
              </w:tc>
              <w:tc>
                <w:tcPr>
                  <w:tcW w:w="530" w:type="pct"/>
                  <w:vAlign w:val="center"/>
                </w:tcPr>
                <w:p w14:paraId="3F876DCB">
                  <w:pPr>
                    <w:widowControl/>
                    <w:spacing w:line="240" w:lineRule="auto"/>
                    <w:jc w:val="center"/>
                    <w:rPr>
                      <w:kern w:val="0"/>
                      <w:sz w:val="21"/>
                      <w:szCs w:val="21"/>
                    </w:rPr>
                  </w:pPr>
                  <w:r>
                    <w:rPr>
                      <w:rFonts w:hint="eastAsia"/>
                      <w:kern w:val="0"/>
                      <w:sz w:val="21"/>
                      <w:szCs w:val="21"/>
                      <w:lang w:val="en-US" w:eastAsia="zh-CN"/>
                    </w:rPr>
                    <w:t>1</w:t>
                  </w:r>
                  <w:r>
                    <w:rPr>
                      <w:rFonts w:hint="eastAsia"/>
                      <w:kern w:val="0"/>
                      <w:sz w:val="21"/>
                      <w:szCs w:val="21"/>
                    </w:rPr>
                    <w:t>层</w:t>
                  </w:r>
                </w:p>
              </w:tc>
              <w:tc>
                <w:tcPr>
                  <w:tcW w:w="760" w:type="pct"/>
                  <w:vAlign w:val="center"/>
                </w:tcPr>
                <w:p w14:paraId="0CFE5B18">
                  <w:pPr>
                    <w:widowControl/>
                    <w:spacing w:line="240" w:lineRule="auto"/>
                    <w:jc w:val="center"/>
                    <w:rPr>
                      <w:rFonts w:hint="default" w:eastAsia="仿宋"/>
                      <w:kern w:val="0"/>
                      <w:sz w:val="21"/>
                      <w:szCs w:val="21"/>
                      <w:lang w:val="en-US" w:eastAsia="zh-CN"/>
                    </w:rPr>
                  </w:pPr>
                  <w:r>
                    <w:rPr>
                      <w:rFonts w:hint="eastAsia"/>
                      <w:kern w:val="0"/>
                      <w:sz w:val="21"/>
                      <w:szCs w:val="21"/>
                      <w:lang w:val="en-US" w:eastAsia="zh-CN"/>
                    </w:rPr>
                    <w:t>12</w:t>
                  </w:r>
                </w:p>
              </w:tc>
              <w:tc>
                <w:tcPr>
                  <w:tcW w:w="583" w:type="pct"/>
                  <w:vAlign w:val="center"/>
                </w:tcPr>
                <w:p w14:paraId="0F92860E">
                  <w:pPr>
                    <w:widowControl/>
                    <w:spacing w:line="240" w:lineRule="auto"/>
                    <w:jc w:val="center"/>
                    <w:rPr>
                      <w:rFonts w:hint="eastAsia" w:eastAsia="仿宋"/>
                      <w:kern w:val="0"/>
                      <w:sz w:val="21"/>
                      <w:szCs w:val="21"/>
                      <w:lang w:eastAsia="zh-CN"/>
                    </w:rPr>
                  </w:pPr>
                  <w:r>
                    <w:rPr>
                      <w:rFonts w:hint="eastAsia"/>
                      <w:kern w:val="0"/>
                      <w:sz w:val="21"/>
                      <w:szCs w:val="21"/>
                      <w:lang w:val="en-US" w:eastAsia="zh-CN"/>
                    </w:rPr>
                    <w:t>钢结构</w:t>
                  </w:r>
                </w:p>
              </w:tc>
              <w:tc>
                <w:tcPr>
                  <w:tcW w:w="521" w:type="pct"/>
                  <w:vAlign w:val="center"/>
                </w:tcPr>
                <w:p w14:paraId="41938D09">
                  <w:pPr>
                    <w:widowControl/>
                    <w:spacing w:line="240" w:lineRule="auto"/>
                    <w:jc w:val="center"/>
                    <w:rPr>
                      <w:kern w:val="0"/>
                      <w:sz w:val="21"/>
                      <w:szCs w:val="21"/>
                    </w:rPr>
                  </w:pPr>
                  <w:r>
                    <w:rPr>
                      <w:rFonts w:hint="eastAsia"/>
                      <w:kern w:val="0"/>
                      <w:sz w:val="21"/>
                      <w:szCs w:val="21"/>
                      <w:lang w:val="en-US" w:eastAsia="zh-CN"/>
                    </w:rPr>
                    <w:t>/</w:t>
                  </w:r>
                </w:p>
              </w:tc>
            </w:tr>
            <w:tr w14:paraId="5A0CD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3" w:type="pct"/>
                  <w:vAlign w:val="center"/>
                </w:tcPr>
                <w:p w14:paraId="4D8060A2">
                  <w:pPr>
                    <w:spacing w:line="240" w:lineRule="auto"/>
                    <w:jc w:val="center"/>
                    <w:rPr>
                      <w:rFonts w:hint="eastAsia" w:eastAsia="仿宋"/>
                      <w:sz w:val="21"/>
                      <w:szCs w:val="21"/>
                      <w:lang w:val="en-US" w:eastAsia="zh-CN"/>
                    </w:rPr>
                  </w:pPr>
                  <w:r>
                    <w:rPr>
                      <w:rFonts w:hint="eastAsia"/>
                      <w:sz w:val="21"/>
                      <w:szCs w:val="21"/>
                      <w:lang w:val="en-US" w:eastAsia="zh-CN"/>
                    </w:rPr>
                    <w:t>2</w:t>
                  </w:r>
                </w:p>
              </w:tc>
              <w:tc>
                <w:tcPr>
                  <w:tcW w:w="656" w:type="pct"/>
                  <w:vAlign w:val="center"/>
                </w:tcPr>
                <w:p w14:paraId="4D856B6E">
                  <w:pPr>
                    <w:widowControl/>
                    <w:spacing w:line="240" w:lineRule="auto"/>
                    <w:jc w:val="center"/>
                    <w:rPr>
                      <w:rFonts w:hint="default"/>
                      <w:kern w:val="0"/>
                      <w:sz w:val="21"/>
                      <w:szCs w:val="21"/>
                      <w:lang w:val="en-US" w:eastAsia="zh-CN"/>
                    </w:rPr>
                  </w:pPr>
                  <w:r>
                    <w:rPr>
                      <w:rFonts w:hint="eastAsia"/>
                      <w:kern w:val="0"/>
                      <w:sz w:val="21"/>
                      <w:szCs w:val="21"/>
                      <w:lang w:val="en-US" w:eastAsia="zh-CN"/>
                    </w:rPr>
                    <w:t>办公室</w:t>
                  </w:r>
                </w:p>
              </w:tc>
              <w:tc>
                <w:tcPr>
                  <w:tcW w:w="786" w:type="pct"/>
                  <w:vAlign w:val="center"/>
                </w:tcPr>
                <w:p w14:paraId="089D3AB6">
                  <w:pPr>
                    <w:widowControl/>
                    <w:spacing w:line="240" w:lineRule="auto"/>
                    <w:jc w:val="center"/>
                    <w:rPr>
                      <w:rFonts w:hint="default"/>
                      <w:kern w:val="0"/>
                      <w:sz w:val="21"/>
                      <w:szCs w:val="21"/>
                      <w:lang w:val="en-US" w:eastAsia="zh-CN"/>
                    </w:rPr>
                  </w:pPr>
                  <w:r>
                    <w:rPr>
                      <w:rFonts w:hint="eastAsia"/>
                      <w:kern w:val="0"/>
                      <w:sz w:val="21"/>
                      <w:szCs w:val="21"/>
                      <w:lang w:val="en-US" w:eastAsia="zh-CN"/>
                    </w:rPr>
                    <w:t>120</w:t>
                  </w:r>
                </w:p>
              </w:tc>
              <w:tc>
                <w:tcPr>
                  <w:tcW w:w="778" w:type="pct"/>
                  <w:vAlign w:val="center"/>
                </w:tcPr>
                <w:p w14:paraId="10DE8C1B">
                  <w:pPr>
                    <w:widowControl/>
                    <w:spacing w:line="240" w:lineRule="auto"/>
                    <w:jc w:val="center"/>
                    <w:rPr>
                      <w:rFonts w:hint="eastAsia"/>
                      <w:kern w:val="0"/>
                      <w:sz w:val="21"/>
                      <w:szCs w:val="21"/>
                      <w:lang w:val="en-US" w:eastAsia="zh-CN"/>
                    </w:rPr>
                  </w:pPr>
                  <w:r>
                    <w:rPr>
                      <w:rFonts w:hint="eastAsia"/>
                      <w:kern w:val="0"/>
                      <w:sz w:val="21"/>
                      <w:szCs w:val="21"/>
                      <w:lang w:val="en-US" w:eastAsia="zh-CN"/>
                    </w:rPr>
                    <w:t>120</w:t>
                  </w:r>
                </w:p>
              </w:tc>
              <w:tc>
                <w:tcPr>
                  <w:tcW w:w="530" w:type="pct"/>
                  <w:vAlign w:val="center"/>
                </w:tcPr>
                <w:p w14:paraId="57406D57">
                  <w:pPr>
                    <w:widowControl/>
                    <w:spacing w:line="240" w:lineRule="auto"/>
                    <w:jc w:val="center"/>
                    <w:rPr>
                      <w:rFonts w:hint="eastAsia"/>
                      <w:kern w:val="0"/>
                      <w:sz w:val="21"/>
                      <w:szCs w:val="21"/>
                      <w:lang w:val="en-US" w:eastAsia="zh-CN"/>
                    </w:rPr>
                  </w:pPr>
                  <w:r>
                    <w:rPr>
                      <w:rFonts w:hint="eastAsia"/>
                      <w:kern w:val="0"/>
                      <w:sz w:val="21"/>
                      <w:szCs w:val="21"/>
                      <w:lang w:val="en-US" w:eastAsia="zh-CN"/>
                    </w:rPr>
                    <w:t>1</w:t>
                  </w:r>
                  <w:r>
                    <w:rPr>
                      <w:rFonts w:hint="eastAsia"/>
                      <w:kern w:val="0"/>
                      <w:sz w:val="21"/>
                      <w:szCs w:val="21"/>
                    </w:rPr>
                    <w:t>层</w:t>
                  </w:r>
                </w:p>
              </w:tc>
              <w:tc>
                <w:tcPr>
                  <w:tcW w:w="760" w:type="pct"/>
                  <w:vAlign w:val="center"/>
                </w:tcPr>
                <w:p w14:paraId="3FC7A737">
                  <w:pPr>
                    <w:widowControl/>
                    <w:spacing w:line="240" w:lineRule="auto"/>
                    <w:jc w:val="center"/>
                    <w:rPr>
                      <w:rFonts w:hint="default"/>
                      <w:kern w:val="0"/>
                      <w:sz w:val="21"/>
                      <w:szCs w:val="21"/>
                      <w:lang w:val="en-US" w:eastAsia="zh-CN"/>
                    </w:rPr>
                  </w:pPr>
                  <w:r>
                    <w:rPr>
                      <w:rFonts w:hint="eastAsia"/>
                      <w:kern w:val="0"/>
                      <w:sz w:val="21"/>
                      <w:szCs w:val="21"/>
                      <w:lang w:val="en-US" w:eastAsia="zh-CN"/>
                    </w:rPr>
                    <w:t>6.5</w:t>
                  </w:r>
                </w:p>
              </w:tc>
              <w:tc>
                <w:tcPr>
                  <w:tcW w:w="583" w:type="pct"/>
                  <w:vAlign w:val="center"/>
                </w:tcPr>
                <w:p w14:paraId="3CB10F4B">
                  <w:pPr>
                    <w:widowControl/>
                    <w:spacing w:line="240" w:lineRule="auto"/>
                    <w:jc w:val="center"/>
                    <w:rPr>
                      <w:rFonts w:hint="eastAsia" w:eastAsia="仿宋"/>
                      <w:kern w:val="0"/>
                      <w:sz w:val="21"/>
                      <w:szCs w:val="21"/>
                      <w:lang w:eastAsia="zh-CN"/>
                    </w:rPr>
                  </w:pPr>
                  <w:r>
                    <w:rPr>
                      <w:rFonts w:hint="eastAsia"/>
                      <w:kern w:val="0"/>
                      <w:sz w:val="21"/>
                      <w:szCs w:val="21"/>
                      <w:lang w:val="en-US" w:eastAsia="zh-CN"/>
                    </w:rPr>
                    <w:t>砖混</w:t>
                  </w:r>
                </w:p>
              </w:tc>
              <w:tc>
                <w:tcPr>
                  <w:tcW w:w="521" w:type="pct"/>
                  <w:vAlign w:val="center"/>
                </w:tcPr>
                <w:p w14:paraId="6DC83725">
                  <w:pPr>
                    <w:widowControl/>
                    <w:spacing w:line="240" w:lineRule="auto"/>
                    <w:jc w:val="center"/>
                    <w:rPr>
                      <w:kern w:val="0"/>
                      <w:sz w:val="21"/>
                      <w:szCs w:val="21"/>
                    </w:rPr>
                  </w:pPr>
                  <w:r>
                    <w:rPr>
                      <w:rFonts w:hint="eastAsia"/>
                      <w:kern w:val="0"/>
                      <w:sz w:val="21"/>
                      <w:szCs w:val="21"/>
                      <w:lang w:val="en-US" w:eastAsia="zh-CN"/>
                    </w:rPr>
                    <w:t>/</w:t>
                  </w:r>
                </w:p>
              </w:tc>
            </w:tr>
            <w:tr w14:paraId="6CA2C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039" w:type="pct"/>
                  <w:gridSpan w:val="2"/>
                  <w:vAlign w:val="center"/>
                </w:tcPr>
                <w:p w14:paraId="4E86740E">
                  <w:pPr>
                    <w:widowControl/>
                    <w:spacing w:line="240" w:lineRule="auto"/>
                    <w:jc w:val="center"/>
                    <w:rPr>
                      <w:rFonts w:hint="default"/>
                      <w:kern w:val="0"/>
                      <w:sz w:val="21"/>
                      <w:szCs w:val="21"/>
                      <w:lang w:val="en-US" w:eastAsia="zh-CN"/>
                    </w:rPr>
                  </w:pPr>
                  <w:r>
                    <w:rPr>
                      <w:rFonts w:hint="eastAsia"/>
                      <w:kern w:val="0"/>
                      <w:sz w:val="21"/>
                      <w:szCs w:val="21"/>
                      <w:lang w:val="en-US" w:eastAsia="zh-CN"/>
                    </w:rPr>
                    <w:t>合计</w:t>
                  </w:r>
                </w:p>
              </w:tc>
              <w:tc>
                <w:tcPr>
                  <w:tcW w:w="786" w:type="pct"/>
                  <w:vAlign w:val="center"/>
                </w:tcPr>
                <w:p w14:paraId="05961D80">
                  <w:pPr>
                    <w:widowControl/>
                    <w:spacing w:line="240" w:lineRule="auto"/>
                    <w:jc w:val="center"/>
                    <w:rPr>
                      <w:rFonts w:hint="default"/>
                      <w:kern w:val="0"/>
                      <w:sz w:val="21"/>
                      <w:szCs w:val="21"/>
                      <w:lang w:val="en-US" w:eastAsia="zh-CN"/>
                    </w:rPr>
                  </w:pPr>
                  <w:r>
                    <w:rPr>
                      <w:rFonts w:hint="eastAsia"/>
                      <w:kern w:val="0"/>
                      <w:sz w:val="21"/>
                      <w:szCs w:val="21"/>
                      <w:lang w:val="en-US" w:eastAsia="zh-CN"/>
                    </w:rPr>
                    <w:t>2000</w:t>
                  </w:r>
                </w:p>
              </w:tc>
              <w:tc>
                <w:tcPr>
                  <w:tcW w:w="778" w:type="pct"/>
                  <w:vAlign w:val="center"/>
                </w:tcPr>
                <w:p w14:paraId="5BE81656">
                  <w:pPr>
                    <w:widowControl/>
                    <w:spacing w:line="240" w:lineRule="auto"/>
                    <w:jc w:val="center"/>
                    <w:rPr>
                      <w:rFonts w:hint="default"/>
                      <w:kern w:val="0"/>
                      <w:sz w:val="21"/>
                      <w:szCs w:val="21"/>
                      <w:lang w:val="en-US" w:eastAsia="zh-CN"/>
                    </w:rPr>
                  </w:pPr>
                  <w:r>
                    <w:rPr>
                      <w:rFonts w:hint="eastAsia"/>
                      <w:kern w:val="0"/>
                      <w:sz w:val="21"/>
                      <w:szCs w:val="21"/>
                      <w:lang w:val="en-US" w:eastAsia="zh-CN"/>
                    </w:rPr>
                    <w:t>2000</w:t>
                  </w:r>
                </w:p>
              </w:tc>
              <w:tc>
                <w:tcPr>
                  <w:tcW w:w="530" w:type="pct"/>
                  <w:vAlign w:val="center"/>
                </w:tcPr>
                <w:p w14:paraId="0DE414BA">
                  <w:pPr>
                    <w:widowControl/>
                    <w:spacing w:line="240" w:lineRule="auto"/>
                    <w:jc w:val="center"/>
                    <w:rPr>
                      <w:rFonts w:hint="default"/>
                      <w:kern w:val="0"/>
                      <w:sz w:val="21"/>
                      <w:szCs w:val="21"/>
                      <w:lang w:val="en-US" w:eastAsia="zh-CN"/>
                    </w:rPr>
                  </w:pPr>
                  <w:r>
                    <w:rPr>
                      <w:rFonts w:hint="eastAsia"/>
                      <w:kern w:val="0"/>
                      <w:sz w:val="21"/>
                      <w:szCs w:val="21"/>
                      <w:lang w:val="en-US" w:eastAsia="zh-CN"/>
                    </w:rPr>
                    <w:t>/</w:t>
                  </w:r>
                </w:p>
              </w:tc>
              <w:tc>
                <w:tcPr>
                  <w:tcW w:w="760" w:type="pct"/>
                  <w:vAlign w:val="center"/>
                </w:tcPr>
                <w:p w14:paraId="01B9DB24">
                  <w:pPr>
                    <w:widowControl/>
                    <w:spacing w:line="240" w:lineRule="auto"/>
                    <w:jc w:val="center"/>
                    <w:rPr>
                      <w:rFonts w:hint="eastAsia"/>
                      <w:kern w:val="0"/>
                      <w:sz w:val="21"/>
                      <w:szCs w:val="21"/>
                      <w:lang w:val="en-US" w:eastAsia="zh-CN"/>
                    </w:rPr>
                  </w:pPr>
                  <w:r>
                    <w:rPr>
                      <w:rFonts w:hint="eastAsia"/>
                      <w:kern w:val="0"/>
                      <w:sz w:val="21"/>
                      <w:szCs w:val="21"/>
                      <w:lang w:val="en-US" w:eastAsia="zh-CN"/>
                    </w:rPr>
                    <w:t>/</w:t>
                  </w:r>
                </w:p>
              </w:tc>
              <w:tc>
                <w:tcPr>
                  <w:tcW w:w="583" w:type="pct"/>
                  <w:vAlign w:val="center"/>
                </w:tcPr>
                <w:p w14:paraId="14205B50">
                  <w:pPr>
                    <w:widowControl/>
                    <w:spacing w:line="240" w:lineRule="auto"/>
                    <w:jc w:val="center"/>
                    <w:rPr>
                      <w:rFonts w:hint="eastAsia"/>
                      <w:kern w:val="0"/>
                      <w:sz w:val="21"/>
                      <w:szCs w:val="21"/>
                    </w:rPr>
                  </w:pPr>
                  <w:r>
                    <w:rPr>
                      <w:rFonts w:hint="eastAsia"/>
                      <w:kern w:val="0"/>
                      <w:sz w:val="21"/>
                      <w:szCs w:val="21"/>
                      <w:lang w:val="en-US" w:eastAsia="zh-CN"/>
                    </w:rPr>
                    <w:t>/</w:t>
                  </w:r>
                </w:p>
              </w:tc>
              <w:tc>
                <w:tcPr>
                  <w:tcW w:w="521" w:type="pct"/>
                  <w:vAlign w:val="center"/>
                </w:tcPr>
                <w:p w14:paraId="41EEEAB5">
                  <w:pPr>
                    <w:widowControl/>
                    <w:spacing w:line="240" w:lineRule="auto"/>
                    <w:jc w:val="center"/>
                    <w:rPr>
                      <w:kern w:val="0"/>
                      <w:sz w:val="21"/>
                      <w:szCs w:val="21"/>
                    </w:rPr>
                  </w:pPr>
                  <w:r>
                    <w:rPr>
                      <w:rFonts w:hint="eastAsia"/>
                      <w:kern w:val="0"/>
                      <w:sz w:val="21"/>
                      <w:szCs w:val="21"/>
                      <w:lang w:val="en-US" w:eastAsia="zh-CN"/>
                    </w:rPr>
                    <w:t>/</w:t>
                  </w:r>
                </w:p>
              </w:tc>
            </w:tr>
          </w:tbl>
          <w:p w14:paraId="2EBE848C">
            <w:pPr>
              <w:widowControl/>
              <w:adjustRightInd w:val="0"/>
              <w:snapToGrid w:val="0"/>
              <w:spacing w:line="240" w:lineRule="auto"/>
              <w:jc w:val="center"/>
              <w:rPr>
                <w:b/>
                <w:bCs/>
                <w:sz w:val="21"/>
                <w:szCs w:val="21"/>
                <w:highlight w:val="none"/>
              </w:rPr>
            </w:pPr>
          </w:p>
          <w:p w14:paraId="2C5A9BBF">
            <w:pPr>
              <w:pStyle w:val="2"/>
              <w:rPr>
                <w:b/>
                <w:bCs/>
                <w:sz w:val="21"/>
                <w:szCs w:val="21"/>
                <w:highlight w:val="none"/>
              </w:rPr>
            </w:pPr>
          </w:p>
          <w:p w14:paraId="4ED10F5F">
            <w:pPr>
              <w:pStyle w:val="3"/>
              <w:widowControl w:val="0"/>
              <w:numPr>
                <w:ilvl w:val="0"/>
                <w:numId w:val="0"/>
              </w:numPr>
              <w:spacing w:line="360" w:lineRule="auto"/>
              <w:jc w:val="both"/>
              <w:rPr>
                <w:b/>
                <w:bCs/>
                <w:sz w:val="21"/>
                <w:szCs w:val="21"/>
                <w:highlight w:val="none"/>
              </w:rPr>
            </w:pPr>
          </w:p>
          <w:p w14:paraId="07739ACD">
            <w:pPr>
              <w:widowControl/>
              <w:adjustRightInd w:val="0"/>
              <w:snapToGrid w:val="0"/>
              <w:spacing w:line="240" w:lineRule="auto"/>
              <w:jc w:val="center"/>
              <w:rPr>
                <w:sz w:val="21"/>
                <w:szCs w:val="21"/>
                <w:highlight w:val="none"/>
              </w:rPr>
            </w:pPr>
            <w:r>
              <w:rPr>
                <w:b/>
                <w:bCs/>
                <w:sz w:val="21"/>
                <w:szCs w:val="21"/>
                <w:highlight w:val="none"/>
              </w:rPr>
              <w:t>表2-</w:t>
            </w:r>
            <w:r>
              <w:rPr>
                <w:rFonts w:hint="eastAsia"/>
                <w:b/>
                <w:bCs/>
                <w:sz w:val="21"/>
                <w:szCs w:val="21"/>
                <w:highlight w:val="none"/>
              </w:rPr>
              <w:t>4</w:t>
            </w:r>
            <w:r>
              <w:rPr>
                <w:b/>
                <w:bCs/>
                <w:sz w:val="21"/>
                <w:szCs w:val="21"/>
                <w:highlight w:val="none"/>
              </w:rPr>
              <w:t xml:space="preserve">  </w:t>
            </w:r>
            <w:r>
              <w:rPr>
                <w:rFonts w:hint="eastAsia"/>
                <w:b/>
                <w:bCs/>
                <w:sz w:val="21"/>
                <w:szCs w:val="21"/>
                <w:highlight w:val="none"/>
              </w:rPr>
              <w:t>本项目公辅</w:t>
            </w:r>
            <w:r>
              <w:rPr>
                <w:b/>
                <w:bCs/>
                <w:sz w:val="21"/>
                <w:szCs w:val="21"/>
                <w:highlight w:val="none"/>
              </w:rPr>
              <w:t>工程建设内容</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26"/>
              <w:gridCol w:w="1831"/>
              <w:gridCol w:w="1889"/>
              <w:gridCol w:w="2236"/>
            </w:tblGrid>
            <w:tr w14:paraId="09E37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17" w:type="pct"/>
                  <w:vAlign w:val="center"/>
                </w:tcPr>
                <w:p w14:paraId="3C7FD048">
                  <w:pPr>
                    <w:spacing w:line="240" w:lineRule="auto"/>
                    <w:jc w:val="center"/>
                    <w:rPr>
                      <w:b/>
                      <w:bCs/>
                      <w:sz w:val="21"/>
                      <w:szCs w:val="21"/>
                    </w:rPr>
                  </w:pPr>
                  <w:r>
                    <w:rPr>
                      <w:rFonts w:hint="eastAsia"/>
                      <w:b/>
                      <w:bCs/>
                      <w:sz w:val="21"/>
                      <w:szCs w:val="21"/>
                    </w:rPr>
                    <w:t>类型</w:t>
                  </w:r>
                </w:p>
              </w:tc>
              <w:tc>
                <w:tcPr>
                  <w:tcW w:w="1788" w:type="pct"/>
                  <w:gridSpan w:val="2"/>
                  <w:vAlign w:val="center"/>
                </w:tcPr>
                <w:p w14:paraId="70F1A314">
                  <w:pPr>
                    <w:spacing w:line="240" w:lineRule="auto"/>
                    <w:jc w:val="center"/>
                    <w:rPr>
                      <w:b/>
                      <w:bCs/>
                      <w:sz w:val="21"/>
                      <w:szCs w:val="21"/>
                    </w:rPr>
                  </w:pPr>
                  <w:r>
                    <w:rPr>
                      <w:rFonts w:hint="eastAsia"/>
                      <w:b/>
                      <w:bCs/>
                      <w:sz w:val="21"/>
                      <w:szCs w:val="21"/>
                    </w:rPr>
                    <w:t>建筑名称</w:t>
                  </w:r>
                </w:p>
              </w:tc>
              <w:tc>
                <w:tcPr>
                  <w:tcW w:w="1142" w:type="pct"/>
                  <w:vAlign w:val="center"/>
                </w:tcPr>
                <w:p w14:paraId="63AF76A8">
                  <w:pPr>
                    <w:spacing w:line="240" w:lineRule="auto"/>
                    <w:jc w:val="center"/>
                    <w:rPr>
                      <w:b/>
                      <w:bCs/>
                      <w:sz w:val="21"/>
                      <w:szCs w:val="21"/>
                    </w:rPr>
                  </w:pPr>
                  <w:r>
                    <w:rPr>
                      <w:rFonts w:hint="eastAsia"/>
                      <w:b/>
                      <w:bCs/>
                      <w:sz w:val="21"/>
                      <w:szCs w:val="21"/>
                    </w:rPr>
                    <w:t>设计能力</w:t>
                  </w:r>
                </w:p>
              </w:tc>
              <w:tc>
                <w:tcPr>
                  <w:tcW w:w="1351" w:type="pct"/>
                  <w:vAlign w:val="center"/>
                </w:tcPr>
                <w:p w14:paraId="72DA7E3E">
                  <w:pPr>
                    <w:spacing w:line="240" w:lineRule="auto"/>
                    <w:jc w:val="center"/>
                    <w:rPr>
                      <w:bCs/>
                      <w:sz w:val="21"/>
                      <w:szCs w:val="21"/>
                    </w:rPr>
                  </w:pPr>
                  <w:r>
                    <w:rPr>
                      <w:rFonts w:hint="eastAsia"/>
                      <w:b/>
                      <w:sz w:val="21"/>
                      <w:szCs w:val="21"/>
                    </w:rPr>
                    <w:t>备注</w:t>
                  </w:r>
                </w:p>
              </w:tc>
            </w:tr>
            <w:tr w14:paraId="2FF19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restart"/>
                  <w:vAlign w:val="center"/>
                </w:tcPr>
                <w:p w14:paraId="426D6DBC">
                  <w:pPr>
                    <w:spacing w:line="240" w:lineRule="auto"/>
                    <w:jc w:val="center"/>
                    <w:rPr>
                      <w:b/>
                      <w:bCs/>
                      <w:sz w:val="21"/>
                      <w:szCs w:val="21"/>
                    </w:rPr>
                  </w:pPr>
                  <w:r>
                    <w:rPr>
                      <w:b/>
                      <w:bCs/>
                      <w:sz w:val="21"/>
                      <w:szCs w:val="21"/>
                    </w:rPr>
                    <w:t>储运工程</w:t>
                  </w:r>
                </w:p>
              </w:tc>
              <w:tc>
                <w:tcPr>
                  <w:tcW w:w="1788" w:type="pct"/>
                  <w:gridSpan w:val="2"/>
                  <w:vAlign w:val="center"/>
                </w:tcPr>
                <w:p w14:paraId="4F879B7A">
                  <w:pPr>
                    <w:spacing w:line="240" w:lineRule="auto"/>
                    <w:jc w:val="center"/>
                    <w:rPr>
                      <w:sz w:val="21"/>
                      <w:szCs w:val="21"/>
                      <w:highlight w:val="none"/>
                    </w:rPr>
                  </w:pPr>
                  <w:r>
                    <w:rPr>
                      <w:sz w:val="21"/>
                      <w:szCs w:val="21"/>
                      <w:highlight w:val="none"/>
                    </w:rPr>
                    <w:t>原料堆场</w:t>
                  </w:r>
                </w:p>
              </w:tc>
              <w:tc>
                <w:tcPr>
                  <w:tcW w:w="1142" w:type="pct"/>
                  <w:vAlign w:val="center"/>
                </w:tcPr>
                <w:p w14:paraId="6728A14A">
                  <w:pPr>
                    <w:spacing w:line="240" w:lineRule="auto"/>
                    <w:jc w:val="center"/>
                    <w:rPr>
                      <w:rFonts w:hint="default" w:eastAsia="仿宋"/>
                      <w:sz w:val="21"/>
                      <w:szCs w:val="21"/>
                      <w:highlight w:val="none"/>
                      <w:lang w:val="en-US" w:eastAsia="zh-CN"/>
                    </w:rPr>
                  </w:pPr>
                  <w:r>
                    <w:rPr>
                      <w:rFonts w:hint="eastAsia"/>
                      <w:sz w:val="21"/>
                      <w:szCs w:val="21"/>
                      <w:highlight w:val="none"/>
                      <w:lang w:val="en-US" w:eastAsia="zh-CN"/>
                    </w:rPr>
                    <w:t>100</w:t>
                  </w:r>
                  <w:r>
                    <w:rPr>
                      <w:b w:val="0"/>
                      <w:bCs w:val="0"/>
                      <w:kern w:val="0"/>
                      <w:sz w:val="21"/>
                      <w:szCs w:val="21"/>
                      <w:highlight w:val="none"/>
                    </w:rPr>
                    <w:t>m</w:t>
                  </w:r>
                  <w:r>
                    <w:rPr>
                      <w:b w:val="0"/>
                      <w:bCs w:val="0"/>
                      <w:kern w:val="0"/>
                      <w:sz w:val="21"/>
                      <w:szCs w:val="21"/>
                      <w:highlight w:val="none"/>
                      <w:vertAlign w:val="superscript"/>
                    </w:rPr>
                    <w:t>2</w:t>
                  </w:r>
                </w:p>
              </w:tc>
              <w:tc>
                <w:tcPr>
                  <w:tcW w:w="1351" w:type="pct"/>
                  <w:vAlign w:val="center"/>
                </w:tcPr>
                <w:p w14:paraId="7C8358E0">
                  <w:pPr>
                    <w:spacing w:line="240" w:lineRule="auto"/>
                    <w:jc w:val="center"/>
                    <w:rPr>
                      <w:rFonts w:hint="default" w:eastAsia="仿宋"/>
                      <w:sz w:val="21"/>
                      <w:szCs w:val="21"/>
                      <w:highlight w:val="none"/>
                      <w:lang w:val="en-US" w:eastAsia="zh-CN"/>
                    </w:rPr>
                  </w:pPr>
                  <w:r>
                    <w:rPr>
                      <w:sz w:val="21"/>
                      <w:szCs w:val="21"/>
                      <w:highlight w:val="none"/>
                    </w:rPr>
                    <w:t>位于</w:t>
                  </w:r>
                  <w:r>
                    <w:rPr>
                      <w:rFonts w:hint="eastAsia"/>
                      <w:sz w:val="21"/>
                      <w:szCs w:val="21"/>
                      <w:highlight w:val="none"/>
                      <w:lang w:val="en-US" w:eastAsia="zh-CN"/>
                    </w:rPr>
                    <w:t>生产车间西北侧</w:t>
                  </w:r>
                </w:p>
              </w:tc>
            </w:tr>
            <w:tr w14:paraId="7508D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3DB6FDBD">
                  <w:pPr>
                    <w:spacing w:line="240" w:lineRule="auto"/>
                    <w:jc w:val="center"/>
                    <w:rPr>
                      <w:b/>
                      <w:bCs/>
                      <w:sz w:val="21"/>
                      <w:szCs w:val="21"/>
                    </w:rPr>
                  </w:pPr>
                </w:p>
              </w:tc>
              <w:tc>
                <w:tcPr>
                  <w:tcW w:w="1788" w:type="pct"/>
                  <w:gridSpan w:val="2"/>
                  <w:vAlign w:val="center"/>
                </w:tcPr>
                <w:p w14:paraId="0870160B">
                  <w:pPr>
                    <w:spacing w:line="240" w:lineRule="auto"/>
                    <w:jc w:val="center"/>
                    <w:rPr>
                      <w:sz w:val="21"/>
                      <w:szCs w:val="21"/>
                      <w:highlight w:val="none"/>
                    </w:rPr>
                  </w:pPr>
                  <w:r>
                    <w:rPr>
                      <w:sz w:val="21"/>
                      <w:szCs w:val="21"/>
                      <w:highlight w:val="none"/>
                    </w:rPr>
                    <w:t>成品堆场</w:t>
                  </w:r>
                </w:p>
              </w:tc>
              <w:tc>
                <w:tcPr>
                  <w:tcW w:w="1142" w:type="pct"/>
                  <w:vAlign w:val="center"/>
                </w:tcPr>
                <w:p w14:paraId="3A66C4F8">
                  <w:pPr>
                    <w:spacing w:line="240" w:lineRule="auto"/>
                    <w:jc w:val="center"/>
                    <w:rPr>
                      <w:rFonts w:hint="default" w:eastAsia="仿宋"/>
                      <w:sz w:val="21"/>
                      <w:szCs w:val="21"/>
                      <w:highlight w:val="none"/>
                      <w:lang w:val="en-US" w:eastAsia="zh-CN"/>
                    </w:rPr>
                  </w:pPr>
                  <w:r>
                    <w:rPr>
                      <w:rFonts w:hint="eastAsia"/>
                      <w:sz w:val="21"/>
                      <w:szCs w:val="21"/>
                      <w:highlight w:val="none"/>
                      <w:lang w:val="en-US" w:eastAsia="zh-CN"/>
                    </w:rPr>
                    <w:t>100</w:t>
                  </w:r>
                  <w:r>
                    <w:rPr>
                      <w:b w:val="0"/>
                      <w:bCs w:val="0"/>
                      <w:kern w:val="0"/>
                      <w:sz w:val="21"/>
                      <w:szCs w:val="21"/>
                      <w:highlight w:val="none"/>
                    </w:rPr>
                    <w:t>m</w:t>
                  </w:r>
                  <w:r>
                    <w:rPr>
                      <w:b w:val="0"/>
                      <w:bCs w:val="0"/>
                      <w:kern w:val="0"/>
                      <w:sz w:val="21"/>
                      <w:szCs w:val="21"/>
                      <w:highlight w:val="none"/>
                      <w:vertAlign w:val="superscript"/>
                    </w:rPr>
                    <w:t>2</w:t>
                  </w:r>
                </w:p>
              </w:tc>
              <w:tc>
                <w:tcPr>
                  <w:tcW w:w="1351" w:type="pct"/>
                  <w:vAlign w:val="center"/>
                </w:tcPr>
                <w:p w14:paraId="2676B716">
                  <w:pPr>
                    <w:spacing w:line="240" w:lineRule="auto"/>
                    <w:jc w:val="center"/>
                    <w:rPr>
                      <w:sz w:val="21"/>
                      <w:szCs w:val="21"/>
                      <w:highlight w:val="none"/>
                    </w:rPr>
                  </w:pPr>
                  <w:r>
                    <w:rPr>
                      <w:sz w:val="21"/>
                      <w:szCs w:val="21"/>
                      <w:highlight w:val="none"/>
                    </w:rPr>
                    <w:t>位于</w:t>
                  </w:r>
                  <w:r>
                    <w:rPr>
                      <w:rFonts w:hint="eastAsia"/>
                      <w:sz w:val="21"/>
                      <w:szCs w:val="21"/>
                      <w:highlight w:val="none"/>
                      <w:lang w:val="en-US" w:eastAsia="zh-CN"/>
                    </w:rPr>
                    <w:t>生产车间东南侧</w:t>
                  </w:r>
                </w:p>
              </w:tc>
            </w:tr>
            <w:tr w14:paraId="0D551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3A4EB550">
                  <w:pPr>
                    <w:spacing w:line="240" w:lineRule="auto"/>
                    <w:jc w:val="center"/>
                    <w:rPr>
                      <w:b/>
                      <w:bCs/>
                      <w:sz w:val="21"/>
                      <w:szCs w:val="21"/>
                    </w:rPr>
                  </w:pPr>
                </w:p>
              </w:tc>
              <w:tc>
                <w:tcPr>
                  <w:tcW w:w="1788" w:type="pct"/>
                  <w:gridSpan w:val="2"/>
                  <w:vAlign w:val="center"/>
                </w:tcPr>
                <w:p w14:paraId="23B38B93">
                  <w:pPr>
                    <w:spacing w:line="240" w:lineRule="auto"/>
                    <w:jc w:val="center"/>
                    <w:rPr>
                      <w:rFonts w:hint="default" w:eastAsia="仿宋"/>
                      <w:sz w:val="21"/>
                      <w:szCs w:val="21"/>
                      <w:highlight w:val="none"/>
                      <w:lang w:val="en-US" w:eastAsia="zh-CN"/>
                    </w:rPr>
                  </w:pPr>
                  <w:r>
                    <w:rPr>
                      <w:rFonts w:hint="eastAsia"/>
                      <w:sz w:val="21"/>
                      <w:szCs w:val="21"/>
                      <w:highlight w:val="none"/>
                      <w:lang w:val="en-US" w:eastAsia="zh-CN"/>
                    </w:rPr>
                    <w:t>模具堆场</w:t>
                  </w:r>
                </w:p>
              </w:tc>
              <w:tc>
                <w:tcPr>
                  <w:tcW w:w="1142" w:type="pct"/>
                  <w:vAlign w:val="center"/>
                </w:tcPr>
                <w:p w14:paraId="2D648137">
                  <w:pPr>
                    <w:spacing w:line="240" w:lineRule="auto"/>
                    <w:jc w:val="center"/>
                    <w:rPr>
                      <w:rFonts w:hint="eastAsia"/>
                      <w:sz w:val="21"/>
                      <w:szCs w:val="21"/>
                      <w:highlight w:val="none"/>
                      <w:lang w:val="en-US" w:eastAsia="zh-CN"/>
                    </w:rPr>
                  </w:pPr>
                  <w:r>
                    <w:rPr>
                      <w:rFonts w:hint="eastAsia"/>
                      <w:sz w:val="21"/>
                      <w:szCs w:val="21"/>
                      <w:highlight w:val="none"/>
                      <w:lang w:val="en-US" w:eastAsia="zh-CN"/>
                    </w:rPr>
                    <w:t>50</w:t>
                  </w:r>
                  <w:r>
                    <w:rPr>
                      <w:b w:val="0"/>
                      <w:bCs w:val="0"/>
                      <w:kern w:val="0"/>
                      <w:sz w:val="21"/>
                      <w:szCs w:val="21"/>
                      <w:highlight w:val="none"/>
                    </w:rPr>
                    <w:t>m</w:t>
                  </w:r>
                  <w:r>
                    <w:rPr>
                      <w:b w:val="0"/>
                      <w:bCs w:val="0"/>
                      <w:kern w:val="0"/>
                      <w:sz w:val="21"/>
                      <w:szCs w:val="21"/>
                      <w:highlight w:val="none"/>
                      <w:vertAlign w:val="superscript"/>
                    </w:rPr>
                    <w:t>2</w:t>
                  </w:r>
                </w:p>
              </w:tc>
              <w:tc>
                <w:tcPr>
                  <w:tcW w:w="1351" w:type="pct"/>
                  <w:vAlign w:val="center"/>
                </w:tcPr>
                <w:p w14:paraId="32EC035E">
                  <w:pPr>
                    <w:spacing w:line="240" w:lineRule="auto"/>
                    <w:jc w:val="center"/>
                    <w:rPr>
                      <w:sz w:val="21"/>
                      <w:szCs w:val="21"/>
                      <w:highlight w:val="none"/>
                    </w:rPr>
                  </w:pPr>
                  <w:r>
                    <w:rPr>
                      <w:sz w:val="21"/>
                      <w:szCs w:val="21"/>
                      <w:highlight w:val="none"/>
                    </w:rPr>
                    <w:t>位于</w:t>
                  </w:r>
                  <w:r>
                    <w:rPr>
                      <w:rFonts w:hint="eastAsia"/>
                      <w:sz w:val="21"/>
                      <w:szCs w:val="21"/>
                      <w:highlight w:val="none"/>
                      <w:lang w:val="en-US" w:eastAsia="zh-CN"/>
                    </w:rPr>
                    <w:t>生产车间西侧</w:t>
                  </w:r>
                </w:p>
              </w:tc>
            </w:tr>
            <w:tr w14:paraId="5DBA2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restart"/>
                  <w:vAlign w:val="center"/>
                </w:tcPr>
                <w:p w14:paraId="4AE25D53">
                  <w:pPr>
                    <w:spacing w:line="240" w:lineRule="auto"/>
                    <w:jc w:val="center"/>
                    <w:rPr>
                      <w:b/>
                      <w:bCs/>
                      <w:sz w:val="21"/>
                      <w:szCs w:val="21"/>
                    </w:rPr>
                  </w:pPr>
                  <w:r>
                    <w:rPr>
                      <w:b/>
                      <w:bCs/>
                      <w:sz w:val="21"/>
                      <w:szCs w:val="21"/>
                    </w:rPr>
                    <w:t>公用工程</w:t>
                  </w:r>
                </w:p>
              </w:tc>
              <w:tc>
                <w:tcPr>
                  <w:tcW w:w="1788" w:type="pct"/>
                  <w:gridSpan w:val="2"/>
                  <w:vAlign w:val="center"/>
                </w:tcPr>
                <w:p w14:paraId="28AEDBA5">
                  <w:pPr>
                    <w:spacing w:line="240" w:lineRule="auto"/>
                    <w:jc w:val="center"/>
                    <w:rPr>
                      <w:sz w:val="21"/>
                      <w:szCs w:val="21"/>
                    </w:rPr>
                  </w:pPr>
                  <w:r>
                    <w:rPr>
                      <w:sz w:val="21"/>
                      <w:szCs w:val="21"/>
                    </w:rPr>
                    <w:t>供配电系统</w:t>
                  </w:r>
                </w:p>
              </w:tc>
              <w:tc>
                <w:tcPr>
                  <w:tcW w:w="1142" w:type="pct"/>
                  <w:vAlign w:val="center"/>
                </w:tcPr>
                <w:p w14:paraId="1E78C468">
                  <w:pPr>
                    <w:spacing w:line="240" w:lineRule="auto"/>
                    <w:jc w:val="center"/>
                    <w:rPr>
                      <w:sz w:val="21"/>
                      <w:szCs w:val="21"/>
                    </w:rPr>
                  </w:pPr>
                  <w:r>
                    <w:rPr>
                      <w:rFonts w:hint="eastAsia" w:ascii="Times New Roman" w:hAnsi="Times New Roman" w:cs="Times New Roman"/>
                      <w:sz w:val="21"/>
                      <w:szCs w:val="21"/>
                      <w:lang w:val="en-US" w:eastAsia="zh-CN"/>
                    </w:rPr>
                    <w:t>125.6万度/年</w:t>
                  </w:r>
                </w:p>
              </w:tc>
              <w:tc>
                <w:tcPr>
                  <w:tcW w:w="1351" w:type="pct"/>
                  <w:vAlign w:val="center"/>
                </w:tcPr>
                <w:p w14:paraId="048E9783">
                  <w:pPr>
                    <w:spacing w:line="240" w:lineRule="auto"/>
                    <w:jc w:val="center"/>
                    <w:rPr>
                      <w:bCs/>
                      <w:sz w:val="21"/>
                      <w:szCs w:val="21"/>
                    </w:rPr>
                  </w:pPr>
                  <w:r>
                    <w:rPr>
                      <w:bCs/>
                      <w:sz w:val="21"/>
                      <w:szCs w:val="21"/>
                    </w:rPr>
                    <w:t>区域供电</w:t>
                  </w:r>
                </w:p>
              </w:tc>
            </w:tr>
            <w:tr w14:paraId="274D3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761FC13B">
                  <w:pPr>
                    <w:spacing w:line="240" w:lineRule="auto"/>
                    <w:jc w:val="center"/>
                    <w:rPr>
                      <w:b/>
                      <w:bCs/>
                      <w:sz w:val="21"/>
                      <w:szCs w:val="21"/>
                    </w:rPr>
                  </w:pPr>
                </w:p>
              </w:tc>
              <w:tc>
                <w:tcPr>
                  <w:tcW w:w="1788" w:type="pct"/>
                  <w:gridSpan w:val="2"/>
                  <w:vAlign w:val="center"/>
                </w:tcPr>
                <w:p w14:paraId="2753A850">
                  <w:pPr>
                    <w:spacing w:line="240" w:lineRule="auto"/>
                    <w:jc w:val="center"/>
                    <w:rPr>
                      <w:rFonts w:hint="eastAsia" w:eastAsia="仿宋"/>
                      <w:sz w:val="21"/>
                      <w:szCs w:val="21"/>
                      <w:lang w:val="en-US" w:eastAsia="zh-CN"/>
                    </w:rPr>
                  </w:pPr>
                  <w:r>
                    <w:rPr>
                      <w:rFonts w:hint="eastAsia"/>
                      <w:sz w:val="21"/>
                      <w:szCs w:val="21"/>
                      <w:lang w:val="en-US" w:eastAsia="zh-CN"/>
                    </w:rPr>
                    <w:t>供气系统</w:t>
                  </w:r>
                </w:p>
              </w:tc>
              <w:tc>
                <w:tcPr>
                  <w:tcW w:w="1142" w:type="pct"/>
                  <w:vAlign w:val="center"/>
                </w:tcPr>
                <w:p w14:paraId="4FB24D1A">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40万m</w:t>
                  </w:r>
                  <w:r>
                    <w:rPr>
                      <w:rFonts w:hint="eastAsia" w:cs="Times New Roman"/>
                      <w:sz w:val="21"/>
                      <w:szCs w:val="21"/>
                      <w:vertAlign w:val="superscript"/>
                      <w:lang w:val="en-US" w:eastAsia="zh-CN"/>
                    </w:rPr>
                    <w:t>3</w:t>
                  </w:r>
                  <w:r>
                    <w:rPr>
                      <w:rFonts w:hint="eastAsia" w:cs="Times New Roman"/>
                      <w:sz w:val="21"/>
                      <w:szCs w:val="21"/>
                      <w:lang w:val="en-US" w:eastAsia="zh-CN"/>
                    </w:rPr>
                    <w:t>/a</w:t>
                  </w:r>
                </w:p>
              </w:tc>
              <w:tc>
                <w:tcPr>
                  <w:tcW w:w="1351" w:type="pct"/>
                  <w:vAlign w:val="center"/>
                </w:tcPr>
                <w:p w14:paraId="06FF4F17">
                  <w:pPr>
                    <w:spacing w:line="240" w:lineRule="auto"/>
                    <w:jc w:val="center"/>
                    <w:rPr>
                      <w:rFonts w:hint="default" w:eastAsia="仿宋"/>
                      <w:bCs/>
                      <w:sz w:val="21"/>
                      <w:szCs w:val="21"/>
                      <w:lang w:val="en-US" w:eastAsia="zh-CN"/>
                    </w:rPr>
                  </w:pPr>
                  <w:r>
                    <w:rPr>
                      <w:rFonts w:hint="eastAsia"/>
                      <w:bCs/>
                      <w:sz w:val="21"/>
                      <w:szCs w:val="21"/>
                      <w:lang w:val="en-US" w:eastAsia="zh-CN"/>
                    </w:rPr>
                    <w:t>新奥燃气</w:t>
                  </w:r>
                </w:p>
              </w:tc>
            </w:tr>
            <w:tr w14:paraId="305C7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19F47D0C">
                  <w:pPr>
                    <w:spacing w:line="240" w:lineRule="auto"/>
                    <w:jc w:val="center"/>
                    <w:rPr>
                      <w:b/>
                      <w:bCs/>
                      <w:sz w:val="21"/>
                      <w:szCs w:val="21"/>
                    </w:rPr>
                  </w:pPr>
                </w:p>
              </w:tc>
              <w:tc>
                <w:tcPr>
                  <w:tcW w:w="681" w:type="pct"/>
                  <w:vMerge w:val="restart"/>
                  <w:vAlign w:val="center"/>
                </w:tcPr>
                <w:p w14:paraId="2C59670E">
                  <w:pPr>
                    <w:spacing w:line="240" w:lineRule="auto"/>
                    <w:jc w:val="center"/>
                    <w:rPr>
                      <w:sz w:val="21"/>
                      <w:szCs w:val="21"/>
                    </w:rPr>
                  </w:pPr>
                  <w:r>
                    <w:rPr>
                      <w:sz w:val="21"/>
                      <w:szCs w:val="21"/>
                    </w:rPr>
                    <w:t>给水系统</w:t>
                  </w:r>
                </w:p>
              </w:tc>
              <w:tc>
                <w:tcPr>
                  <w:tcW w:w="1106" w:type="pct"/>
                  <w:vAlign w:val="center"/>
                </w:tcPr>
                <w:p w14:paraId="6759515D">
                  <w:pPr>
                    <w:spacing w:line="240" w:lineRule="auto"/>
                    <w:jc w:val="center"/>
                    <w:rPr>
                      <w:sz w:val="21"/>
                      <w:szCs w:val="21"/>
                    </w:rPr>
                  </w:pPr>
                  <w:r>
                    <w:rPr>
                      <w:sz w:val="21"/>
                      <w:szCs w:val="21"/>
                    </w:rPr>
                    <w:t>生活用水</w:t>
                  </w:r>
                </w:p>
              </w:tc>
              <w:tc>
                <w:tcPr>
                  <w:tcW w:w="1142" w:type="pct"/>
                  <w:vAlign w:val="center"/>
                </w:tcPr>
                <w:p w14:paraId="2F2F370F">
                  <w:pPr>
                    <w:spacing w:line="240" w:lineRule="auto"/>
                    <w:jc w:val="center"/>
                    <w:rPr>
                      <w:sz w:val="21"/>
                      <w:szCs w:val="21"/>
                    </w:rPr>
                  </w:pPr>
                  <w:r>
                    <w:rPr>
                      <w:rFonts w:hint="eastAsia"/>
                      <w:sz w:val="21"/>
                      <w:szCs w:val="21"/>
                      <w:lang w:val="en-US" w:eastAsia="zh-CN"/>
                    </w:rPr>
                    <w:t>84</w:t>
                  </w:r>
                  <w:r>
                    <w:rPr>
                      <w:sz w:val="21"/>
                      <w:szCs w:val="21"/>
                    </w:rPr>
                    <w:t>0m</w:t>
                  </w:r>
                  <w:r>
                    <w:rPr>
                      <w:sz w:val="21"/>
                      <w:szCs w:val="21"/>
                      <w:vertAlign w:val="superscript"/>
                    </w:rPr>
                    <w:t>3</w:t>
                  </w:r>
                  <w:r>
                    <w:rPr>
                      <w:sz w:val="21"/>
                      <w:szCs w:val="21"/>
                    </w:rPr>
                    <w:t>/a</w:t>
                  </w:r>
                </w:p>
              </w:tc>
              <w:tc>
                <w:tcPr>
                  <w:tcW w:w="1351" w:type="pct"/>
                  <w:vMerge w:val="restart"/>
                  <w:vAlign w:val="center"/>
                </w:tcPr>
                <w:p w14:paraId="4A99B470">
                  <w:pPr>
                    <w:spacing w:line="240" w:lineRule="auto"/>
                    <w:jc w:val="center"/>
                    <w:rPr>
                      <w:bCs/>
                      <w:sz w:val="21"/>
                      <w:szCs w:val="21"/>
                    </w:rPr>
                  </w:pPr>
                  <w:r>
                    <w:rPr>
                      <w:bCs/>
                      <w:sz w:val="21"/>
                      <w:szCs w:val="21"/>
                    </w:rPr>
                    <w:t>由市政自来水厂供给</w:t>
                  </w:r>
                </w:p>
              </w:tc>
            </w:tr>
            <w:tr w14:paraId="1688D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Merge w:val="continue"/>
                  <w:vAlign w:val="center"/>
                </w:tcPr>
                <w:p w14:paraId="466F2BCF">
                  <w:pPr>
                    <w:spacing w:line="240" w:lineRule="auto"/>
                    <w:jc w:val="center"/>
                    <w:rPr>
                      <w:b/>
                      <w:bCs/>
                      <w:sz w:val="21"/>
                      <w:szCs w:val="21"/>
                    </w:rPr>
                  </w:pPr>
                </w:p>
              </w:tc>
              <w:tc>
                <w:tcPr>
                  <w:tcW w:w="681" w:type="pct"/>
                  <w:vMerge w:val="continue"/>
                  <w:vAlign w:val="center"/>
                </w:tcPr>
                <w:p w14:paraId="2893BEC0">
                  <w:pPr>
                    <w:spacing w:line="240" w:lineRule="auto"/>
                    <w:jc w:val="center"/>
                    <w:rPr>
                      <w:sz w:val="21"/>
                      <w:szCs w:val="21"/>
                    </w:rPr>
                  </w:pPr>
                </w:p>
              </w:tc>
              <w:tc>
                <w:tcPr>
                  <w:tcW w:w="1106" w:type="pct"/>
                  <w:vAlign w:val="center"/>
                </w:tcPr>
                <w:p w14:paraId="76B28C38">
                  <w:pPr>
                    <w:spacing w:line="240" w:lineRule="auto"/>
                    <w:jc w:val="center"/>
                    <w:rPr>
                      <w:rFonts w:hint="eastAsia" w:eastAsia="仿宋"/>
                      <w:sz w:val="21"/>
                      <w:szCs w:val="21"/>
                      <w:lang w:val="en-US" w:eastAsia="zh-CN"/>
                    </w:rPr>
                  </w:pPr>
                  <w:r>
                    <w:rPr>
                      <w:rFonts w:hint="eastAsia"/>
                      <w:sz w:val="21"/>
                      <w:szCs w:val="21"/>
                      <w:lang w:val="en-US" w:eastAsia="zh-CN"/>
                    </w:rPr>
                    <w:t>生产用水</w:t>
                  </w:r>
                </w:p>
              </w:tc>
              <w:tc>
                <w:tcPr>
                  <w:tcW w:w="1142" w:type="pct"/>
                  <w:vAlign w:val="center"/>
                </w:tcPr>
                <w:p w14:paraId="3B1270C5">
                  <w:pPr>
                    <w:spacing w:line="240" w:lineRule="auto"/>
                    <w:jc w:val="center"/>
                    <w:rPr>
                      <w:rFonts w:hint="default"/>
                      <w:sz w:val="21"/>
                      <w:szCs w:val="21"/>
                      <w:lang w:val="en-US" w:eastAsia="zh-CN"/>
                    </w:rPr>
                  </w:pPr>
                  <w:r>
                    <w:rPr>
                      <w:rFonts w:hint="eastAsia"/>
                      <w:sz w:val="21"/>
                      <w:szCs w:val="21"/>
                      <w:highlight w:val="none"/>
                      <w:lang w:val="en-US" w:eastAsia="zh-CN"/>
                    </w:rPr>
                    <w:t>1332</w:t>
                  </w:r>
                  <w:r>
                    <w:rPr>
                      <w:sz w:val="21"/>
                      <w:szCs w:val="21"/>
                      <w:highlight w:val="none"/>
                    </w:rPr>
                    <w:t>m</w:t>
                  </w:r>
                  <w:r>
                    <w:rPr>
                      <w:sz w:val="21"/>
                      <w:szCs w:val="21"/>
                      <w:highlight w:val="none"/>
                      <w:vertAlign w:val="superscript"/>
                    </w:rPr>
                    <w:t>3</w:t>
                  </w:r>
                  <w:r>
                    <w:rPr>
                      <w:sz w:val="21"/>
                      <w:szCs w:val="21"/>
                      <w:highlight w:val="none"/>
                    </w:rPr>
                    <w:t>/a</w:t>
                  </w:r>
                </w:p>
              </w:tc>
              <w:tc>
                <w:tcPr>
                  <w:tcW w:w="1351" w:type="pct"/>
                  <w:vMerge w:val="continue"/>
                  <w:vAlign w:val="center"/>
                </w:tcPr>
                <w:p w14:paraId="34FABBD8">
                  <w:pPr>
                    <w:spacing w:line="240" w:lineRule="auto"/>
                    <w:jc w:val="center"/>
                    <w:rPr>
                      <w:bCs/>
                      <w:sz w:val="21"/>
                      <w:szCs w:val="21"/>
                    </w:rPr>
                  </w:pPr>
                </w:p>
              </w:tc>
            </w:tr>
            <w:tr w14:paraId="78035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0E19C02F">
                  <w:pPr>
                    <w:spacing w:line="240" w:lineRule="auto"/>
                    <w:jc w:val="center"/>
                    <w:rPr>
                      <w:b/>
                      <w:bCs/>
                      <w:sz w:val="21"/>
                      <w:szCs w:val="21"/>
                    </w:rPr>
                  </w:pPr>
                </w:p>
              </w:tc>
              <w:tc>
                <w:tcPr>
                  <w:tcW w:w="681" w:type="pct"/>
                  <w:vAlign w:val="center"/>
                </w:tcPr>
                <w:p w14:paraId="164AACB4">
                  <w:pPr>
                    <w:spacing w:line="240" w:lineRule="auto"/>
                    <w:jc w:val="center"/>
                    <w:rPr>
                      <w:sz w:val="21"/>
                      <w:szCs w:val="21"/>
                    </w:rPr>
                  </w:pPr>
                  <w:r>
                    <w:rPr>
                      <w:sz w:val="21"/>
                      <w:szCs w:val="21"/>
                    </w:rPr>
                    <w:t>排水系统</w:t>
                  </w:r>
                </w:p>
              </w:tc>
              <w:tc>
                <w:tcPr>
                  <w:tcW w:w="1106" w:type="pct"/>
                  <w:vAlign w:val="center"/>
                </w:tcPr>
                <w:p w14:paraId="7C521641">
                  <w:pPr>
                    <w:spacing w:line="240" w:lineRule="auto"/>
                    <w:jc w:val="center"/>
                    <w:rPr>
                      <w:sz w:val="21"/>
                      <w:szCs w:val="21"/>
                    </w:rPr>
                  </w:pPr>
                  <w:r>
                    <w:rPr>
                      <w:sz w:val="21"/>
                      <w:szCs w:val="21"/>
                    </w:rPr>
                    <w:t>生活污水</w:t>
                  </w:r>
                </w:p>
              </w:tc>
              <w:tc>
                <w:tcPr>
                  <w:tcW w:w="1142" w:type="pct"/>
                  <w:vAlign w:val="center"/>
                </w:tcPr>
                <w:p w14:paraId="5388EC07">
                  <w:pPr>
                    <w:spacing w:line="240" w:lineRule="auto"/>
                    <w:jc w:val="center"/>
                    <w:rPr>
                      <w:sz w:val="21"/>
                      <w:szCs w:val="21"/>
                    </w:rPr>
                  </w:pPr>
                  <w:r>
                    <w:rPr>
                      <w:rFonts w:hint="eastAsia"/>
                      <w:sz w:val="21"/>
                      <w:szCs w:val="21"/>
                      <w:lang w:val="en-US" w:eastAsia="zh-CN"/>
                    </w:rPr>
                    <w:t>672</w:t>
                  </w:r>
                  <w:r>
                    <w:rPr>
                      <w:sz w:val="21"/>
                      <w:szCs w:val="21"/>
                    </w:rPr>
                    <w:t>m</w:t>
                  </w:r>
                  <w:r>
                    <w:rPr>
                      <w:sz w:val="21"/>
                      <w:szCs w:val="21"/>
                      <w:vertAlign w:val="superscript"/>
                    </w:rPr>
                    <w:t>3</w:t>
                  </w:r>
                  <w:r>
                    <w:rPr>
                      <w:sz w:val="21"/>
                      <w:szCs w:val="21"/>
                    </w:rPr>
                    <w:t>/a</w:t>
                  </w:r>
                </w:p>
              </w:tc>
              <w:tc>
                <w:tcPr>
                  <w:tcW w:w="1351" w:type="pct"/>
                  <w:vAlign w:val="center"/>
                </w:tcPr>
                <w:p w14:paraId="394DE745">
                  <w:pPr>
                    <w:spacing w:line="240" w:lineRule="auto"/>
                    <w:jc w:val="center"/>
                    <w:rPr>
                      <w:bCs/>
                      <w:sz w:val="21"/>
                      <w:szCs w:val="21"/>
                    </w:rPr>
                  </w:pPr>
                  <w:r>
                    <w:rPr>
                      <w:rFonts w:hint="eastAsia"/>
                      <w:sz w:val="21"/>
                      <w:szCs w:val="21"/>
                    </w:rPr>
                    <w:t>生活污水</w:t>
                  </w:r>
                  <w:r>
                    <w:rPr>
                      <w:bCs/>
                      <w:sz w:val="21"/>
                      <w:szCs w:val="21"/>
                    </w:rPr>
                    <w:t>由区域污水管网接管至</w:t>
                  </w:r>
                  <w:r>
                    <w:rPr>
                      <w:rFonts w:hint="eastAsia"/>
                      <w:bCs/>
                      <w:sz w:val="21"/>
                      <w:szCs w:val="21"/>
                    </w:rPr>
                    <w:t>常州东方横山水处理有限公司</w:t>
                  </w:r>
                  <w:r>
                    <w:rPr>
                      <w:bCs/>
                      <w:sz w:val="21"/>
                      <w:szCs w:val="21"/>
                    </w:rPr>
                    <w:t>处理，尾水排入三山港</w:t>
                  </w:r>
                </w:p>
              </w:tc>
            </w:tr>
            <w:tr w14:paraId="7565A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restart"/>
                  <w:vAlign w:val="center"/>
                </w:tcPr>
                <w:p w14:paraId="5DC277E2">
                  <w:pPr>
                    <w:spacing w:line="240" w:lineRule="auto"/>
                    <w:jc w:val="center"/>
                    <w:rPr>
                      <w:sz w:val="21"/>
                      <w:szCs w:val="21"/>
                    </w:rPr>
                  </w:pPr>
                  <w:r>
                    <w:rPr>
                      <w:b/>
                      <w:bCs/>
                      <w:sz w:val="21"/>
                      <w:szCs w:val="21"/>
                    </w:rPr>
                    <w:t>环保工程</w:t>
                  </w:r>
                </w:p>
              </w:tc>
              <w:tc>
                <w:tcPr>
                  <w:tcW w:w="681" w:type="pct"/>
                  <w:shd w:val="clear" w:color="auto" w:fill="auto"/>
                  <w:vAlign w:val="center"/>
                </w:tcPr>
                <w:p w14:paraId="66EFC2A8">
                  <w:pPr>
                    <w:spacing w:line="240" w:lineRule="auto"/>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废气</w:t>
                  </w:r>
                </w:p>
              </w:tc>
              <w:tc>
                <w:tcPr>
                  <w:tcW w:w="1106" w:type="pct"/>
                  <w:shd w:val="clear" w:color="auto" w:fill="auto"/>
                  <w:vAlign w:val="center"/>
                </w:tcPr>
                <w:p w14:paraId="163C5D77">
                  <w:pPr>
                    <w:spacing w:line="240" w:lineRule="auto"/>
                    <w:jc w:val="center"/>
                    <w:rPr>
                      <w:rFonts w:hint="default" w:eastAsia="仿宋"/>
                      <w:sz w:val="21"/>
                      <w:szCs w:val="21"/>
                      <w:lang w:val="en-US" w:eastAsia="zh-CN"/>
                    </w:rPr>
                  </w:pPr>
                  <w:r>
                    <w:rPr>
                      <w:rFonts w:hint="eastAsia"/>
                      <w:sz w:val="21"/>
                      <w:szCs w:val="21"/>
                      <w:lang w:val="en-US" w:eastAsia="zh-CN"/>
                    </w:rPr>
                    <w:t>1套水喷淋+干式过滤+二级活性炭吸附装置</w:t>
                  </w:r>
                </w:p>
              </w:tc>
              <w:tc>
                <w:tcPr>
                  <w:tcW w:w="1142" w:type="pct"/>
                  <w:shd w:val="clear" w:color="auto" w:fill="auto"/>
                  <w:vAlign w:val="center"/>
                </w:tcPr>
                <w:p w14:paraId="195CF3F8">
                  <w:pPr>
                    <w:spacing w:line="240" w:lineRule="auto"/>
                    <w:jc w:val="center"/>
                    <w:rPr>
                      <w:rFonts w:hint="eastAsia"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Q=28000</w:t>
                  </w:r>
                  <w:r>
                    <w:rPr>
                      <w:sz w:val="21"/>
                      <w:szCs w:val="21"/>
                    </w:rPr>
                    <w:t>m</w:t>
                  </w:r>
                  <w:r>
                    <w:rPr>
                      <w:sz w:val="21"/>
                      <w:szCs w:val="21"/>
                      <w:vertAlign w:val="superscript"/>
                    </w:rPr>
                    <w:t>3</w:t>
                  </w:r>
                  <w:r>
                    <w:rPr>
                      <w:sz w:val="21"/>
                      <w:szCs w:val="21"/>
                    </w:rPr>
                    <w:t>/</w:t>
                  </w:r>
                  <w:r>
                    <w:rPr>
                      <w:rFonts w:hint="eastAsia"/>
                      <w:sz w:val="21"/>
                      <w:szCs w:val="21"/>
                      <w:lang w:val="en-US" w:eastAsia="zh-CN"/>
                    </w:rPr>
                    <w:t>h</w:t>
                  </w:r>
                </w:p>
              </w:tc>
              <w:tc>
                <w:tcPr>
                  <w:tcW w:w="1351" w:type="pct"/>
                  <w:shd w:val="clear" w:color="auto" w:fill="auto"/>
                  <w:vAlign w:val="center"/>
                </w:tcPr>
                <w:p w14:paraId="19CC4950">
                  <w:pPr>
                    <w:spacing w:line="240" w:lineRule="auto"/>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用于处理熔化、压铸废气</w:t>
                  </w:r>
                </w:p>
              </w:tc>
            </w:tr>
            <w:tr w14:paraId="75351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09920A31">
                  <w:pPr>
                    <w:spacing w:line="240" w:lineRule="auto"/>
                    <w:jc w:val="center"/>
                    <w:rPr>
                      <w:sz w:val="21"/>
                      <w:szCs w:val="21"/>
                    </w:rPr>
                  </w:pPr>
                </w:p>
              </w:tc>
              <w:tc>
                <w:tcPr>
                  <w:tcW w:w="681" w:type="pct"/>
                  <w:vMerge w:val="restart"/>
                  <w:vAlign w:val="center"/>
                </w:tcPr>
                <w:p w14:paraId="3DC653EB">
                  <w:pPr>
                    <w:spacing w:line="240" w:lineRule="auto"/>
                    <w:jc w:val="center"/>
                    <w:rPr>
                      <w:sz w:val="21"/>
                      <w:szCs w:val="21"/>
                    </w:rPr>
                  </w:pPr>
                  <w:r>
                    <w:rPr>
                      <w:sz w:val="21"/>
                      <w:szCs w:val="21"/>
                    </w:rPr>
                    <w:t>固体废物</w:t>
                  </w:r>
                </w:p>
              </w:tc>
              <w:tc>
                <w:tcPr>
                  <w:tcW w:w="1106" w:type="pct"/>
                  <w:vAlign w:val="center"/>
                </w:tcPr>
                <w:p w14:paraId="0FBE932E">
                  <w:pPr>
                    <w:spacing w:line="240" w:lineRule="auto"/>
                    <w:jc w:val="center"/>
                    <w:rPr>
                      <w:sz w:val="21"/>
                      <w:szCs w:val="21"/>
                      <w:highlight w:val="none"/>
                    </w:rPr>
                  </w:pPr>
                  <w:r>
                    <w:rPr>
                      <w:rFonts w:hint="eastAsia"/>
                      <w:sz w:val="21"/>
                      <w:szCs w:val="21"/>
                      <w:highlight w:val="none"/>
                    </w:rPr>
                    <w:t>一般固废堆场</w:t>
                  </w:r>
                </w:p>
              </w:tc>
              <w:tc>
                <w:tcPr>
                  <w:tcW w:w="1142" w:type="pct"/>
                  <w:vAlign w:val="center"/>
                </w:tcPr>
                <w:p w14:paraId="33CE7EDE">
                  <w:pPr>
                    <w:spacing w:line="240" w:lineRule="auto"/>
                    <w:jc w:val="center"/>
                    <w:rPr>
                      <w:sz w:val="21"/>
                      <w:szCs w:val="21"/>
                      <w:highlight w:val="none"/>
                    </w:rPr>
                  </w:pPr>
                  <w:r>
                    <w:rPr>
                      <w:rFonts w:hint="eastAsia"/>
                      <w:sz w:val="21"/>
                      <w:szCs w:val="21"/>
                      <w:highlight w:val="none"/>
                      <w:lang w:val="en-US" w:eastAsia="zh-CN"/>
                    </w:rPr>
                    <w:t>100</w:t>
                  </w:r>
                  <w:r>
                    <w:rPr>
                      <w:sz w:val="21"/>
                      <w:szCs w:val="21"/>
                      <w:highlight w:val="none"/>
                    </w:rPr>
                    <w:t>m</w:t>
                  </w:r>
                  <w:r>
                    <w:rPr>
                      <w:sz w:val="21"/>
                      <w:szCs w:val="21"/>
                      <w:highlight w:val="none"/>
                      <w:vertAlign w:val="superscript"/>
                    </w:rPr>
                    <w:t>2</w:t>
                  </w:r>
                </w:p>
              </w:tc>
              <w:tc>
                <w:tcPr>
                  <w:tcW w:w="1351" w:type="pct"/>
                  <w:vAlign w:val="center"/>
                </w:tcPr>
                <w:p w14:paraId="43F98B17">
                  <w:pPr>
                    <w:spacing w:line="240" w:lineRule="auto"/>
                    <w:jc w:val="center"/>
                    <w:rPr>
                      <w:rFonts w:hint="default" w:eastAsia="仿宋"/>
                      <w:sz w:val="21"/>
                      <w:szCs w:val="21"/>
                      <w:highlight w:val="none"/>
                      <w:lang w:val="en-US" w:eastAsia="zh-CN"/>
                    </w:rPr>
                  </w:pPr>
                  <w:r>
                    <w:rPr>
                      <w:sz w:val="21"/>
                      <w:szCs w:val="21"/>
                      <w:highlight w:val="none"/>
                    </w:rPr>
                    <w:t>位于</w:t>
                  </w:r>
                  <w:r>
                    <w:rPr>
                      <w:rFonts w:hint="eastAsia"/>
                      <w:sz w:val="21"/>
                      <w:szCs w:val="21"/>
                      <w:highlight w:val="none"/>
                      <w:lang w:val="en-US" w:eastAsia="zh-CN"/>
                    </w:rPr>
                    <w:t>生产车间东侧</w:t>
                  </w:r>
                </w:p>
              </w:tc>
            </w:tr>
            <w:tr w14:paraId="6D598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pct"/>
                  <w:vMerge w:val="continue"/>
                  <w:vAlign w:val="center"/>
                </w:tcPr>
                <w:p w14:paraId="0730B001">
                  <w:pPr>
                    <w:spacing w:line="240" w:lineRule="auto"/>
                    <w:jc w:val="center"/>
                    <w:rPr>
                      <w:sz w:val="21"/>
                      <w:szCs w:val="21"/>
                    </w:rPr>
                  </w:pPr>
                </w:p>
              </w:tc>
              <w:tc>
                <w:tcPr>
                  <w:tcW w:w="681" w:type="pct"/>
                  <w:vMerge w:val="continue"/>
                  <w:vAlign w:val="center"/>
                </w:tcPr>
                <w:p w14:paraId="543BC49E">
                  <w:pPr>
                    <w:spacing w:line="240" w:lineRule="auto"/>
                    <w:jc w:val="center"/>
                    <w:rPr>
                      <w:sz w:val="21"/>
                      <w:szCs w:val="21"/>
                    </w:rPr>
                  </w:pPr>
                </w:p>
              </w:tc>
              <w:tc>
                <w:tcPr>
                  <w:tcW w:w="1106" w:type="pct"/>
                  <w:vAlign w:val="center"/>
                </w:tcPr>
                <w:p w14:paraId="0DE71242">
                  <w:pPr>
                    <w:spacing w:line="240" w:lineRule="auto"/>
                    <w:jc w:val="center"/>
                    <w:rPr>
                      <w:sz w:val="21"/>
                      <w:szCs w:val="21"/>
                      <w:highlight w:val="none"/>
                    </w:rPr>
                  </w:pPr>
                  <w:r>
                    <w:rPr>
                      <w:sz w:val="21"/>
                      <w:szCs w:val="21"/>
                      <w:highlight w:val="none"/>
                    </w:rPr>
                    <w:t>危废仓库</w:t>
                  </w:r>
                </w:p>
              </w:tc>
              <w:tc>
                <w:tcPr>
                  <w:tcW w:w="1142" w:type="pct"/>
                  <w:vAlign w:val="center"/>
                </w:tcPr>
                <w:p w14:paraId="08B7261F">
                  <w:pPr>
                    <w:spacing w:line="240" w:lineRule="auto"/>
                    <w:jc w:val="center"/>
                    <w:rPr>
                      <w:sz w:val="21"/>
                      <w:szCs w:val="21"/>
                      <w:highlight w:val="none"/>
                    </w:rPr>
                  </w:pPr>
                  <w:r>
                    <w:rPr>
                      <w:rFonts w:hint="eastAsia"/>
                      <w:sz w:val="21"/>
                      <w:szCs w:val="21"/>
                      <w:highlight w:val="none"/>
                      <w:lang w:val="en-US" w:eastAsia="zh-CN"/>
                    </w:rPr>
                    <w:t>20</w:t>
                  </w:r>
                  <w:r>
                    <w:rPr>
                      <w:sz w:val="21"/>
                      <w:szCs w:val="21"/>
                      <w:highlight w:val="none"/>
                    </w:rPr>
                    <w:t>m</w:t>
                  </w:r>
                  <w:r>
                    <w:rPr>
                      <w:sz w:val="21"/>
                      <w:szCs w:val="21"/>
                      <w:highlight w:val="none"/>
                      <w:vertAlign w:val="superscript"/>
                    </w:rPr>
                    <w:t>2</w:t>
                  </w:r>
                </w:p>
              </w:tc>
              <w:tc>
                <w:tcPr>
                  <w:tcW w:w="1351" w:type="pct"/>
                  <w:vAlign w:val="center"/>
                </w:tcPr>
                <w:p w14:paraId="1A2D63C2">
                  <w:pPr>
                    <w:spacing w:line="240" w:lineRule="auto"/>
                    <w:jc w:val="center"/>
                    <w:rPr>
                      <w:rFonts w:hint="default"/>
                      <w:sz w:val="21"/>
                      <w:szCs w:val="21"/>
                      <w:highlight w:val="none"/>
                      <w:lang w:val="en-US"/>
                    </w:rPr>
                  </w:pPr>
                  <w:r>
                    <w:rPr>
                      <w:sz w:val="21"/>
                      <w:szCs w:val="21"/>
                      <w:highlight w:val="none"/>
                    </w:rPr>
                    <w:t>位于</w:t>
                  </w:r>
                  <w:r>
                    <w:rPr>
                      <w:rFonts w:hint="eastAsia"/>
                      <w:sz w:val="21"/>
                      <w:szCs w:val="21"/>
                      <w:highlight w:val="none"/>
                      <w:lang w:val="en-US" w:eastAsia="zh-CN"/>
                    </w:rPr>
                    <w:t>生产车间东北角</w:t>
                  </w:r>
                </w:p>
              </w:tc>
            </w:tr>
            <w:tr w14:paraId="78B84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8" w:type="pct"/>
                  <w:gridSpan w:val="2"/>
                  <w:vAlign w:val="center"/>
                </w:tcPr>
                <w:p w14:paraId="5B6FBB2C">
                  <w:pPr>
                    <w:spacing w:line="240" w:lineRule="auto"/>
                    <w:jc w:val="center"/>
                    <w:rPr>
                      <w:rFonts w:hint="default"/>
                      <w:b/>
                      <w:bCs/>
                      <w:sz w:val="21"/>
                      <w:szCs w:val="21"/>
                      <w:lang w:val="en-US" w:eastAsia="zh-CN"/>
                    </w:rPr>
                  </w:pPr>
                  <w:r>
                    <w:rPr>
                      <w:rFonts w:hint="eastAsia"/>
                      <w:b/>
                      <w:bCs/>
                      <w:sz w:val="21"/>
                      <w:szCs w:val="21"/>
                      <w:lang w:val="en-US" w:eastAsia="zh-CN"/>
                    </w:rPr>
                    <w:t>依托工程</w:t>
                  </w:r>
                </w:p>
              </w:tc>
              <w:tc>
                <w:tcPr>
                  <w:tcW w:w="3601" w:type="pct"/>
                  <w:gridSpan w:val="3"/>
                  <w:shd w:val="clear" w:color="auto" w:fill="auto"/>
                  <w:vAlign w:val="center"/>
                </w:tcPr>
                <w:p w14:paraId="60A8D34C">
                  <w:pPr>
                    <w:spacing w:line="240" w:lineRule="auto"/>
                    <w:jc w:val="center"/>
                    <w:rPr>
                      <w:rFonts w:hint="default" w:eastAsia="仿宋"/>
                      <w:sz w:val="21"/>
                      <w:szCs w:val="21"/>
                      <w:lang w:val="en-US" w:eastAsia="zh-CN"/>
                    </w:rPr>
                  </w:pPr>
                  <w:r>
                    <w:rPr>
                      <w:rFonts w:hint="eastAsia"/>
                      <w:sz w:val="21"/>
                      <w:szCs w:val="21"/>
                      <w:lang w:val="en-US" w:eastAsia="zh-CN"/>
                    </w:rPr>
                    <w:t>全厂已设置1个污水接管口、1个雨水排放口，本项目不新设污水接管口和雨水排放口，依托出租方现有</w:t>
                  </w:r>
                </w:p>
              </w:tc>
            </w:tr>
            <w:tr w14:paraId="104E9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8" w:type="pct"/>
                  <w:gridSpan w:val="2"/>
                  <w:vAlign w:val="center"/>
                </w:tcPr>
                <w:p w14:paraId="51B52813">
                  <w:pPr>
                    <w:spacing w:line="240" w:lineRule="auto"/>
                    <w:jc w:val="center"/>
                    <w:rPr>
                      <w:rFonts w:hint="default" w:eastAsia="仿宋"/>
                      <w:b/>
                      <w:bCs/>
                      <w:sz w:val="21"/>
                      <w:szCs w:val="21"/>
                      <w:lang w:val="en-US" w:eastAsia="zh-CN"/>
                    </w:rPr>
                  </w:pPr>
                  <w:r>
                    <w:rPr>
                      <w:rFonts w:hint="eastAsia"/>
                      <w:b/>
                      <w:bCs/>
                      <w:sz w:val="21"/>
                      <w:szCs w:val="21"/>
                      <w:lang w:val="en-US" w:eastAsia="zh-CN"/>
                    </w:rPr>
                    <w:t>环境风险防范</w:t>
                  </w:r>
                </w:p>
              </w:tc>
              <w:tc>
                <w:tcPr>
                  <w:tcW w:w="1106" w:type="pct"/>
                  <w:shd w:val="clear" w:color="auto" w:fill="auto"/>
                  <w:vAlign w:val="center"/>
                </w:tcPr>
                <w:p w14:paraId="36EBF351">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rPr>
                    <w:t>事故应急池</w:t>
                  </w:r>
                </w:p>
              </w:tc>
              <w:tc>
                <w:tcPr>
                  <w:tcW w:w="1142" w:type="pct"/>
                  <w:shd w:val="clear" w:color="auto" w:fill="auto"/>
                  <w:vAlign w:val="center"/>
                </w:tcPr>
                <w:p w14:paraId="20D234C2">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70</w:t>
                  </w:r>
                  <w:r>
                    <w:rPr>
                      <w:rFonts w:hint="eastAsia"/>
                      <w:sz w:val="21"/>
                      <w:szCs w:val="21"/>
                    </w:rPr>
                    <w:t>m</w:t>
                  </w:r>
                  <w:r>
                    <w:rPr>
                      <w:rFonts w:hint="eastAsia"/>
                      <w:sz w:val="21"/>
                      <w:szCs w:val="21"/>
                      <w:vertAlign w:val="superscript"/>
                    </w:rPr>
                    <w:t>3</w:t>
                  </w:r>
                </w:p>
              </w:tc>
              <w:tc>
                <w:tcPr>
                  <w:tcW w:w="1351" w:type="pct"/>
                  <w:shd w:val="clear" w:color="auto" w:fill="auto"/>
                  <w:vAlign w:val="center"/>
                </w:tcPr>
                <w:p w14:paraId="138EF712">
                  <w:pPr>
                    <w:spacing w:line="240" w:lineRule="auto"/>
                    <w:jc w:val="center"/>
                    <w:rPr>
                      <w:rFonts w:hint="default" w:ascii="Times New Roman" w:hAnsi="Times New Roman" w:eastAsia="仿宋" w:cs="Times New Roman"/>
                      <w:kern w:val="2"/>
                      <w:sz w:val="21"/>
                      <w:szCs w:val="21"/>
                      <w:lang w:val="en-US" w:eastAsia="zh-CN" w:bidi="ar-SA"/>
                    </w:rPr>
                  </w:pPr>
                  <w:r>
                    <w:rPr>
                      <w:rFonts w:hint="eastAsia"/>
                      <w:sz w:val="21"/>
                      <w:szCs w:val="21"/>
                    </w:rPr>
                    <w:t>满足</w:t>
                  </w:r>
                  <w:r>
                    <w:rPr>
                      <w:rFonts w:hint="eastAsia"/>
                      <w:sz w:val="21"/>
                      <w:szCs w:val="21"/>
                      <w:lang w:val="en-US" w:eastAsia="zh-CN"/>
                    </w:rPr>
                    <w:t>突发环境事件应急</w:t>
                  </w:r>
                  <w:r>
                    <w:rPr>
                      <w:rFonts w:hint="eastAsia"/>
                      <w:sz w:val="21"/>
                      <w:szCs w:val="21"/>
                    </w:rPr>
                    <w:t>需要</w:t>
                  </w:r>
                </w:p>
              </w:tc>
            </w:tr>
          </w:tbl>
          <w:p w14:paraId="01959A87">
            <w:pPr>
              <w:pStyle w:val="2"/>
              <w:widowControl w:val="0"/>
              <w:snapToGrid/>
              <w:spacing w:before="0" w:after="0" w:line="480" w:lineRule="exact"/>
              <w:ind w:right="0" w:firstLine="482" w:firstLineChars="200"/>
              <w:rPr>
                <w:b/>
                <w:bCs/>
                <w:kern w:val="2"/>
                <w:sz w:val="24"/>
                <w:szCs w:val="24"/>
                <w:highlight w:val="none"/>
              </w:rPr>
            </w:pPr>
            <w:r>
              <w:rPr>
                <w:b/>
                <w:bCs/>
                <w:kern w:val="2"/>
                <w:sz w:val="24"/>
                <w:szCs w:val="24"/>
                <w:highlight w:val="none"/>
              </w:rPr>
              <w:t>5、主要原辅材料</w:t>
            </w:r>
          </w:p>
          <w:p w14:paraId="79D2DAFC">
            <w:pPr>
              <w:widowControl/>
              <w:adjustRightInd w:val="0"/>
              <w:snapToGrid w:val="0"/>
              <w:spacing w:line="228" w:lineRule="auto"/>
              <w:jc w:val="center"/>
              <w:rPr>
                <w:sz w:val="21"/>
                <w:szCs w:val="21"/>
              </w:rPr>
            </w:pPr>
            <w:r>
              <w:rPr>
                <w:b/>
                <w:bCs/>
                <w:sz w:val="21"/>
                <w:szCs w:val="21"/>
              </w:rPr>
              <w:t>表2-</w:t>
            </w:r>
            <w:r>
              <w:rPr>
                <w:rFonts w:hint="eastAsia"/>
                <w:b/>
                <w:bCs/>
                <w:sz w:val="21"/>
                <w:szCs w:val="21"/>
              </w:rPr>
              <w:t>5</w:t>
            </w:r>
            <w:r>
              <w:rPr>
                <w:b/>
                <w:bCs/>
                <w:sz w:val="21"/>
                <w:szCs w:val="21"/>
              </w:rPr>
              <w:t xml:space="preserve">  </w:t>
            </w:r>
            <w:r>
              <w:rPr>
                <w:rFonts w:hint="eastAsia"/>
                <w:b/>
                <w:bCs/>
                <w:sz w:val="21"/>
                <w:szCs w:val="21"/>
              </w:rPr>
              <w:t>本项目</w:t>
            </w:r>
            <w:r>
              <w:rPr>
                <w:b/>
                <w:bCs/>
                <w:sz w:val="21"/>
                <w:szCs w:val="21"/>
              </w:rPr>
              <w:t>原辅材料消耗一览表</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0"/>
              <w:gridCol w:w="802"/>
              <w:gridCol w:w="3556"/>
              <w:gridCol w:w="1080"/>
              <w:gridCol w:w="622"/>
              <w:gridCol w:w="862"/>
              <w:gridCol w:w="896"/>
            </w:tblGrid>
            <w:tr w14:paraId="4716E7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7" w:type="pct"/>
                  <w:gridSpan w:val="2"/>
                  <w:tcBorders>
                    <w:tl2br w:val="nil"/>
                    <w:tr2bl w:val="nil"/>
                  </w:tcBorders>
                  <w:tcMar>
                    <w:top w:w="15" w:type="dxa"/>
                    <w:left w:w="15" w:type="dxa"/>
                    <w:right w:w="15" w:type="dxa"/>
                  </w:tcMar>
                  <w:vAlign w:val="center"/>
                </w:tcPr>
                <w:p w14:paraId="6CACF103">
                  <w:pPr>
                    <w:widowControl/>
                    <w:adjustRightInd w:val="0"/>
                    <w:snapToGrid w:val="0"/>
                    <w:spacing w:line="228" w:lineRule="auto"/>
                    <w:jc w:val="center"/>
                    <w:textAlignment w:val="center"/>
                    <w:rPr>
                      <w:b/>
                      <w:sz w:val="21"/>
                      <w:szCs w:val="21"/>
                    </w:rPr>
                  </w:pPr>
                  <w:r>
                    <w:rPr>
                      <w:b/>
                      <w:kern w:val="0"/>
                      <w:sz w:val="21"/>
                      <w:szCs w:val="21"/>
                      <w:lang w:bidi="ar"/>
                    </w:rPr>
                    <w:t>原辅料名称</w:t>
                  </w:r>
                </w:p>
              </w:tc>
              <w:tc>
                <w:tcPr>
                  <w:tcW w:w="2149" w:type="pct"/>
                  <w:tcBorders>
                    <w:tl2br w:val="nil"/>
                    <w:tr2bl w:val="nil"/>
                  </w:tcBorders>
                  <w:tcMar>
                    <w:top w:w="15" w:type="dxa"/>
                    <w:left w:w="15" w:type="dxa"/>
                    <w:right w:w="15" w:type="dxa"/>
                  </w:tcMar>
                  <w:vAlign w:val="center"/>
                </w:tcPr>
                <w:p w14:paraId="25A6AEF1">
                  <w:pPr>
                    <w:widowControl/>
                    <w:adjustRightInd w:val="0"/>
                    <w:snapToGrid w:val="0"/>
                    <w:spacing w:line="228" w:lineRule="auto"/>
                    <w:jc w:val="center"/>
                    <w:textAlignment w:val="center"/>
                    <w:rPr>
                      <w:b/>
                      <w:kern w:val="0"/>
                      <w:sz w:val="21"/>
                      <w:szCs w:val="21"/>
                      <w:lang w:bidi="ar"/>
                    </w:rPr>
                  </w:pPr>
                  <w:r>
                    <w:rPr>
                      <w:rFonts w:hint="eastAsia"/>
                      <w:b/>
                      <w:kern w:val="0"/>
                      <w:sz w:val="21"/>
                      <w:szCs w:val="21"/>
                      <w:lang w:bidi="ar"/>
                    </w:rPr>
                    <w:t>规格型号、组分</w:t>
                  </w:r>
                </w:p>
              </w:tc>
              <w:tc>
                <w:tcPr>
                  <w:tcW w:w="653" w:type="pct"/>
                  <w:tcBorders>
                    <w:tl2br w:val="nil"/>
                    <w:tr2bl w:val="nil"/>
                  </w:tcBorders>
                  <w:tcMar>
                    <w:top w:w="15" w:type="dxa"/>
                    <w:left w:w="15" w:type="dxa"/>
                    <w:right w:w="15" w:type="dxa"/>
                  </w:tcMar>
                  <w:vAlign w:val="center"/>
                </w:tcPr>
                <w:p w14:paraId="6A6695DB">
                  <w:pPr>
                    <w:widowControl/>
                    <w:adjustRightInd w:val="0"/>
                    <w:snapToGrid w:val="0"/>
                    <w:spacing w:line="228" w:lineRule="auto"/>
                    <w:jc w:val="center"/>
                    <w:textAlignment w:val="center"/>
                    <w:rPr>
                      <w:b/>
                      <w:kern w:val="0"/>
                      <w:sz w:val="21"/>
                      <w:szCs w:val="21"/>
                      <w:lang w:bidi="ar"/>
                    </w:rPr>
                  </w:pPr>
                  <w:r>
                    <w:rPr>
                      <w:b/>
                      <w:kern w:val="0"/>
                      <w:sz w:val="21"/>
                      <w:szCs w:val="21"/>
                      <w:lang w:bidi="ar"/>
                    </w:rPr>
                    <w:t>年耗量（t）</w:t>
                  </w:r>
                </w:p>
              </w:tc>
              <w:tc>
                <w:tcPr>
                  <w:tcW w:w="376" w:type="pct"/>
                  <w:tcBorders>
                    <w:tl2br w:val="nil"/>
                    <w:tr2bl w:val="nil"/>
                  </w:tcBorders>
                  <w:noWrap/>
                  <w:tcMar>
                    <w:top w:w="15" w:type="dxa"/>
                    <w:left w:w="15" w:type="dxa"/>
                    <w:right w:w="15" w:type="dxa"/>
                  </w:tcMar>
                  <w:vAlign w:val="center"/>
                </w:tcPr>
                <w:p w14:paraId="7AB0FD2A">
                  <w:pPr>
                    <w:widowControl/>
                    <w:adjustRightInd w:val="0"/>
                    <w:snapToGrid w:val="0"/>
                    <w:spacing w:line="228" w:lineRule="auto"/>
                    <w:jc w:val="center"/>
                    <w:textAlignment w:val="center"/>
                    <w:rPr>
                      <w:b/>
                      <w:sz w:val="21"/>
                      <w:szCs w:val="21"/>
                    </w:rPr>
                  </w:pPr>
                  <w:r>
                    <w:rPr>
                      <w:b/>
                      <w:sz w:val="21"/>
                      <w:szCs w:val="21"/>
                    </w:rPr>
                    <w:t>储存方式</w:t>
                  </w:r>
                </w:p>
              </w:tc>
              <w:tc>
                <w:tcPr>
                  <w:tcW w:w="521" w:type="pct"/>
                  <w:tcBorders>
                    <w:tl2br w:val="nil"/>
                    <w:tr2bl w:val="nil"/>
                  </w:tcBorders>
                  <w:noWrap/>
                  <w:tcMar>
                    <w:top w:w="15" w:type="dxa"/>
                    <w:left w:w="15" w:type="dxa"/>
                    <w:right w:w="15" w:type="dxa"/>
                  </w:tcMar>
                  <w:vAlign w:val="center"/>
                </w:tcPr>
                <w:p w14:paraId="26D75CF2">
                  <w:pPr>
                    <w:widowControl/>
                    <w:adjustRightInd w:val="0"/>
                    <w:snapToGrid w:val="0"/>
                    <w:spacing w:line="228" w:lineRule="auto"/>
                    <w:jc w:val="center"/>
                    <w:textAlignment w:val="center"/>
                    <w:rPr>
                      <w:b/>
                      <w:sz w:val="21"/>
                      <w:szCs w:val="21"/>
                    </w:rPr>
                  </w:pPr>
                  <w:r>
                    <w:rPr>
                      <w:b/>
                      <w:sz w:val="21"/>
                      <w:szCs w:val="21"/>
                    </w:rPr>
                    <w:t>最大储量（t）</w:t>
                  </w:r>
                </w:p>
              </w:tc>
              <w:tc>
                <w:tcPr>
                  <w:tcW w:w="541" w:type="pct"/>
                  <w:tcBorders>
                    <w:tl2br w:val="nil"/>
                    <w:tr2bl w:val="nil"/>
                  </w:tcBorders>
                  <w:noWrap/>
                  <w:tcMar>
                    <w:top w:w="15" w:type="dxa"/>
                    <w:left w:w="15" w:type="dxa"/>
                    <w:right w:w="15" w:type="dxa"/>
                  </w:tcMar>
                  <w:vAlign w:val="center"/>
                </w:tcPr>
                <w:p w14:paraId="0857CA83">
                  <w:pPr>
                    <w:widowControl/>
                    <w:adjustRightInd w:val="0"/>
                    <w:snapToGrid w:val="0"/>
                    <w:spacing w:line="228" w:lineRule="auto"/>
                    <w:jc w:val="center"/>
                    <w:textAlignment w:val="center"/>
                    <w:rPr>
                      <w:b/>
                      <w:sz w:val="21"/>
                      <w:szCs w:val="21"/>
                    </w:rPr>
                  </w:pPr>
                  <w:r>
                    <w:rPr>
                      <w:b/>
                      <w:sz w:val="21"/>
                      <w:szCs w:val="21"/>
                    </w:rPr>
                    <w:t>运输方式</w:t>
                  </w:r>
                </w:p>
              </w:tc>
            </w:tr>
            <w:tr w14:paraId="2466FA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2" w:type="pct"/>
                  <w:tcBorders>
                    <w:tl2br w:val="nil"/>
                    <w:tr2bl w:val="nil"/>
                  </w:tcBorders>
                  <w:tcMar>
                    <w:top w:w="15" w:type="dxa"/>
                    <w:left w:w="15" w:type="dxa"/>
                    <w:right w:w="15" w:type="dxa"/>
                  </w:tcMar>
                  <w:vAlign w:val="center"/>
                </w:tcPr>
                <w:p w14:paraId="0D998BF9">
                  <w:pPr>
                    <w:widowControl/>
                    <w:adjustRightInd w:val="0"/>
                    <w:snapToGrid w:val="0"/>
                    <w:spacing w:line="228" w:lineRule="auto"/>
                    <w:jc w:val="center"/>
                    <w:textAlignment w:val="center"/>
                    <w:rPr>
                      <w:kern w:val="0"/>
                      <w:sz w:val="21"/>
                      <w:szCs w:val="21"/>
                      <w:lang w:bidi="ar"/>
                    </w:rPr>
                  </w:pPr>
                  <w:r>
                    <w:rPr>
                      <w:rFonts w:hint="eastAsia"/>
                      <w:kern w:val="0"/>
                      <w:sz w:val="21"/>
                      <w:szCs w:val="21"/>
                      <w:lang w:bidi="ar"/>
                    </w:rPr>
                    <w:t>原料</w:t>
                  </w:r>
                </w:p>
              </w:tc>
              <w:tc>
                <w:tcPr>
                  <w:tcW w:w="484" w:type="pct"/>
                  <w:tcBorders>
                    <w:tl2br w:val="nil"/>
                    <w:tr2bl w:val="nil"/>
                  </w:tcBorders>
                  <w:tcMar>
                    <w:top w:w="15" w:type="dxa"/>
                    <w:left w:w="15" w:type="dxa"/>
                    <w:right w:w="15" w:type="dxa"/>
                  </w:tcMar>
                  <w:vAlign w:val="center"/>
                </w:tcPr>
                <w:p w14:paraId="09DABA0B">
                  <w:pPr>
                    <w:widowControl/>
                    <w:adjustRightInd w:val="0"/>
                    <w:snapToGrid w:val="0"/>
                    <w:spacing w:line="228" w:lineRule="auto"/>
                    <w:jc w:val="center"/>
                    <w:textAlignment w:val="center"/>
                    <w:rPr>
                      <w:rFonts w:hint="default" w:eastAsia="仿宋"/>
                      <w:kern w:val="0"/>
                      <w:sz w:val="21"/>
                      <w:szCs w:val="21"/>
                      <w:highlight w:val="none"/>
                      <w:lang w:val="en-US" w:eastAsia="zh-CN" w:bidi="ar"/>
                    </w:rPr>
                  </w:pPr>
                  <w:r>
                    <w:rPr>
                      <w:rFonts w:hint="eastAsia"/>
                      <w:kern w:val="0"/>
                      <w:sz w:val="21"/>
                      <w:szCs w:val="21"/>
                      <w:highlight w:val="none"/>
                      <w:lang w:val="en-US" w:eastAsia="zh-CN" w:bidi="ar"/>
                    </w:rPr>
                    <w:t>铝合金锭</w:t>
                  </w:r>
                </w:p>
              </w:tc>
              <w:tc>
                <w:tcPr>
                  <w:tcW w:w="2149" w:type="pct"/>
                  <w:tcBorders>
                    <w:tl2br w:val="nil"/>
                    <w:tr2bl w:val="nil"/>
                  </w:tcBorders>
                  <w:tcMar>
                    <w:top w:w="15" w:type="dxa"/>
                    <w:left w:w="15" w:type="dxa"/>
                    <w:right w:w="15" w:type="dxa"/>
                  </w:tcMar>
                  <w:vAlign w:val="center"/>
                </w:tcPr>
                <w:p w14:paraId="2181C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牌号</w:t>
                  </w:r>
                  <w:r>
                    <w:rPr>
                      <w:rFonts w:hint="eastAsia" w:cs="Times New Roman"/>
                      <w:color w:val="auto"/>
                      <w:sz w:val="21"/>
                      <w:szCs w:val="21"/>
                      <w:highlight w:val="none"/>
                      <w:lang w:val="en-US" w:eastAsia="zh-CN"/>
                    </w:rPr>
                    <w:t>ADC12</w:t>
                  </w:r>
                  <w:r>
                    <w:rPr>
                      <w:rFonts w:hint="eastAsia" w:ascii="Times New Roman" w:hAnsi="Times New Roman" w:cs="Times New Roman"/>
                      <w:color w:val="auto"/>
                      <w:sz w:val="21"/>
                      <w:szCs w:val="21"/>
                      <w:highlight w:val="none"/>
                      <w:lang w:val="en-US" w:eastAsia="zh-CN"/>
                    </w:rPr>
                    <w:t>，合金代号YL113，硅9.5~11.5%、铜2~3%、锰</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0.5%、镁</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0.1%、铁</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锌</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2.9%，余量为铝</w:t>
                  </w:r>
                </w:p>
              </w:tc>
              <w:tc>
                <w:tcPr>
                  <w:tcW w:w="653" w:type="pct"/>
                  <w:tcBorders>
                    <w:tl2br w:val="nil"/>
                    <w:tr2bl w:val="nil"/>
                  </w:tcBorders>
                  <w:tcMar>
                    <w:top w:w="15" w:type="dxa"/>
                    <w:left w:w="15" w:type="dxa"/>
                    <w:right w:w="15" w:type="dxa"/>
                  </w:tcMar>
                  <w:vAlign w:val="center"/>
                </w:tcPr>
                <w:p w14:paraId="5486E3B5">
                  <w:pPr>
                    <w:widowControl/>
                    <w:adjustRightInd w:val="0"/>
                    <w:snapToGrid w:val="0"/>
                    <w:spacing w:line="228" w:lineRule="auto"/>
                    <w:jc w:val="center"/>
                    <w:textAlignment w:val="center"/>
                    <w:rPr>
                      <w:rFonts w:hint="default" w:eastAsia="仿宋"/>
                      <w:sz w:val="21"/>
                      <w:szCs w:val="21"/>
                      <w:lang w:val="en-US" w:eastAsia="zh-CN"/>
                    </w:rPr>
                  </w:pPr>
                  <w:r>
                    <w:rPr>
                      <w:rFonts w:hint="eastAsia"/>
                      <w:kern w:val="0"/>
                      <w:sz w:val="21"/>
                      <w:szCs w:val="21"/>
                      <w:lang w:val="en-US" w:eastAsia="zh-CN" w:bidi="ar"/>
                    </w:rPr>
                    <w:t>3250</w:t>
                  </w:r>
                </w:p>
              </w:tc>
              <w:tc>
                <w:tcPr>
                  <w:tcW w:w="376" w:type="pct"/>
                  <w:tcBorders>
                    <w:tl2br w:val="nil"/>
                    <w:tr2bl w:val="nil"/>
                  </w:tcBorders>
                  <w:noWrap/>
                  <w:tcMar>
                    <w:top w:w="15" w:type="dxa"/>
                    <w:left w:w="15" w:type="dxa"/>
                    <w:right w:w="15" w:type="dxa"/>
                  </w:tcMar>
                  <w:vAlign w:val="center"/>
                </w:tcPr>
                <w:p w14:paraId="4903CA21">
                  <w:pPr>
                    <w:widowControl/>
                    <w:adjustRightInd w:val="0"/>
                    <w:snapToGrid w:val="0"/>
                    <w:spacing w:line="228" w:lineRule="auto"/>
                    <w:jc w:val="center"/>
                    <w:textAlignment w:val="center"/>
                    <w:rPr>
                      <w:rFonts w:hint="default" w:eastAsia="仿宋"/>
                      <w:sz w:val="21"/>
                      <w:szCs w:val="21"/>
                      <w:lang w:val="en-US" w:eastAsia="zh-CN"/>
                    </w:rPr>
                  </w:pPr>
                  <w:r>
                    <w:rPr>
                      <w:rFonts w:hint="eastAsia"/>
                      <w:sz w:val="21"/>
                      <w:szCs w:val="21"/>
                      <w:lang w:val="en-US" w:eastAsia="zh-CN"/>
                    </w:rPr>
                    <w:t>堆存</w:t>
                  </w:r>
                </w:p>
              </w:tc>
              <w:tc>
                <w:tcPr>
                  <w:tcW w:w="521" w:type="pct"/>
                  <w:tcBorders>
                    <w:tl2br w:val="nil"/>
                    <w:tr2bl w:val="nil"/>
                  </w:tcBorders>
                  <w:noWrap/>
                  <w:tcMar>
                    <w:top w:w="15" w:type="dxa"/>
                    <w:left w:w="15" w:type="dxa"/>
                    <w:right w:w="15" w:type="dxa"/>
                  </w:tcMar>
                  <w:vAlign w:val="center"/>
                </w:tcPr>
                <w:p w14:paraId="6E962263">
                  <w:pPr>
                    <w:widowControl/>
                    <w:adjustRightInd w:val="0"/>
                    <w:snapToGrid w:val="0"/>
                    <w:spacing w:line="228" w:lineRule="auto"/>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100</w:t>
                  </w:r>
                </w:p>
              </w:tc>
              <w:tc>
                <w:tcPr>
                  <w:tcW w:w="541" w:type="pct"/>
                  <w:vMerge w:val="restart"/>
                  <w:tcBorders>
                    <w:tl2br w:val="nil"/>
                    <w:tr2bl w:val="nil"/>
                  </w:tcBorders>
                  <w:noWrap/>
                  <w:tcMar>
                    <w:top w:w="15" w:type="dxa"/>
                    <w:left w:w="15" w:type="dxa"/>
                    <w:right w:w="15" w:type="dxa"/>
                  </w:tcMar>
                  <w:vAlign w:val="center"/>
                </w:tcPr>
                <w:p w14:paraId="6D8CE308">
                  <w:pPr>
                    <w:widowControl/>
                    <w:adjustRightInd w:val="0"/>
                    <w:snapToGrid w:val="0"/>
                    <w:spacing w:line="228" w:lineRule="auto"/>
                    <w:jc w:val="center"/>
                    <w:textAlignment w:val="center"/>
                    <w:rPr>
                      <w:sz w:val="21"/>
                      <w:szCs w:val="21"/>
                    </w:rPr>
                  </w:pPr>
                  <w:r>
                    <w:rPr>
                      <w:sz w:val="21"/>
                      <w:szCs w:val="21"/>
                    </w:rPr>
                    <w:t>国内</w:t>
                  </w:r>
                </w:p>
                <w:p w14:paraId="14899EE9">
                  <w:pPr>
                    <w:widowControl/>
                    <w:adjustRightInd w:val="0"/>
                    <w:snapToGrid w:val="0"/>
                    <w:spacing w:line="228" w:lineRule="auto"/>
                    <w:jc w:val="center"/>
                    <w:textAlignment w:val="center"/>
                    <w:rPr>
                      <w:sz w:val="21"/>
                      <w:szCs w:val="21"/>
                    </w:rPr>
                  </w:pPr>
                  <w:r>
                    <w:rPr>
                      <w:sz w:val="21"/>
                      <w:szCs w:val="21"/>
                    </w:rPr>
                    <w:t>汽车</w:t>
                  </w:r>
                </w:p>
              </w:tc>
            </w:tr>
            <w:tr w14:paraId="09596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2" w:type="pct"/>
                  <w:vMerge w:val="restart"/>
                  <w:tcBorders>
                    <w:tl2br w:val="nil"/>
                    <w:tr2bl w:val="nil"/>
                  </w:tcBorders>
                  <w:tcMar>
                    <w:top w:w="15" w:type="dxa"/>
                    <w:left w:w="15" w:type="dxa"/>
                    <w:right w:w="15" w:type="dxa"/>
                  </w:tcMar>
                  <w:vAlign w:val="center"/>
                </w:tcPr>
                <w:p w14:paraId="08CC3306">
                  <w:pPr>
                    <w:widowControl/>
                    <w:adjustRightInd w:val="0"/>
                    <w:snapToGrid w:val="0"/>
                    <w:spacing w:line="228" w:lineRule="auto"/>
                    <w:jc w:val="center"/>
                    <w:textAlignment w:val="center"/>
                    <w:rPr>
                      <w:rFonts w:hint="eastAsia" w:eastAsia="仿宋"/>
                      <w:kern w:val="0"/>
                      <w:sz w:val="21"/>
                      <w:szCs w:val="21"/>
                      <w:lang w:val="en-US" w:eastAsia="zh-CN" w:bidi="ar"/>
                    </w:rPr>
                  </w:pPr>
                  <w:r>
                    <w:rPr>
                      <w:rFonts w:hint="eastAsia"/>
                      <w:kern w:val="0"/>
                      <w:sz w:val="21"/>
                      <w:szCs w:val="21"/>
                      <w:lang w:val="en-US" w:eastAsia="zh-CN" w:bidi="ar"/>
                    </w:rPr>
                    <w:t>辅料</w:t>
                  </w:r>
                </w:p>
              </w:tc>
              <w:tc>
                <w:tcPr>
                  <w:tcW w:w="484" w:type="pct"/>
                  <w:tcBorders>
                    <w:tl2br w:val="nil"/>
                    <w:tr2bl w:val="nil"/>
                  </w:tcBorders>
                  <w:tcMar>
                    <w:top w:w="15" w:type="dxa"/>
                    <w:left w:w="15" w:type="dxa"/>
                    <w:right w:w="15" w:type="dxa"/>
                  </w:tcMar>
                  <w:vAlign w:val="center"/>
                </w:tcPr>
                <w:p w14:paraId="288BE01D">
                  <w:pPr>
                    <w:widowControl/>
                    <w:adjustRightInd w:val="0"/>
                    <w:snapToGrid w:val="0"/>
                    <w:spacing w:line="228" w:lineRule="auto"/>
                    <w:jc w:val="center"/>
                    <w:textAlignment w:val="center"/>
                    <w:rPr>
                      <w:rFonts w:hint="default" w:eastAsia="仿宋"/>
                      <w:kern w:val="0"/>
                      <w:sz w:val="21"/>
                      <w:szCs w:val="21"/>
                      <w:lang w:val="en-US" w:eastAsia="zh-CN" w:bidi="ar"/>
                    </w:rPr>
                  </w:pPr>
                  <w:r>
                    <w:rPr>
                      <w:rFonts w:hint="eastAsia"/>
                      <w:kern w:val="0"/>
                      <w:sz w:val="21"/>
                      <w:szCs w:val="21"/>
                      <w:lang w:val="en-US" w:eastAsia="zh-CN" w:bidi="ar"/>
                    </w:rPr>
                    <w:t>脱模剂</w:t>
                  </w:r>
                </w:p>
              </w:tc>
              <w:tc>
                <w:tcPr>
                  <w:tcW w:w="2149" w:type="pct"/>
                  <w:tcBorders>
                    <w:tl2br w:val="nil"/>
                    <w:tr2bl w:val="nil"/>
                  </w:tcBorders>
                  <w:tcMar>
                    <w:top w:w="15" w:type="dxa"/>
                    <w:left w:w="15" w:type="dxa"/>
                    <w:right w:w="15" w:type="dxa"/>
                  </w:tcMar>
                  <w:vAlign w:val="center"/>
                </w:tcPr>
                <w:p w14:paraId="1FFC6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200kg/桶；19%长链烷基芳基硅油、5.5%高分子聚合物、2.5%异构聚氧乙烯醚-6、5%异构聚氧乙烯醚-10、4%乙烯丙烯共聚物、7.5%合成脂、6.5%改性植物油脂、50%水</w:t>
                  </w:r>
                </w:p>
              </w:tc>
              <w:tc>
                <w:tcPr>
                  <w:tcW w:w="653" w:type="pct"/>
                  <w:tcBorders>
                    <w:tl2br w:val="nil"/>
                    <w:tr2bl w:val="nil"/>
                  </w:tcBorders>
                  <w:tcMar>
                    <w:top w:w="15" w:type="dxa"/>
                    <w:left w:w="15" w:type="dxa"/>
                    <w:right w:w="15" w:type="dxa"/>
                  </w:tcMar>
                  <w:vAlign w:val="center"/>
                </w:tcPr>
                <w:p w14:paraId="0E34C173">
                  <w:pPr>
                    <w:widowControl/>
                    <w:adjustRightInd w:val="0"/>
                    <w:snapToGrid w:val="0"/>
                    <w:spacing w:line="228" w:lineRule="auto"/>
                    <w:jc w:val="center"/>
                    <w:textAlignment w:val="center"/>
                    <w:rPr>
                      <w:rFonts w:hint="default" w:eastAsia="仿宋"/>
                      <w:sz w:val="21"/>
                      <w:szCs w:val="21"/>
                      <w:lang w:val="en-US" w:eastAsia="zh-CN"/>
                    </w:rPr>
                  </w:pPr>
                  <w:r>
                    <w:rPr>
                      <w:rFonts w:hint="eastAsia"/>
                      <w:sz w:val="21"/>
                      <w:szCs w:val="21"/>
                      <w:lang w:val="en-US" w:eastAsia="zh-CN"/>
                    </w:rPr>
                    <w:t>5</w:t>
                  </w:r>
                </w:p>
              </w:tc>
              <w:tc>
                <w:tcPr>
                  <w:tcW w:w="376" w:type="pct"/>
                  <w:tcBorders>
                    <w:tl2br w:val="nil"/>
                    <w:tr2bl w:val="nil"/>
                  </w:tcBorders>
                  <w:shd w:val="clear" w:color="auto" w:fill="auto"/>
                  <w:noWrap/>
                  <w:tcMar>
                    <w:top w:w="15" w:type="dxa"/>
                    <w:left w:w="15" w:type="dxa"/>
                    <w:right w:w="15" w:type="dxa"/>
                  </w:tcMar>
                  <w:vAlign w:val="center"/>
                </w:tcPr>
                <w:p w14:paraId="3AFB24AB">
                  <w:pPr>
                    <w:widowControl/>
                    <w:adjustRightInd w:val="0"/>
                    <w:snapToGrid w:val="0"/>
                    <w:spacing w:line="228" w:lineRule="auto"/>
                    <w:jc w:val="center"/>
                    <w:textAlignment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桶装</w:t>
                  </w:r>
                </w:p>
              </w:tc>
              <w:tc>
                <w:tcPr>
                  <w:tcW w:w="521" w:type="pct"/>
                  <w:tcBorders>
                    <w:tl2br w:val="nil"/>
                    <w:tr2bl w:val="nil"/>
                  </w:tcBorders>
                  <w:shd w:val="clear" w:color="auto" w:fill="auto"/>
                  <w:noWrap/>
                  <w:tcMar>
                    <w:top w:w="15" w:type="dxa"/>
                    <w:left w:w="15" w:type="dxa"/>
                    <w:right w:w="15" w:type="dxa"/>
                  </w:tcMar>
                  <w:vAlign w:val="center"/>
                </w:tcPr>
                <w:p w14:paraId="7331937D">
                  <w:pPr>
                    <w:widowControl/>
                    <w:adjustRightInd w:val="0"/>
                    <w:snapToGrid w:val="0"/>
                    <w:spacing w:line="228" w:lineRule="auto"/>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2</w:t>
                  </w:r>
                </w:p>
              </w:tc>
              <w:tc>
                <w:tcPr>
                  <w:tcW w:w="541" w:type="pct"/>
                  <w:vMerge w:val="continue"/>
                  <w:tcBorders>
                    <w:tl2br w:val="nil"/>
                    <w:tr2bl w:val="nil"/>
                  </w:tcBorders>
                  <w:noWrap/>
                  <w:tcMar>
                    <w:top w:w="15" w:type="dxa"/>
                    <w:left w:w="15" w:type="dxa"/>
                    <w:right w:w="15" w:type="dxa"/>
                  </w:tcMar>
                  <w:vAlign w:val="center"/>
                </w:tcPr>
                <w:p w14:paraId="2598158E">
                  <w:pPr>
                    <w:widowControl/>
                    <w:adjustRightInd w:val="0"/>
                    <w:snapToGrid w:val="0"/>
                    <w:spacing w:line="228" w:lineRule="auto"/>
                    <w:jc w:val="center"/>
                    <w:textAlignment w:val="center"/>
                    <w:rPr>
                      <w:sz w:val="21"/>
                      <w:szCs w:val="21"/>
                    </w:rPr>
                  </w:pPr>
                </w:p>
              </w:tc>
            </w:tr>
            <w:tr w14:paraId="10823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2" w:type="pct"/>
                  <w:vMerge w:val="continue"/>
                  <w:tcBorders>
                    <w:tl2br w:val="nil"/>
                    <w:tr2bl w:val="nil"/>
                  </w:tcBorders>
                  <w:tcMar>
                    <w:top w:w="15" w:type="dxa"/>
                    <w:left w:w="15" w:type="dxa"/>
                    <w:right w:w="15" w:type="dxa"/>
                  </w:tcMar>
                  <w:vAlign w:val="center"/>
                </w:tcPr>
                <w:p w14:paraId="62E958BB">
                  <w:pPr>
                    <w:widowControl/>
                    <w:adjustRightInd w:val="0"/>
                    <w:snapToGrid w:val="0"/>
                    <w:spacing w:line="228" w:lineRule="auto"/>
                    <w:jc w:val="center"/>
                    <w:textAlignment w:val="center"/>
                    <w:rPr>
                      <w:rFonts w:hint="eastAsia"/>
                      <w:kern w:val="0"/>
                      <w:sz w:val="21"/>
                      <w:szCs w:val="21"/>
                      <w:lang w:val="en-US" w:eastAsia="zh-CN" w:bidi="ar"/>
                    </w:rPr>
                  </w:pPr>
                </w:p>
              </w:tc>
              <w:tc>
                <w:tcPr>
                  <w:tcW w:w="484" w:type="pct"/>
                  <w:tcBorders>
                    <w:tl2br w:val="nil"/>
                    <w:tr2bl w:val="nil"/>
                  </w:tcBorders>
                  <w:tcMar>
                    <w:top w:w="15" w:type="dxa"/>
                    <w:left w:w="15" w:type="dxa"/>
                    <w:right w:w="15" w:type="dxa"/>
                  </w:tcMar>
                  <w:vAlign w:val="center"/>
                </w:tcPr>
                <w:p w14:paraId="3D97BD6D">
                  <w:pPr>
                    <w:widowControl/>
                    <w:adjustRightInd w:val="0"/>
                    <w:snapToGrid w:val="0"/>
                    <w:spacing w:line="228" w:lineRule="auto"/>
                    <w:jc w:val="center"/>
                    <w:textAlignment w:val="center"/>
                    <w:rPr>
                      <w:rFonts w:hint="default"/>
                      <w:kern w:val="0"/>
                      <w:sz w:val="21"/>
                      <w:szCs w:val="21"/>
                      <w:lang w:val="en-US" w:eastAsia="zh-CN" w:bidi="ar"/>
                    </w:rPr>
                  </w:pPr>
                  <w:r>
                    <w:rPr>
                      <w:rFonts w:hint="eastAsia"/>
                      <w:kern w:val="0"/>
                      <w:sz w:val="21"/>
                      <w:szCs w:val="21"/>
                      <w:lang w:val="en-US" w:eastAsia="zh-CN" w:bidi="ar"/>
                    </w:rPr>
                    <w:t>润滑颗粒</w:t>
                  </w:r>
                </w:p>
              </w:tc>
              <w:tc>
                <w:tcPr>
                  <w:tcW w:w="2149" w:type="pct"/>
                  <w:tcBorders>
                    <w:tl2br w:val="nil"/>
                    <w:tr2bl w:val="nil"/>
                  </w:tcBorders>
                  <w:tcMar>
                    <w:top w:w="15" w:type="dxa"/>
                    <w:left w:w="15" w:type="dxa"/>
                    <w:right w:w="15" w:type="dxa"/>
                  </w:tcMar>
                  <w:vAlign w:val="center"/>
                </w:tcPr>
                <w:p w14:paraId="06304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20kg/袋；</w:t>
                  </w:r>
                  <w:r>
                    <w:rPr>
                      <w:rFonts w:hint="eastAsia" w:cs="Times New Roman"/>
                      <w:color w:val="auto"/>
                      <w:sz w:val="21"/>
                      <w:szCs w:val="21"/>
                      <w:highlight w:val="none"/>
                      <w:lang w:val="en-US" w:eastAsia="zh-CN"/>
                    </w:rPr>
                    <w:t>PE蜡</w:t>
                  </w: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，粒径2~3mm</w:t>
                  </w:r>
                </w:p>
              </w:tc>
              <w:tc>
                <w:tcPr>
                  <w:tcW w:w="653" w:type="pct"/>
                  <w:tcBorders>
                    <w:tl2br w:val="nil"/>
                    <w:tr2bl w:val="nil"/>
                  </w:tcBorders>
                  <w:tcMar>
                    <w:top w:w="15" w:type="dxa"/>
                    <w:left w:w="15" w:type="dxa"/>
                    <w:right w:w="15" w:type="dxa"/>
                  </w:tcMar>
                  <w:vAlign w:val="center"/>
                </w:tcPr>
                <w:p w14:paraId="7AD29AFD">
                  <w:pPr>
                    <w:widowControl/>
                    <w:adjustRightInd w:val="0"/>
                    <w:snapToGrid w:val="0"/>
                    <w:spacing w:line="228" w:lineRule="auto"/>
                    <w:jc w:val="center"/>
                    <w:textAlignment w:val="center"/>
                    <w:rPr>
                      <w:rFonts w:hint="default"/>
                      <w:sz w:val="21"/>
                      <w:szCs w:val="21"/>
                      <w:lang w:val="en-US" w:eastAsia="zh-CN"/>
                    </w:rPr>
                  </w:pPr>
                  <w:r>
                    <w:rPr>
                      <w:rFonts w:hint="eastAsia"/>
                      <w:sz w:val="21"/>
                      <w:szCs w:val="21"/>
                      <w:lang w:val="en-US" w:eastAsia="zh-CN"/>
                    </w:rPr>
                    <w:t>0.5</w:t>
                  </w:r>
                </w:p>
              </w:tc>
              <w:tc>
                <w:tcPr>
                  <w:tcW w:w="376" w:type="pct"/>
                  <w:tcBorders>
                    <w:tl2br w:val="nil"/>
                    <w:tr2bl w:val="nil"/>
                  </w:tcBorders>
                  <w:shd w:val="clear" w:color="auto" w:fill="auto"/>
                  <w:noWrap/>
                  <w:tcMar>
                    <w:top w:w="15" w:type="dxa"/>
                    <w:left w:w="15" w:type="dxa"/>
                    <w:right w:w="15" w:type="dxa"/>
                  </w:tcMar>
                  <w:vAlign w:val="center"/>
                </w:tcPr>
                <w:p w14:paraId="5B299522">
                  <w:pPr>
                    <w:widowControl/>
                    <w:adjustRightInd w:val="0"/>
                    <w:snapToGrid w:val="0"/>
                    <w:spacing w:line="228" w:lineRule="auto"/>
                    <w:jc w:val="center"/>
                    <w:textAlignment w:val="center"/>
                    <w:rPr>
                      <w:rFonts w:hint="default"/>
                      <w:sz w:val="21"/>
                      <w:szCs w:val="21"/>
                      <w:lang w:val="en-US" w:eastAsia="zh-CN"/>
                    </w:rPr>
                  </w:pPr>
                  <w:r>
                    <w:rPr>
                      <w:rFonts w:hint="eastAsia"/>
                      <w:sz w:val="21"/>
                      <w:szCs w:val="21"/>
                      <w:lang w:val="en-US" w:eastAsia="zh-CN"/>
                    </w:rPr>
                    <w:t>袋装</w:t>
                  </w:r>
                </w:p>
              </w:tc>
              <w:tc>
                <w:tcPr>
                  <w:tcW w:w="521" w:type="pct"/>
                  <w:tcBorders>
                    <w:tl2br w:val="nil"/>
                    <w:tr2bl w:val="nil"/>
                  </w:tcBorders>
                  <w:shd w:val="clear" w:color="auto" w:fill="auto"/>
                  <w:noWrap/>
                  <w:tcMar>
                    <w:top w:w="15" w:type="dxa"/>
                    <w:left w:w="15" w:type="dxa"/>
                    <w:right w:w="15" w:type="dxa"/>
                  </w:tcMar>
                  <w:vAlign w:val="center"/>
                </w:tcPr>
                <w:p w14:paraId="3253178A">
                  <w:pPr>
                    <w:widowControl/>
                    <w:adjustRightInd w:val="0"/>
                    <w:snapToGrid w:val="0"/>
                    <w:spacing w:line="228" w:lineRule="auto"/>
                    <w:jc w:val="center"/>
                    <w:textAlignment w:val="center"/>
                    <w:rPr>
                      <w:rFonts w:hint="default" w:cs="Times New Roman"/>
                      <w:sz w:val="21"/>
                      <w:szCs w:val="21"/>
                      <w:lang w:val="en-US" w:eastAsia="zh-CN"/>
                    </w:rPr>
                  </w:pPr>
                  <w:r>
                    <w:rPr>
                      <w:rFonts w:hint="eastAsia" w:cs="Times New Roman"/>
                      <w:sz w:val="21"/>
                      <w:szCs w:val="21"/>
                      <w:lang w:val="en-US" w:eastAsia="zh-CN"/>
                    </w:rPr>
                    <w:t>0.5</w:t>
                  </w:r>
                </w:p>
              </w:tc>
              <w:tc>
                <w:tcPr>
                  <w:tcW w:w="541" w:type="pct"/>
                  <w:vMerge w:val="continue"/>
                  <w:tcBorders>
                    <w:tl2br w:val="nil"/>
                    <w:tr2bl w:val="nil"/>
                  </w:tcBorders>
                  <w:noWrap/>
                  <w:tcMar>
                    <w:top w:w="15" w:type="dxa"/>
                    <w:left w:w="15" w:type="dxa"/>
                    <w:right w:w="15" w:type="dxa"/>
                  </w:tcMar>
                  <w:vAlign w:val="center"/>
                </w:tcPr>
                <w:p w14:paraId="5BB020B3">
                  <w:pPr>
                    <w:widowControl/>
                    <w:adjustRightInd w:val="0"/>
                    <w:snapToGrid w:val="0"/>
                    <w:spacing w:line="228" w:lineRule="auto"/>
                    <w:jc w:val="center"/>
                    <w:textAlignment w:val="center"/>
                    <w:rPr>
                      <w:sz w:val="21"/>
                      <w:szCs w:val="21"/>
                    </w:rPr>
                  </w:pPr>
                </w:p>
              </w:tc>
            </w:tr>
            <w:tr w14:paraId="5A4BD0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2" w:type="pct"/>
                  <w:vMerge w:val="continue"/>
                  <w:tcBorders>
                    <w:tl2br w:val="nil"/>
                    <w:tr2bl w:val="nil"/>
                  </w:tcBorders>
                  <w:tcMar>
                    <w:top w:w="15" w:type="dxa"/>
                    <w:left w:w="15" w:type="dxa"/>
                    <w:right w:w="15" w:type="dxa"/>
                  </w:tcMar>
                  <w:vAlign w:val="center"/>
                </w:tcPr>
                <w:p w14:paraId="1F21FF17">
                  <w:pPr>
                    <w:widowControl/>
                    <w:adjustRightInd w:val="0"/>
                    <w:snapToGrid w:val="0"/>
                    <w:spacing w:line="228" w:lineRule="auto"/>
                    <w:jc w:val="center"/>
                    <w:textAlignment w:val="center"/>
                    <w:rPr>
                      <w:rFonts w:hint="eastAsia"/>
                      <w:kern w:val="0"/>
                      <w:sz w:val="21"/>
                      <w:szCs w:val="21"/>
                      <w:lang w:val="en-US" w:eastAsia="zh-CN" w:bidi="ar"/>
                    </w:rPr>
                  </w:pPr>
                </w:p>
              </w:tc>
              <w:tc>
                <w:tcPr>
                  <w:tcW w:w="484" w:type="pct"/>
                  <w:tcBorders>
                    <w:tl2br w:val="nil"/>
                    <w:tr2bl w:val="nil"/>
                  </w:tcBorders>
                  <w:tcMar>
                    <w:top w:w="15" w:type="dxa"/>
                    <w:left w:w="15" w:type="dxa"/>
                    <w:right w:w="15" w:type="dxa"/>
                  </w:tcMar>
                  <w:vAlign w:val="center"/>
                </w:tcPr>
                <w:p w14:paraId="77F749AC">
                  <w:pPr>
                    <w:widowControl/>
                    <w:adjustRightInd w:val="0"/>
                    <w:snapToGrid w:val="0"/>
                    <w:spacing w:line="228" w:lineRule="auto"/>
                    <w:jc w:val="center"/>
                    <w:textAlignment w:val="center"/>
                    <w:rPr>
                      <w:rFonts w:hint="default"/>
                      <w:kern w:val="0"/>
                      <w:sz w:val="21"/>
                      <w:szCs w:val="21"/>
                      <w:lang w:val="en-US" w:eastAsia="zh-CN" w:bidi="ar"/>
                    </w:rPr>
                  </w:pPr>
                  <w:r>
                    <w:rPr>
                      <w:rFonts w:hint="eastAsia"/>
                      <w:kern w:val="0"/>
                      <w:sz w:val="21"/>
                      <w:szCs w:val="21"/>
                      <w:lang w:val="en-US" w:eastAsia="zh-CN" w:bidi="ar"/>
                    </w:rPr>
                    <w:t>机油</w:t>
                  </w:r>
                </w:p>
              </w:tc>
              <w:tc>
                <w:tcPr>
                  <w:tcW w:w="2149" w:type="pct"/>
                  <w:tcBorders>
                    <w:tl2br w:val="nil"/>
                    <w:tr2bl w:val="nil"/>
                  </w:tcBorders>
                  <w:tcMar>
                    <w:top w:w="15" w:type="dxa"/>
                    <w:left w:w="15" w:type="dxa"/>
                    <w:right w:w="15" w:type="dxa"/>
                  </w:tcMar>
                  <w:vAlign w:val="center"/>
                </w:tcPr>
                <w:p w14:paraId="5663B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200kg/桶；矿物油</w:t>
                  </w:r>
                </w:p>
              </w:tc>
              <w:tc>
                <w:tcPr>
                  <w:tcW w:w="653" w:type="pct"/>
                  <w:tcBorders>
                    <w:tl2br w:val="nil"/>
                    <w:tr2bl w:val="nil"/>
                  </w:tcBorders>
                  <w:tcMar>
                    <w:top w:w="15" w:type="dxa"/>
                    <w:left w:w="15" w:type="dxa"/>
                    <w:right w:w="15" w:type="dxa"/>
                  </w:tcMar>
                  <w:vAlign w:val="center"/>
                </w:tcPr>
                <w:p w14:paraId="6683DE26">
                  <w:pPr>
                    <w:widowControl/>
                    <w:adjustRightInd w:val="0"/>
                    <w:snapToGrid w:val="0"/>
                    <w:spacing w:line="228" w:lineRule="auto"/>
                    <w:jc w:val="center"/>
                    <w:textAlignment w:val="center"/>
                    <w:rPr>
                      <w:rFonts w:hint="default"/>
                      <w:sz w:val="21"/>
                      <w:szCs w:val="21"/>
                      <w:lang w:val="en-US" w:eastAsia="zh-CN"/>
                    </w:rPr>
                  </w:pPr>
                  <w:r>
                    <w:rPr>
                      <w:rFonts w:hint="eastAsia"/>
                      <w:sz w:val="21"/>
                      <w:szCs w:val="21"/>
                      <w:lang w:val="en-US" w:eastAsia="zh-CN"/>
                    </w:rPr>
                    <w:t>0.5</w:t>
                  </w:r>
                </w:p>
              </w:tc>
              <w:tc>
                <w:tcPr>
                  <w:tcW w:w="376" w:type="pct"/>
                  <w:tcBorders>
                    <w:tl2br w:val="nil"/>
                    <w:tr2bl w:val="nil"/>
                  </w:tcBorders>
                  <w:shd w:val="clear" w:color="auto" w:fill="auto"/>
                  <w:noWrap/>
                  <w:tcMar>
                    <w:top w:w="15" w:type="dxa"/>
                    <w:left w:w="15" w:type="dxa"/>
                    <w:right w:w="15" w:type="dxa"/>
                  </w:tcMar>
                  <w:vAlign w:val="center"/>
                </w:tcPr>
                <w:p w14:paraId="72E1F682">
                  <w:pPr>
                    <w:widowControl/>
                    <w:adjustRightInd w:val="0"/>
                    <w:snapToGrid w:val="0"/>
                    <w:spacing w:line="228" w:lineRule="auto"/>
                    <w:jc w:val="center"/>
                    <w:textAlignment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桶装</w:t>
                  </w:r>
                </w:p>
              </w:tc>
              <w:tc>
                <w:tcPr>
                  <w:tcW w:w="521" w:type="pct"/>
                  <w:tcBorders>
                    <w:tl2br w:val="nil"/>
                    <w:tr2bl w:val="nil"/>
                  </w:tcBorders>
                  <w:shd w:val="clear" w:color="auto" w:fill="auto"/>
                  <w:noWrap/>
                  <w:tcMar>
                    <w:top w:w="15" w:type="dxa"/>
                    <w:left w:w="15" w:type="dxa"/>
                    <w:right w:w="15" w:type="dxa"/>
                  </w:tcMar>
                  <w:vAlign w:val="center"/>
                </w:tcPr>
                <w:p w14:paraId="71313026">
                  <w:pPr>
                    <w:widowControl/>
                    <w:adjustRightInd w:val="0"/>
                    <w:snapToGrid w:val="0"/>
                    <w:spacing w:line="228" w:lineRule="auto"/>
                    <w:jc w:val="center"/>
                    <w:textAlignment w:val="center"/>
                    <w:rPr>
                      <w:rFonts w:hint="eastAsia" w:ascii="Times New Roman" w:hAnsi="Times New Roman" w:eastAsia="仿宋" w:cs="Times New Roman"/>
                      <w:kern w:val="2"/>
                      <w:sz w:val="21"/>
                      <w:szCs w:val="21"/>
                      <w:lang w:val="en-US" w:eastAsia="zh-CN" w:bidi="ar-SA"/>
                    </w:rPr>
                  </w:pPr>
                  <w:r>
                    <w:rPr>
                      <w:rFonts w:hint="eastAsia" w:cs="Times New Roman"/>
                      <w:sz w:val="21"/>
                      <w:szCs w:val="21"/>
                      <w:lang w:val="en-US" w:eastAsia="zh-CN"/>
                    </w:rPr>
                    <w:t>0.2</w:t>
                  </w:r>
                </w:p>
              </w:tc>
              <w:tc>
                <w:tcPr>
                  <w:tcW w:w="541" w:type="pct"/>
                  <w:vMerge w:val="continue"/>
                  <w:tcBorders>
                    <w:tl2br w:val="nil"/>
                    <w:tr2bl w:val="nil"/>
                  </w:tcBorders>
                  <w:noWrap/>
                  <w:tcMar>
                    <w:top w:w="15" w:type="dxa"/>
                    <w:left w:w="15" w:type="dxa"/>
                    <w:right w:w="15" w:type="dxa"/>
                  </w:tcMar>
                  <w:vAlign w:val="center"/>
                </w:tcPr>
                <w:p w14:paraId="31DCC30E">
                  <w:pPr>
                    <w:widowControl/>
                    <w:adjustRightInd w:val="0"/>
                    <w:snapToGrid w:val="0"/>
                    <w:spacing w:line="228" w:lineRule="auto"/>
                    <w:jc w:val="center"/>
                    <w:textAlignment w:val="center"/>
                    <w:rPr>
                      <w:sz w:val="21"/>
                      <w:szCs w:val="21"/>
                    </w:rPr>
                  </w:pPr>
                </w:p>
              </w:tc>
            </w:tr>
            <w:tr w14:paraId="5907A2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2" w:type="pct"/>
                  <w:vMerge w:val="continue"/>
                  <w:tcBorders>
                    <w:tl2br w:val="nil"/>
                    <w:tr2bl w:val="nil"/>
                  </w:tcBorders>
                  <w:tcMar>
                    <w:top w:w="15" w:type="dxa"/>
                    <w:left w:w="15" w:type="dxa"/>
                    <w:right w:w="15" w:type="dxa"/>
                  </w:tcMar>
                  <w:vAlign w:val="center"/>
                </w:tcPr>
                <w:p w14:paraId="4A978F01">
                  <w:pPr>
                    <w:widowControl/>
                    <w:adjustRightInd w:val="0"/>
                    <w:snapToGrid w:val="0"/>
                    <w:spacing w:line="228" w:lineRule="auto"/>
                    <w:jc w:val="center"/>
                    <w:textAlignment w:val="center"/>
                    <w:rPr>
                      <w:rFonts w:hint="eastAsia"/>
                      <w:kern w:val="0"/>
                      <w:sz w:val="21"/>
                      <w:szCs w:val="21"/>
                      <w:lang w:bidi="ar"/>
                    </w:rPr>
                  </w:pPr>
                </w:p>
              </w:tc>
              <w:tc>
                <w:tcPr>
                  <w:tcW w:w="484" w:type="pct"/>
                  <w:tcBorders>
                    <w:tl2br w:val="nil"/>
                    <w:tr2bl w:val="nil"/>
                  </w:tcBorders>
                  <w:tcMar>
                    <w:top w:w="15" w:type="dxa"/>
                    <w:left w:w="15" w:type="dxa"/>
                    <w:right w:w="15" w:type="dxa"/>
                  </w:tcMar>
                  <w:vAlign w:val="center"/>
                </w:tcPr>
                <w:p w14:paraId="5E0F088E">
                  <w:pPr>
                    <w:widowControl/>
                    <w:adjustRightInd w:val="0"/>
                    <w:snapToGrid w:val="0"/>
                    <w:spacing w:line="228" w:lineRule="auto"/>
                    <w:jc w:val="center"/>
                    <w:textAlignment w:val="center"/>
                    <w:rPr>
                      <w:rFonts w:hint="default"/>
                      <w:kern w:val="0"/>
                      <w:sz w:val="21"/>
                      <w:szCs w:val="21"/>
                      <w:lang w:val="en-US" w:eastAsia="zh-CN" w:bidi="ar"/>
                    </w:rPr>
                  </w:pPr>
                  <w:r>
                    <w:rPr>
                      <w:rFonts w:hint="eastAsia"/>
                      <w:kern w:val="0"/>
                      <w:sz w:val="21"/>
                      <w:szCs w:val="21"/>
                      <w:lang w:val="en-US" w:eastAsia="zh-CN" w:bidi="ar"/>
                    </w:rPr>
                    <w:t>天然气</w:t>
                  </w:r>
                </w:p>
              </w:tc>
              <w:tc>
                <w:tcPr>
                  <w:tcW w:w="2149" w:type="pct"/>
                  <w:tcBorders>
                    <w:tl2br w:val="nil"/>
                    <w:tr2bl w:val="nil"/>
                  </w:tcBorders>
                  <w:tcMar>
                    <w:top w:w="15" w:type="dxa"/>
                    <w:left w:w="15" w:type="dxa"/>
                    <w:right w:w="15" w:type="dxa"/>
                  </w:tcMar>
                  <w:vAlign w:val="center"/>
                </w:tcPr>
                <w:p w14:paraId="2696E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甲烷70</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90%，其余为乙烷、丙烷、丁烷等</w:t>
                  </w:r>
                </w:p>
              </w:tc>
              <w:tc>
                <w:tcPr>
                  <w:tcW w:w="653" w:type="pct"/>
                  <w:tcBorders>
                    <w:tl2br w:val="nil"/>
                    <w:tr2bl w:val="nil"/>
                  </w:tcBorders>
                  <w:tcMar>
                    <w:top w:w="15" w:type="dxa"/>
                    <w:left w:w="15" w:type="dxa"/>
                    <w:right w:w="15" w:type="dxa"/>
                  </w:tcMar>
                  <w:vAlign w:val="center"/>
                </w:tcPr>
                <w:p w14:paraId="0EDA67B2">
                  <w:pPr>
                    <w:widowControl/>
                    <w:adjustRightInd w:val="0"/>
                    <w:snapToGrid w:val="0"/>
                    <w:spacing w:line="228" w:lineRule="auto"/>
                    <w:jc w:val="center"/>
                    <w:textAlignment w:val="center"/>
                    <w:rPr>
                      <w:rFonts w:hint="default"/>
                      <w:sz w:val="21"/>
                      <w:szCs w:val="21"/>
                      <w:lang w:val="en-US" w:eastAsia="zh-CN"/>
                    </w:rPr>
                  </w:pPr>
                  <w:r>
                    <w:rPr>
                      <w:rFonts w:hint="eastAsia"/>
                      <w:sz w:val="21"/>
                      <w:szCs w:val="21"/>
                      <w:lang w:val="en-US" w:eastAsia="zh-CN"/>
                    </w:rPr>
                    <w:t>40万m</w:t>
                  </w:r>
                  <w:r>
                    <w:rPr>
                      <w:rFonts w:hint="eastAsia"/>
                      <w:sz w:val="21"/>
                      <w:szCs w:val="21"/>
                      <w:vertAlign w:val="superscript"/>
                      <w:lang w:val="en-US" w:eastAsia="zh-CN"/>
                    </w:rPr>
                    <w:t>3</w:t>
                  </w:r>
                </w:p>
              </w:tc>
              <w:tc>
                <w:tcPr>
                  <w:tcW w:w="376" w:type="pct"/>
                  <w:tcBorders>
                    <w:tl2br w:val="nil"/>
                    <w:tr2bl w:val="nil"/>
                  </w:tcBorders>
                  <w:shd w:val="clear" w:color="auto" w:fill="auto"/>
                  <w:noWrap/>
                  <w:tcMar>
                    <w:top w:w="15" w:type="dxa"/>
                    <w:left w:w="15" w:type="dxa"/>
                    <w:right w:w="15" w:type="dxa"/>
                  </w:tcMar>
                  <w:vAlign w:val="center"/>
                </w:tcPr>
                <w:p w14:paraId="70D1E6D6">
                  <w:pPr>
                    <w:widowControl/>
                    <w:adjustRightInd w:val="0"/>
                    <w:snapToGrid w:val="0"/>
                    <w:spacing w:line="228" w:lineRule="auto"/>
                    <w:jc w:val="center"/>
                    <w:textAlignment w:val="center"/>
                    <w:rPr>
                      <w:rFonts w:hint="default"/>
                      <w:sz w:val="21"/>
                      <w:szCs w:val="21"/>
                      <w:lang w:val="en-US" w:eastAsia="zh-CN"/>
                    </w:rPr>
                  </w:pPr>
                  <w:r>
                    <w:rPr>
                      <w:rFonts w:hint="eastAsia"/>
                      <w:sz w:val="21"/>
                      <w:szCs w:val="21"/>
                      <w:lang w:val="en-US" w:eastAsia="zh-CN"/>
                    </w:rPr>
                    <w:t>管道运输</w:t>
                  </w:r>
                </w:p>
              </w:tc>
              <w:tc>
                <w:tcPr>
                  <w:tcW w:w="521" w:type="pct"/>
                  <w:tcBorders>
                    <w:tl2br w:val="nil"/>
                    <w:tr2bl w:val="nil"/>
                  </w:tcBorders>
                  <w:shd w:val="clear" w:color="auto" w:fill="auto"/>
                  <w:noWrap/>
                  <w:tcMar>
                    <w:top w:w="15" w:type="dxa"/>
                    <w:left w:w="15" w:type="dxa"/>
                    <w:right w:w="15" w:type="dxa"/>
                  </w:tcMar>
                  <w:vAlign w:val="center"/>
                </w:tcPr>
                <w:p w14:paraId="22E18E8E">
                  <w:pPr>
                    <w:widowControl/>
                    <w:adjustRightInd w:val="0"/>
                    <w:snapToGrid w:val="0"/>
                    <w:spacing w:line="228" w:lineRule="auto"/>
                    <w:jc w:val="center"/>
                    <w:textAlignment w:val="center"/>
                    <w:rPr>
                      <w:rFonts w:hint="default" w:cs="Times New Roman"/>
                      <w:sz w:val="21"/>
                      <w:szCs w:val="21"/>
                      <w:lang w:val="en-US" w:eastAsia="zh-CN"/>
                    </w:rPr>
                  </w:pPr>
                  <w:r>
                    <w:rPr>
                      <w:rFonts w:hint="eastAsia" w:cs="Times New Roman"/>
                      <w:sz w:val="21"/>
                      <w:szCs w:val="21"/>
                      <w:lang w:val="en-US" w:eastAsia="zh-CN"/>
                    </w:rPr>
                    <w:t>/</w:t>
                  </w:r>
                </w:p>
              </w:tc>
              <w:tc>
                <w:tcPr>
                  <w:tcW w:w="541" w:type="pct"/>
                  <w:tcBorders>
                    <w:tl2br w:val="nil"/>
                    <w:tr2bl w:val="nil"/>
                  </w:tcBorders>
                  <w:noWrap/>
                  <w:tcMar>
                    <w:top w:w="15" w:type="dxa"/>
                    <w:left w:w="15" w:type="dxa"/>
                    <w:right w:w="15" w:type="dxa"/>
                  </w:tcMar>
                  <w:vAlign w:val="center"/>
                </w:tcPr>
                <w:p w14:paraId="20F6E967">
                  <w:pPr>
                    <w:widowControl/>
                    <w:adjustRightInd w:val="0"/>
                    <w:snapToGrid w:val="0"/>
                    <w:spacing w:line="228" w:lineRule="auto"/>
                    <w:jc w:val="center"/>
                    <w:textAlignment w:val="center"/>
                    <w:rPr>
                      <w:rFonts w:hint="eastAsia" w:eastAsia="仿宋"/>
                      <w:sz w:val="21"/>
                      <w:szCs w:val="21"/>
                      <w:lang w:val="en-US" w:eastAsia="zh-CN"/>
                    </w:rPr>
                  </w:pPr>
                  <w:r>
                    <w:rPr>
                      <w:rFonts w:hint="eastAsia"/>
                      <w:sz w:val="21"/>
                      <w:szCs w:val="21"/>
                      <w:lang w:val="en-US" w:eastAsia="zh-CN"/>
                    </w:rPr>
                    <w:t>管道运输</w:t>
                  </w:r>
                </w:p>
              </w:tc>
            </w:tr>
          </w:tbl>
          <w:p w14:paraId="63AE975F">
            <w:pPr>
              <w:snapToGrid w:val="0"/>
              <w:spacing w:line="240" w:lineRule="auto"/>
              <w:jc w:val="both"/>
              <w:rPr>
                <w:rFonts w:hint="default" w:eastAsia="仿宋"/>
                <w:b/>
                <w:sz w:val="21"/>
                <w:szCs w:val="21"/>
                <w:highlight w:val="none"/>
                <w:lang w:val="en-US" w:eastAsia="zh-CN"/>
              </w:rPr>
            </w:pPr>
            <w:r>
              <w:rPr>
                <w:rFonts w:hint="eastAsia"/>
                <w:b/>
                <w:sz w:val="21"/>
                <w:szCs w:val="21"/>
                <w:highlight w:val="none"/>
                <w:lang w:val="en-US" w:eastAsia="zh-CN"/>
              </w:rPr>
              <w:t>注：本项目铝合金锭成分符合《压铸铝合金》（GB/T 15115-2024）中成分含量</w:t>
            </w:r>
            <w:r>
              <w:rPr>
                <w:rFonts w:hint="default" w:ascii="Times New Roman" w:hAnsi="Times New Roman" w:eastAsia="仿宋" w:cs="Times New Roman"/>
                <w:b/>
                <w:bCs/>
                <w:color w:val="000000"/>
                <w:sz w:val="21"/>
                <w:szCs w:val="21"/>
                <w:lang w:val="en-US" w:eastAsia="zh-CN"/>
              </w:rPr>
              <w:t>。</w:t>
            </w:r>
          </w:p>
          <w:p w14:paraId="49A4F250">
            <w:pPr>
              <w:snapToGrid w:val="0"/>
              <w:spacing w:line="240" w:lineRule="auto"/>
              <w:jc w:val="center"/>
              <w:rPr>
                <w:b/>
                <w:sz w:val="21"/>
                <w:szCs w:val="21"/>
                <w:highlight w:val="none"/>
              </w:rPr>
            </w:pPr>
          </w:p>
          <w:p w14:paraId="1D690B69">
            <w:pPr>
              <w:snapToGrid w:val="0"/>
              <w:spacing w:line="240" w:lineRule="auto"/>
              <w:jc w:val="center"/>
              <w:rPr>
                <w:b/>
                <w:sz w:val="21"/>
                <w:szCs w:val="21"/>
                <w:highlight w:val="none"/>
              </w:rPr>
            </w:pPr>
          </w:p>
          <w:p w14:paraId="59EB7204">
            <w:pPr>
              <w:snapToGrid w:val="0"/>
              <w:spacing w:line="240" w:lineRule="auto"/>
              <w:jc w:val="center"/>
              <w:rPr>
                <w:b/>
                <w:sz w:val="21"/>
                <w:szCs w:val="21"/>
                <w:highlight w:val="none"/>
              </w:rPr>
            </w:pPr>
          </w:p>
          <w:p w14:paraId="3EA9E723">
            <w:pPr>
              <w:snapToGrid w:val="0"/>
              <w:spacing w:line="240" w:lineRule="auto"/>
              <w:jc w:val="center"/>
              <w:rPr>
                <w:b/>
                <w:sz w:val="21"/>
                <w:szCs w:val="21"/>
                <w:highlight w:val="none"/>
              </w:rPr>
            </w:pPr>
          </w:p>
          <w:p w14:paraId="4D571351">
            <w:pPr>
              <w:snapToGrid w:val="0"/>
              <w:spacing w:line="240" w:lineRule="auto"/>
              <w:jc w:val="center"/>
              <w:rPr>
                <w:b/>
                <w:sz w:val="21"/>
                <w:szCs w:val="21"/>
                <w:highlight w:val="none"/>
              </w:rPr>
            </w:pPr>
          </w:p>
          <w:p w14:paraId="0EF4C145">
            <w:pPr>
              <w:snapToGrid w:val="0"/>
              <w:spacing w:line="240" w:lineRule="auto"/>
              <w:jc w:val="center"/>
              <w:rPr>
                <w:b/>
                <w:sz w:val="21"/>
                <w:szCs w:val="21"/>
                <w:highlight w:val="none"/>
              </w:rPr>
            </w:pPr>
          </w:p>
          <w:p w14:paraId="690E4B8C">
            <w:pPr>
              <w:snapToGrid w:val="0"/>
              <w:spacing w:line="240" w:lineRule="auto"/>
              <w:jc w:val="center"/>
              <w:rPr>
                <w:b/>
                <w:sz w:val="21"/>
                <w:szCs w:val="21"/>
                <w:highlight w:val="none"/>
              </w:rPr>
            </w:pPr>
          </w:p>
          <w:p w14:paraId="221EF49A">
            <w:pPr>
              <w:snapToGrid w:val="0"/>
              <w:spacing w:line="240" w:lineRule="auto"/>
              <w:jc w:val="center"/>
              <w:rPr>
                <w:b/>
                <w:sz w:val="21"/>
                <w:szCs w:val="21"/>
                <w:highlight w:val="none"/>
              </w:rPr>
            </w:pPr>
            <w:r>
              <w:rPr>
                <w:b/>
                <w:sz w:val="21"/>
                <w:szCs w:val="21"/>
                <w:highlight w:val="none"/>
              </w:rPr>
              <w:t>表2-</w:t>
            </w:r>
            <w:r>
              <w:rPr>
                <w:rFonts w:hint="eastAsia"/>
                <w:b/>
                <w:sz w:val="21"/>
                <w:szCs w:val="21"/>
                <w:highlight w:val="none"/>
              </w:rPr>
              <w:t>6</w:t>
            </w:r>
            <w:r>
              <w:rPr>
                <w:b/>
                <w:sz w:val="21"/>
                <w:szCs w:val="21"/>
                <w:highlight w:val="none"/>
              </w:rPr>
              <w:t xml:space="preserve">  主要原辅材料理化性质表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9"/>
              <w:gridCol w:w="1036"/>
              <w:gridCol w:w="4466"/>
              <w:gridCol w:w="1092"/>
              <w:gridCol w:w="1248"/>
            </w:tblGrid>
            <w:tr w14:paraId="7CDAE7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6" w:type="pct"/>
                  <w:gridSpan w:val="2"/>
                  <w:vAlign w:val="center"/>
                </w:tcPr>
                <w:p w14:paraId="15B00F18">
                  <w:pPr>
                    <w:spacing w:line="240" w:lineRule="auto"/>
                    <w:jc w:val="center"/>
                    <w:rPr>
                      <w:b/>
                      <w:sz w:val="21"/>
                      <w:szCs w:val="21"/>
                    </w:rPr>
                  </w:pPr>
                  <w:r>
                    <w:rPr>
                      <w:b/>
                      <w:sz w:val="21"/>
                      <w:szCs w:val="21"/>
                    </w:rPr>
                    <w:t>名称</w:t>
                  </w:r>
                </w:p>
              </w:tc>
              <w:tc>
                <w:tcPr>
                  <w:tcW w:w="2699" w:type="pct"/>
                  <w:vAlign w:val="center"/>
                </w:tcPr>
                <w:p w14:paraId="1CD02734">
                  <w:pPr>
                    <w:spacing w:line="240" w:lineRule="auto"/>
                    <w:jc w:val="center"/>
                    <w:rPr>
                      <w:b/>
                      <w:sz w:val="21"/>
                      <w:szCs w:val="21"/>
                    </w:rPr>
                  </w:pPr>
                  <w:r>
                    <w:rPr>
                      <w:b/>
                      <w:sz w:val="21"/>
                      <w:szCs w:val="21"/>
                    </w:rPr>
                    <w:t>理化性质</w:t>
                  </w:r>
                </w:p>
              </w:tc>
              <w:tc>
                <w:tcPr>
                  <w:tcW w:w="660" w:type="pct"/>
                  <w:vAlign w:val="center"/>
                </w:tcPr>
                <w:p w14:paraId="11983610">
                  <w:pPr>
                    <w:spacing w:line="240" w:lineRule="auto"/>
                    <w:jc w:val="center"/>
                    <w:rPr>
                      <w:b/>
                      <w:sz w:val="21"/>
                      <w:szCs w:val="21"/>
                    </w:rPr>
                  </w:pPr>
                  <w:r>
                    <w:rPr>
                      <w:rFonts w:hint="eastAsia"/>
                      <w:b/>
                      <w:sz w:val="21"/>
                      <w:szCs w:val="21"/>
                    </w:rPr>
                    <w:t>燃爆性</w:t>
                  </w:r>
                </w:p>
              </w:tc>
              <w:tc>
                <w:tcPr>
                  <w:tcW w:w="754" w:type="pct"/>
                  <w:vAlign w:val="center"/>
                </w:tcPr>
                <w:p w14:paraId="261C4C9A">
                  <w:pPr>
                    <w:spacing w:line="240" w:lineRule="auto"/>
                    <w:jc w:val="center"/>
                    <w:rPr>
                      <w:b/>
                      <w:sz w:val="21"/>
                      <w:szCs w:val="21"/>
                    </w:rPr>
                  </w:pPr>
                  <w:r>
                    <w:rPr>
                      <w:rFonts w:hint="eastAsia"/>
                      <w:b/>
                      <w:sz w:val="21"/>
                      <w:szCs w:val="21"/>
                    </w:rPr>
                    <w:t>毒理性质</w:t>
                  </w:r>
                </w:p>
              </w:tc>
            </w:tr>
            <w:tr w14:paraId="62ABAB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6" w:type="pct"/>
                  <w:gridSpan w:val="2"/>
                  <w:vAlign w:val="center"/>
                </w:tcPr>
                <w:p w14:paraId="6D460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b/>
                      <w:sz w:val="21"/>
                      <w:szCs w:val="21"/>
                    </w:rPr>
                  </w:pPr>
                  <w:r>
                    <w:rPr>
                      <w:rFonts w:hint="eastAsia" w:cs="Times New Roman"/>
                      <w:color w:val="auto"/>
                      <w:kern w:val="2"/>
                      <w:sz w:val="21"/>
                      <w:szCs w:val="21"/>
                      <w:lang w:val="en-US" w:eastAsia="zh-CN" w:bidi="ar-SA"/>
                    </w:rPr>
                    <w:t>脱模剂</w:t>
                  </w:r>
                </w:p>
              </w:tc>
              <w:tc>
                <w:tcPr>
                  <w:tcW w:w="2699" w:type="pct"/>
                  <w:vAlign w:val="center"/>
                </w:tcPr>
                <w:p w14:paraId="23501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eastAsia="仿宋"/>
                      <w:sz w:val="21"/>
                      <w:szCs w:val="21"/>
                      <w:lang w:val="en-US" w:eastAsia="zh-CN"/>
                    </w:rPr>
                  </w:pPr>
                  <w:r>
                    <w:rPr>
                      <w:rFonts w:hint="eastAsia" w:cs="Times New Roman"/>
                      <w:color w:val="auto"/>
                      <w:sz w:val="21"/>
                      <w:szCs w:val="21"/>
                      <w:lang w:val="en-US" w:eastAsia="zh-CN"/>
                    </w:rPr>
                    <w:t>乳白色液体，沸点：100</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，与水任意比混溶。</w:t>
                  </w:r>
                </w:p>
              </w:tc>
              <w:tc>
                <w:tcPr>
                  <w:tcW w:w="660" w:type="pct"/>
                  <w:vAlign w:val="center"/>
                </w:tcPr>
                <w:p w14:paraId="150B6CD8">
                  <w:pPr>
                    <w:pStyle w:val="61"/>
                    <w:spacing w:line="240" w:lineRule="auto"/>
                    <w:rPr>
                      <w:sz w:val="21"/>
                      <w:szCs w:val="21"/>
                    </w:rPr>
                  </w:pPr>
                  <w:r>
                    <w:rPr>
                      <w:rFonts w:hint="eastAsia"/>
                      <w:kern w:val="0"/>
                      <w:sz w:val="21"/>
                      <w:szCs w:val="21"/>
                      <w:lang w:val="en-US" w:eastAsia="zh-CN" w:bidi="ar"/>
                    </w:rPr>
                    <w:t>不燃</w:t>
                  </w:r>
                </w:p>
              </w:tc>
              <w:tc>
                <w:tcPr>
                  <w:tcW w:w="754" w:type="pct"/>
                  <w:vAlign w:val="center"/>
                </w:tcPr>
                <w:p w14:paraId="76BB94A3">
                  <w:pPr>
                    <w:pStyle w:val="61"/>
                    <w:spacing w:line="240" w:lineRule="auto"/>
                    <w:rPr>
                      <w:rFonts w:hint="eastAsia"/>
                      <w:sz w:val="21"/>
                      <w:szCs w:val="21"/>
                      <w:lang w:val="en-US" w:eastAsia="zh-CN"/>
                    </w:rPr>
                  </w:pPr>
                  <w:r>
                    <w:rPr>
                      <w:rFonts w:hint="eastAsia"/>
                      <w:sz w:val="21"/>
                      <w:szCs w:val="21"/>
                      <w:lang w:val="en-US" w:eastAsia="zh-CN"/>
                    </w:rPr>
                    <w:t>无毒</w:t>
                  </w:r>
                </w:p>
              </w:tc>
            </w:tr>
            <w:tr w14:paraId="36119A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restart"/>
                  <w:vAlign w:val="center"/>
                </w:tcPr>
                <w:p w14:paraId="36018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其中</w:t>
                  </w:r>
                </w:p>
              </w:tc>
              <w:tc>
                <w:tcPr>
                  <w:tcW w:w="625" w:type="pct"/>
                  <w:vAlign w:val="center"/>
                </w:tcPr>
                <w:p w14:paraId="3339D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高分子聚合物</w:t>
                  </w:r>
                </w:p>
              </w:tc>
              <w:tc>
                <w:tcPr>
                  <w:tcW w:w="2699" w:type="pct"/>
                  <w:vAlign w:val="center"/>
                </w:tcPr>
                <w:p w14:paraId="7CBA7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聚乙烯醇，通常为白色片状、絮状或粉末状固体，无味；一般在1.19-1.31g/cm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之间，熔点为212-267℃，标准大气压下的沸点约为340℃；能溶于水，具有一定的热稳定性，但在高温下可能发生分解，分解时可产生刺激性烟雾和粉尘。</w:t>
                  </w:r>
                </w:p>
              </w:tc>
              <w:tc>
                <w:tcPr>
                  <w:tcW w:w="660" w:type="pct"/>
                  <w:vAlign w:val="center"/>
                </w:tcPr>
                <w:p w14:paraId="65C082CB">
                  <w:pPr>
                    <w:pStyle w:val="61"/>
                    <w:spacing w:line="240" w:lineRule="auto"/>
                    <w:rPr>
                      <w:rFonts w:hint="eastAsia"/>
                      <w:kern w:val="0"/>
                      <w:sz w:val="21"/>
                      <w:szCs w:val="21"/>
                      <w:lang w:val="en-US" w:eastAsia="zh-CN" w:bidi="ar"/>
                    </w:rPr>
                  </w:pPr>
                  <w:r>
                    <w:rPr>
                      <w:rFonts w:hint="eastAsia"/>
                      <w:kern w:val="0"/>
                      <w:sz w:val="21"/>
                      <w:szCs w:val="21"/>
                      <w:lang w:val="en-US" w:eastAsia="zh-CN" w:bidi="ar"/>
                    </w:rPr>
                    <w:t>不燃</w:t>
                  </w:r>
                </w:p>
              </w:tc>
              <w:tc>
                <w:tcPr>
                  <w:tcW w:w="754" w:type="pct"/>
                  <w:vAlign w:val="center"/>
                </w:tcPr>
                <w:p w14:paraId="74A11FE3">
                  <w:pPr>
                    <w:pStyle w:val="61"/>
                    <w:spacing w:line="240" w:lineRule="auto"/>
                    <w:rPr>
                      <w:rFonts w:hint="eastAsia"/>
                      <w:kern w:val="0"/>
                      <w:sz w:val="21"/>
                      <w:szCs w:val="21"/>
                      <w:lang w:val="en-US" w:eastAsia="zh-CN" w:bidi="ar"/>
                    </w:rPr>
                  </w:pPr>
                  <w:r>
                    <w:rPr>
                      <w:rFonts w:hint="eastAsia"/>
                      <w:kern w:val="0"/>
                      <w:sz w:val="21"/>
                      <w:szCs w:val="21"/>
                      <w:lang w:val="en-US" w:eastAsia="zh-CN" w:bidi="ar"/>
                    </w:rPr>
                    <w:t>无毒</w:t>
                  </w:r>
                </w:p>
              </w:tc>
            </w:tr>
            <w:tr w14:paraId="73BEA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continue"/>
                  <w:vAlign w:val="center"/>
                </w:tcPr>
                <w:p w14:paraId="5DD55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5" w:type="pct"/>
                  <w:vAlign w:val="center"/>
                </w:tcPr>
                <w:p w14:paraId="5A773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长链烷基芳基硅油</w:t>
                  </w:r>
                </w:p>
              </w:tc>
              <w:tc>
                <w:tcPr>
                  <w:tcW w:w="2699" w:type="pct"/>
                  <w:vAlign w:val="center"/>
                </w:tcPr>
                <w:p w14:paraId="73105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聚二甲基硅氧烷，也称为二甲基硅油，无色透明液体。可以分解成易挥发的环状低聚物。</w:t>
                  </w:r>
                </w:p>
              </w:tc>
              <w:tc>
                <w:tcPr>
                  <w:tcW w:w="660" w:type="pct"/>
                  <w:vAlign w:val="center"/>
                </w:tcPr>
                <w:p w14:paraId="5E5BF0B2">
                  <w:pPr>
                    <w:pStyle w:val="61"/>
                    <w:spacing w:line="240" w:lineRule="auto"/>
                    <w:rPr>
                      <w:rFonts w:hint="default"/>
                      <w:kern w:val="0"/>
                      <w:sz w:val="21"/>
                      <w:szCs w:val="21"/>
                      <w:lang w:val="en-US" w:eastAsia="zh-CN" w:bidi="ar"/>
                    </w:rPr>
                  </w:pPr>
                  <w:r>
                    <w:rPr>
                      <w:rFonts w:hint="eastAsia"/>
                      <w:kern w:val="0"/>
                      <w:sz w:val="21"/>
                      <w:szCs w:val="21"/>
                      <w:lang w:val="en-US" w:eastAsia="zh-CN" w:bidi="ar"/>
                    </w:rPr>
                    <w:t>可燃</w:t>
                  </w:r>
                </w:p>
              </w:tc>
              <w:tc>
                <w:tcPr>
                  <w:tcW w:w="754" w:type="pct"/>
                  <w:vAlign w:val="center"/>
                </w:tcPr>
                <w:p w14:paraId="2C4ED8D1">
                  <w:pPr>
                    <w:pStyle w:val="61"/>
                    <w:spacing w:line="240" w:lineRule="auto"/>
                    <w:rPr>
                      <w:rFonts w:hint="eastAsia"/>
                      <w:kern w:val="0"/>
                      <w:sz w:val="21"/>
                      <w:szCs w:val="21"/>
                      <w:lang w:val="en-US" w:eastAsia="zh-CN" w:bidi="ar"/>
                    </w:rPr>
                  </w:pPr>
                  <w:r>
                    <w:rPr>
                      <w:rFonts w:hint="eastAsia"/>
                      <w:kern w:val="0"/>
                      <w:sz w:val="21"/>
                      <w:szCs w:val="21"/>
                      <w:lang w:val="en-US" w:eastAsia="zh-CN" w:bidi="ar"/>
                    </w:rPr>
                    <w:t>无毒</w:t>
                  </w:r>
                </w:p>
              </w:tc>
            </w:tr>
            <w:tr w14:paraId="26867A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continue"/>
                  <w:vAlign w:val="center"/>
                </w:tcPr>
                <w:p w14:paraId="6555B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5" w:type="pct"/>
                  <w:vAlign w:val="center"/>
                </w:tcPr>
                <w:p w14:paraId="754C3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异构聚氧乙烯醚-6</w:t>
                  </w:r>
                </w:p>
              </w:tc>
              <w:tc>
                <w:tcPr>
                  <w:tcW w:w="2699" w:type="pct"/>
                  <w:vAlign w:val="center"/>
                </w:tcPr>
                <w:p w14:paraId="04F4B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通常为无色或淡黄色液体，易溶于水，能够在水中形成均匀的溶液，一般在0.9-1.1g/cm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左右，在高温下可完全分解为一氧化碳（CO）、二氧化碳（CO</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）、水（H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O）、氢气（H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）和碳（C）的混合物。</w:t>
                  </w:r>
                </w:p>
              </w:tc>
              <w:tc>
                <w:tcPr>
                  <w:tcW w:w="660" w:type="pct"/>
                  <w:shd w:val="clear" w:color="auto" w:fill="auto"/>
                  <w:vAlign w:val="center"/>
                </w:tcPr>
                <w:p w14:paraId="139DE9AA">
                  <w:pPr>
                    <w:pStyle w:val="61"/>
                    <w:spacing w:line="240" w:lineRule="auto"/>
                    <w:ind w:left="0" w:leftChars="0" w:right="0" w:rightChars="0"/>
                    <w:rPr>
                      <w:rFonts w:hint="eastAsia" w:ascii="Times New Roman" w:hAnsi="Times New Roman" w:eastAsia="仿宋" w:cs="Times New Roman"/>
                      <w:kern w:val="0"/>
                      <w:position w:val="-1"/>
                      <w:sz w:val="21"/>
                      <w:szCs w:val="21"/>
                      <w:lang w:val="en-US" w:eastAsia="zh-CN" w:bidi="ar"/>
                    </w:rPr>
                  </w:pPr>
                  <w:r>
                    <w:rPr>
                      <w:rFonts w:hint="eastAsia"/>
                      <w:kern w:val="0"/>
                      <w:sz w:val="21"/>
                      <w:szCs w:val="21"/>
                      <w:lang w:val="en-US" w:eastAsia="zh-CN" w:bidi="ar"/>
                    </w:rPr>
                    <w:t>可燃</w:t>
                  </w:r>
                </w:p>
              </w:tc>
              <w:tc>
                <w:tcPr>
                  <w:tcW w:w="754" w:type="pct"/>
                  <w:shd w:val="clear" w:color="auto" w:fill="auto"/>
                  <w:vAlign w:val="center"/>
                </w:tcPr>
                <w:p w14:paraId="3C2EAD4D">
                  <w:pPr>
                    <w:pStyle w:val="61"/>
                    <w:spacing w:line="240" w:lineRule="auto"/>
                    <w:ind w:left="0" w:leftChars="0" w:right="0" w:rightChars="0"/>
                    <w:rPr>
                      <w:rFonts w:hint="eastAsia" w:ascii="Times New Roman" w:hAnsi="Times New Roman" w:eastAsia="仿宋" w:cs="Times New Roman"/>
                      <w:kern w:val="0"/>
                      <w:position w:val="-1"/>
                      <w:sz w:val="21"/>
                      <w:szCs w:val="21"/>
                      <w:lang w:val="en-US" w:eastAsia="zh-CN" w:bidi="ar"/>
                    </w:rPr>
                  </w:pPr>
                  <w:r>
                    <w:rPr>
                      <w:rFonts w:hint="eastAsia"/>
                      <w:kern w:val="0"/>
                      <w:sz w:val="21"/>
                      <w:szCs w:val="21"/>
                      <w:lang w:val="en-US" w:eastAsia="zh-CN" w:bidi="ar"/>
                    </w:rPr>
                    <w:t>无毒</w:t>
                  </w:r>
                </w:p>
              </w:tc>
            </w:tr>
            <w:tr w14:paraId="69C55A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continue"/>
                  <w:vAlign w:val="center"/>
                </w:tcPr>
                <w:p w14:paraId="59A5F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5" w:type="pct"/>
                  <w:vAlign w:val="center"/>
                </w:tcPr>
                <w:p w14:paraId="42F1F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异构聚氧乙烯醚-10</w:t>
                  </w:r>
                </w:p>
              </w:tc>
              <w:tc>
                <w:tcPr>
                  <w:tcW w:w="2699" w:type="pct"/>
                  <w:vAlign w:val="center"/>
                </w:tcPr>
                <w:p w14:paraId="4DAD2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通常为无色或淡黄色液体，易溶于水，能够在水中形成均匀的溶液，在高温下可完全分解为一氧化碳（CO）、二氧化碳（CO</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）、水（H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O）、氢气（H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）和碳（C）的混合物。</w:t>
                  </w:r>
                </w:p>
              </w:tc>
              <w:tc>
                <w:tcPr>
                  <w:tcW w:w="660" w:type="pct"/>
                  <w:shd w:val="clear" w:color="auto" w:fill="auto"/>
                  <w:vAlign w:val="center"/>
                </w:tcPr>
                <w:p w14:paraId="4F3B3381">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可燃</w:t>
                  </w:r>
                </w:p>
              </w:tc>
              <w:tc>
                <w:tcPr>
                  <w:tcW w:w="754" w:type="pct"/>
                  <w:shd w:val="clear" w:color="auto" w:fill="auto"/>
                  <w:vAlign w:val="center"/>
                </w:tcPr>
                <w:p w14:paraId="68C837DD">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无毒</w:t>
                  </w:r>
                </w:p>
              </w:tc>
            </w:tr>
            <w:tr w14:paraId="0D3CB9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continue"/>
                  <w:vAlign w:val="center"/>
                </w:tcPr>
                <w:p w14:paraId="2BF49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5" w:type="pct"/>
                  <w:vAlign w:val="center"/>
                </w:tcPr>
                <w:p w14:paraId="29C67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乙烯丙烯共聚物</w:t>
                  </w:r>
                </w:p>
              </w:tc>
              <w:tc>
                <w:tcPr>
                  <w:tcW w:w="2699" w:type="pct"/>
                  <w:vAlign w:val="center"/>
                </w:tcPr>
                <w:p w14:paraId="75AAF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乙烯/丙烯酸/VA共聚物，常温下为白色或淡黄色弹性体，无臭、无毒，表面光滑。</w:t>
                  </w:r>
                </w:p>
              </w:tc>
              <w:tc>
                <w:tcPr>
                  <w:tcW w:w="660" w:type="pct"/>
                  <w:shd w:val="clear" w:color="auto" w:fill="auto"/>
                  <w:vAlign w:val="center"/>
                </w:tcPr>
                <w:p w14:paraId="2C6D59A3">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可燃</w:t>
                  </w:r>
                </w:p>
              </w:tc>
              <w:tc>
                <w:tcPr>
                  <w:tcW w:w="754" w:type="pct"/>
                  <w:shd w:val="clear" w:color="auto" w:fill="auto"/>
                  <w:vAlign w:val="center"/>
                </w:tcPr>
                <w:p w14:paraId="57E1CBA6">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无毒</w:t>
                  </w:r>
                </w:p>
              </w:tc>
            </w:tr>
            <w:tr w14:paraId="1FD20D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continue"/>
                  <w:vAlign w:val="center"/>
                </w:tcPr>
                <w:p w14:paraId="0BEAF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5" w:type="pct"/>
                  <w:vAlign w:val="center"/>
                </w:tcPr>
                <w:p w14:paraId="3163D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合成脂</w:t>
                  </w:r>
                </w:p>
              </w:tc>
              <w:tc>
                <w:tcPr>
                  <w:tcW w:w="2699" w:type="pct"/>
                  <w:vAlign w:val="center"/>
                </w:tcPr>
                <w:p w14:paraId="7F8DD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四油酸季戊四醇酯，常温下为</w:t>
                  </w:r>
                  <w:r>
                    <w:rPr>
                      <w:rFonts w:hint="default" w:cs="Times New Roman"/>
                      <w:color w:val="auto"/>
                      <w:sz w:val="21"/>
                      <w:szCs w:val="21"/>
                      <w:lang w:val="en-US" w:eastAsia="zh-CN"/>
                    </w:rPr>
                    <w:t>黄色至淡黄色油状液体，液体流动性较好，无明显固体颗粒或沉淀</w:t>
                  </w:r>
                  <w:r>
                    <w:rPr>
                      <w:rFonts w:hint="eastAsia" w:cs="Times New Roman"/>
                      <w:color w:val="auto"/>
                      <w:sz w:val="21"/>
                      <w:szCs w:val="21"/>
                      <w:lang w:val="en-US" w:eastAsia="zh-CN"/>
                    </w:rPr>
                    <w:t>；密度约为</w:t>
                  </w:r>
                  <w:r>
                    <w:rPr>
                      <w:rFonts w:hint="default" w:cs="Times New Roman"/>
                      <w:color w:val="auto"/>
                      <w:sz w:val="21"/>
                      <w:szCs w:val="21"/>
                      <w:lang w:val="en-US" w:eastAsia="zh-CN"/>
                    </w:rPr>
                    <w:t>0.91~0.94g/cm</w:t>
                  </w:r>
                  <w:r>
                    <w:rPr>
                      <w:rFonts w:hint="eastAsia" w:cs="Times New Roman"/>
                      <w:color w:val="auto"/>
                      <w:sz w:val="21"/>
                      <w:szCs w:val="21"/>
                      <w:vertAlign w:val="superscript"/>
                      <w:lang w:val="en-US" w:eastAsia="zh-CN"/>
                    </w:rPr>
                    <w:t>3</w:t>
                  </w:r>
                  <w:r>
                    <w:rPr>
                      <w:rFonts w:hint="default" w:cs="Times New Roman"/>
                      <w:color w:val="auto"/>
                      <w:sz w:val="21"/>
                      <w:szCs w:val="21"/>
                      <w:lang w:val="en-US" w:eastAsia="zh-CN"/>
                    </w:rPr>
                    <w:t>（25℃），略低于水，因此与水混合时会浮于水面</w:t>
                  </w:r>
                  <w:r>
                    <w:rPr>
                      <w:rFonts w:hint="eastAsia" w:cs="Times New Roman"/>
                      <w:color w:val="auto"/>
                      <w:sz w:val="21"/>
                      <w:szCs w:val="21"/>
                      <w:lang w:val="en-US" w:eastAsia="zh-CN"/>
                    </w:rPr>
                    <w:t>。</w:t>
                  </w:r>
                </w:p>
              </w:tc>
              <w:tc>
                <w:tcPr>
                  <w:tcW w:w="660" w:type="pct"/>
                  <w:shd w:val="clear" w:color="auto" w:fill="auto"/>
                  <w:vAlign w:val="center"/>
                </w:tcPr>
                <w:p w14:paraId="2C64C4BC">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可燃</w:t>
                  </w:r>
                </w:p>
              </w:tc>
              <w:tc>
                <w:tcPr>
                  <w:tcW w:w="754" w:type="pct"/>
                  <w:shd w:val="clear" w:color="auto" w:fill="auto"/>
                  <w:vAlign w:val="center"/>
                </w:tcPr>
                <w:p w14:paraId="732DFAF3">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无毒</w:t>
                  </w:r>
                </w:p>
              </w:tc>
            </w:tr>
            <w:tr w14:paraId="3A43B8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0" w:type="pct"/>
                  <w:vMerge w:val="continue"/>
                  <w:vAlign w:val="center"/>
                </w:tcPr>
                <w:p w14:paraId="2B67D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5" w:type="pct"/>
                  <w:vAlign w:val="center"/>
                </w:tcPr>
                <w:p w14:paraId="2550F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改性植物油脂</w:t>
                  </w:r>
                </w:p>
              </w:tc>
              <w:tc>
                <w:tcPr>
                  <w:tcW w:w="2699" w:type="pct"/>
                  <w:vAlign w:val="center"/>
                </w:tcPr>
                <w:p w14:paraId="14B6C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纯净的油脂在熔融状态下是无色的，天然植物油都有一定的特有气味。没有确定的熔点和凝固点，只有一个温度范围，一般在40-55</w:t>
                  </w:r>
                  <w:r>
                    <w:rPr>
                      <w:rFonts w:hint="default" w:cs="Times New Roman"/>
                      <w:color w:val="auto"/>
                      <w:sz w:val="21"/>
                      <w:szCs w:val="21"/>
                      <w:lang w:val="en-US" w:eastAsia="zh-CN"/>
                    </w:rPr>
                    <w:t>℃</w:t>
                  </w:r>
                  <w:r>
                    <w:rPr>
                      <w:rFonts w:hint="eastAsia" w:cs="Times New Roman"/>
                      <w:color w:val="auto"/>
                      <w:sz w:val="21"/>
                      <w:szCs w:val="21"/>
                      <w:lang w:val="en-US" w:eastAsia="zh-CN"/>
                    </w:rPr>
                    <w:t>之间。密度一般在0.9-0.95</w:t>
                  </w:r>
                  <w:r>
                    <w:rPr>
                      <w:rFonts w:hint="default" w:cs="Times New Roman"/>
                      <w:color w:val="auto"/>
                      <w:sz w:val="21"/>
                      <w:szCs w:val="21"/>
                      <w:lang w:val="en-US" w:eastAsia="zh-CN"/>
                    </w:rPr>
                    <w:t>g/cm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之间。</w:t>
                  </w:r>
                </w:p>
              </w:tc>
              <w:tc>
                <w:tcPr>
                  <w:tcW w:w="660" w:type="pct"/>
                  <w:shd w:val="clear" w:color="auto" w:fill="auto"/>
                  <w:vAlign w:val="center"/>
                </w:tcPr>
                <w:p w14:paraId="155ACF22">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可燃</w:t>
                  </w:r>
                </w:p>
              </w:tc>
              <w:tc>
                <w:tcPr>
                  <w:tcW w:w="754" w:type="pct"/>
                  <w:shd w:val="clear" w:color="auto" w:fill="auto"/>
                  <w:vAlign w:val="center"/>
                </w:tcPr>
                <w:p w14:paraId="080DF315">
                  <w:pPr>
                    <w:pStyle w:val="61"/>
                    <w:spacing w:line="240" w:lineRule="auto"/>
                    <w:ind w:left="0" w:leftChars="0" w:right="0" w:rightChars="0"/>
                    <w:rPr>
                      <w:rFonts w:hint="eastAsia"/>
                      <w:kern w:val="0"/>
                      <w:sz w:val="21"/>
                      <w:szCs w:val="21"/>
                      <w:lang w:val="en-US" w:eastAsia="zh-CN" w:bidi="ar"/>
                    </w:rPr>
                  </w:pPr>
                  <w:r>
                    <w:rPr>
                      <w:rFonts w:hint="eastAsia"/>
                      <w:kern w:val="0"/>
                      <w:sz w:val="21"/>
                      <w:szCs w:val="21"/>
                      <w:lang w:val="en-US" w:eastAsia="zh-CN" w:bidi="ar"/>
                    </w:rPr>
                    <w:t>无毒</w:t>
                  </w:r>
                </w:p>
              </w:tc>
            </w:tr>
            <w:tr w14:paraId="608649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1" w:hRule="atLeast"/>
              </w:trPr>
              <w:tc>
                <w:tcPr>
                  <w:tcW w:w="886" w:type="pct"/>
                  <w:gridSpan w:val="2"/>
                  <w:vAlign w:val="center"/>
                </w:tcPr>
                <w:p w14:paraId="767D0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PE蜡</w:t>
                  </w:r>
                </w:p>
              </w:tc>
              <w:tc>
                <w:tcPr>
                  <w:tcW w:w="2699" w:type="pct"/>
                  <w:vAlign w:val="center"/>
                </w:tcPr>
                <w:p w14:paraId="1D0B0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聚乙烯蜡，常温下多为白色或淡黄色固体，呈片状、颗粒状或粉末状，外观均匀，无明显杂质。密度通常在</w:t>
                  </w:r>
                  <w:r>
                    <w:rPr>
                      <w:rFonts w:hint="default" w:cs="Times New Roman"/>
                      <w:color w:val="auto"/>
                      <w:sz w:val="21"/>
                      <w:szCs w:val="21"/>
                      <w:lang w:val="en-US" w:eastAsia="zh-CN"/>
                    </w:rPr>
                    <w:t>0.91~0.96g/cm</w:t>
                  </w:r>
                  <w:r>
                    <w:rPr>
                      <w:rFonts w:hint="eastAsia" w:cs="Times New Roman"/>
                      <w:color w:val="auto"/>
                      <w:sz w:val="21"/>
                      <w:szCs w:val="21"/>
                      <w:vertAlign w:val="superscript"/>
                      <w:lang w:val="en-US" w:eastAsia="zh-CN"/>
                    </w:rPr>
                    <w:t>3</w:t>
                  </w:r>
                  <w:r>
                    <w:rPr>
                      <w:rFonts w:hint="default" w:cs="Times New Roman"/>
                      <w:color w:val="auto"/>
                      <w:sz w:val="21"/>
                      <w:szCs w:val="21"/>
                      <w:lang w:val="en-US" w:eastAsia="zh-CN"/>
                    </w:rPr>
                    <w:t>之间，</w:t>
                  </w:r>
                  <w:r>
                    <w:rPr>
                      <w:rFonts w:hint="eastAsia" w:cs="Times New Roman"/>
                      <w:color w:val="auto"/>
                      <w:sz w:val="21"/>
                      <w:szCs w:val="21"/>
                      <w:lang w:val="en-US" w:eastAsia="zh-CN"/>
                    </w:rPr>
                    <w:t>熔点范围较窄，一般为1</w:t>
                  </w:r>
                  <w:r>
                    <w:rPr>
                      <w:rFonts w:hint="default" w:cs="Times New Roman"/>
                      <w:color w:val="auto"/>
                      <w:sz w:val="21"/>
                      <w:szCs w:val="21"/>
                      <w:lang w:val="en-US" w:eastAsia="zh-CN"/>
                    </w:rPr>
                    <w:t>00~130℃</w:t>
                  </w:r>
                  <w:r>
                    <w:rPr>
                      <w:rFonts w:hint="eastAsia" w:cs="Times New Roman"/>
                      <w:color w:val="auto"/>
                      <w:sz w:val="21"/>
                      <w:szCs w:val="21"/>
                      <w:lang w:val="en-US" w:eastAsia="zh-CN"/>
                    </w:rPr>
                    <w:t>，常温下几乎不溶于水、乙醇、丙酮等极性溶剂。</w:t>
                  </w:r>
                </w:p>
              </w:tc>
              <w:tc>
                <w:tcPr>
                  <w:tcW w:w="660" w:type="pct"/>
                  <w:shd w:val="clear" w:color="auto" w:fill="auto"/>
                  <w:vAlign w:val="center"/>
                </w:tcPr>
                <w:p w14:paraId="21E14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可燃</w:t>
                  </w:r>
                </w:p>
              </w:tc>
              <w:tc>
                <w:tcPr>
                  <w:tcW w:w="754" w:type="pct"/>
                  <w:shd w:val="clear" w:color="auto" w:fill="auto"/>
                  <w:vAlign w:val="center"/>
                </w:tcPr>
                <w:p w14:paraId="176565C0">
                  <w:pPr>
                    <w:pStyle w:val="61"/>
                    <w:spacing w:line="240" w:lineRule="auto"/>
                    <w:ind w:left="0" w:leftChars="0" w:right="0" w:rightChars="0"/>
                    <w:rPr>
                      <w:rFonts w:hint="eastAsia" w:ascii="Times New Roman" w:hAnsi="Times New Roman" w:eastAsia="仿宋" w:cs="Times New Roman"/>
                      <w:kern w:val="0"/>
                      <w:position w:val="-1"/>
                      <w:sz w:val="21"/>
                      <w:szCs w:val="21"/>
                      <w:lang w:val="en-US" w:eastAsia="zh-CN" w:bidi="ar"/>
                    </w:rPr>
                  </w:pPr>
                  <w:r>
                    <w:rPr>
                      <w:rFonts w:hint="eastAsia"/>
                      <w:kern w:val="0"/>
                      <w:sz w:val="21"/>
                      <w:szCs w:val="21"/>
                      <w:lang w:val="en-US" w:eastAsia="zh-CN" w:bidi="ar"/>
                    </w:rPr>
                    <w:t>无毒</w:t>
                  </w:r>
                </w:p>
              </w:tc>
            </w:tr>
            <w:tr w14:paraId="5B9456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6" w:type="pct"/>
                  <w:gridSpan w:val="2"/>
                  <w:vAlign w:val="center"/>
                </w:tcPr>
                <w:p w14:paraId="37174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矿物油</w:t>
                  </w:r>
                </w:p>
              </w:tc>
              <w:tc>
                <w:tcPr>
                  <w:tcW w:w="2699" w:type="pct"/>
                  <w:vAlign w:val="center"/>
                </w:tcPr>
                <w:p w14:paraId="51B9B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矿物基础油的化学成分包括高沸点、高分子量烃类和非烃类混合物。其组成一般为烷烃（直链、支链、多支链）、环烷烃（单环、双环、多环）、芳烃（单环芳烃、多环芳烃）、环烷基芳烃以及含氧、含氮、含硫有机化合物和胶质、沥青质等非烃类化合物。</w:t>
                  </w:r>
                </w:p>
              </w:tc>
              <w:tc>
                <w:tcPr>
                  <w:tcW w:w="660" w:type="pct"/>
                  <w:shd w:val="clear" w:color="auto" w:fill="auto"/>
                  <w:vAlign w:val="center"/>
                </w:tcPr>
                <w:p w14:paraId="581B5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可燃</w:t>
                  </w:r>
                </w:p>
              </w:tc>
              <w:tc>
                <w:tcPr>
                  <w:tcW w:w="754" w:type="pct"/>
                  <w:shd w:val="clear" w:color="auto" w:fill="auto"/>
                  <w:vAlign w:val="center"/>
                </w:tcPr>
                <w:p w14:paraId="1DDD67FC">
                  <w:pPr>
                    <w:pStyle w:val="61"/>
                    <w:spacing w:line="240" w:lineRule="auto"/>
                    <w:ind w:left="0" w:leftChars="0" w:right="0" w:rightChars="0"/>
                    <w:rPr>
                      <w:rFonts w:hint="eastAsia" w:ascii="Times New Roman" w:hAnsi="Times New Roman" w:eastAsia="仿宋" w:cs="Times New Roman"/>
                      <w:kern w:val="0"/>
                      <w:position w:val="-1"/>
                      <w:sz w:val="21"/>
                      <w:szCs w:val="21"/>
                      <w:lang w:val="en-US" w:eastAsia="zh-CN" w:bidi="ar"/>
                    </w:rPr>
                  </w:pPr>
                  <w:r>
                    <w:rPr>
                      <w:rFonts w:hint="eastAsia"/>
                      <w:kern w:val="0"/>
                      <w:sz w:val="21"/>
                      <w:szCs w:val="21"/>
                      <w:lang w:val="en-US" w:eastAsia="zh-CN" w:bidi="ar"/>
                    </w:rPr>
                    <w:t>无毒</w:t>
                  </w:r>
                </w:p>
              </w:tc>
            </w:tr>
            <w:tr w14:paraId="1CB1B0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6" w:type="pct"/>
                  <w:gridSpan w:val="2"/>
                  <w:vAlign w:val="center"/>
                </w:tcPr>
                <w:p w14:paraId="5B40A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p>
              </w:tc>
              <w:tc>
                <w:tcPr>
                  <w:tcW w:w="2699" w:type="pct"/>
                  <w:vAlign w:val="center"/>
                </w:tcPr>
                <w:p w14:paraId="53B29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常温常压下为气体。无色无味，但通常添加硫醇（如甲硫醇）以便泄漏时易于察觉。密度约0.717kg/m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（标准条件下）。沸点：-161.5℃（甲烷）。燃点：约540℃（甲烷）</w:t>
                  </w:r>
                </w:p>
              </w:tc>
              <w:tc>
                <w:tcPr>
                  <w:tcW w:w="660" w:type="pct"/>
                  <w:shd w:val="clear" w:color="auto" w:fill="auto"/>
                  <w:vAlign w:val="center"/>
                </w:tcPr>
                <w:p w14:paraId="3CD324C3">
                  <w:pPr>
                    <w:pStyle w:val="61"/>
                    <w:spacing w:line="240" w:lineRule="auto"/>
                    <w:ind w:left="0" w:leftChars="0" w:right="0" w:rightChars="0"/>
                    <w:rPr>
                      <w:rFonts w:hint="eastAsia" w:ascii="Times New Roman" w:hAnsi="Times New Roman" w:eastAsia="仿宋" w:cs="Times New Roman"/>
                      <w:kern w:val="2"/>
                      <w:position w:val="-1"/>
                      <w:sz w:val="21"/>
                      <w:szCs w:val="21"/>
                      <w:lang w:val="en-US" w:eastAsia="zh-CN" w:bidi="ar-SA"/>
                    </w:rPr>
                  </w:pPr>
                  <w:r>
                    <w:rPr>
                      <w:rFonts w:hint="eastAsia"/>
                      <w:kern w:val="0"/>
                      <w:sz w:val="21"/>
                      <w:szCs w:val="21"/>
                      <w:lang w:val="en-US" w:eastAsia="zh-CN" w:bidi="ar"/>
                    </w:rPr>
                    <w:t>可燃</w:t>
                  </w:r>
                </w:p>
              </w:tc>
              <w:tc>
                <w:tcPr>
                  <w:tcW w:w="754" w:type="pct"/>
                  <w:shd w:val="clear" w:color="auto" w:fill="auto"/>
                  <w:vAlign w:val="center"/>
                </w:tcPr>
                <w:p w14:paraId="0B36C696">
                  <w:pPr>
                    <w:pStyle w:val="61"/>
                    <w:spacing w:line="240" w:lineRule="auto"/>
                    <w:ind w:left="0" w:leftChars="0" w:right="0" w:rightChars="0"/>
                    <w:rPr>
                      <w:rFonts w:hint="eastAsia" w:ascii="Times New Roman" w:hAnsi="Times New Roman" w:eastAsia="仿宋" w:cs="Times New Roman"/>
                      <w:kern w:val="2"/>
                      <w:position w:val="-1"/>
                      <w:sz w:val="21"/>
                      <w:szCs w:val="21"/>
                      <w:lang w:val="en-US" w:eastAsia="zh-CN" w:bidi="ar-SA"/>
                    </w:rPr>
                  </w:pPr>
                  <w:r>
                    <w:rPr>
                      <w:rFonts w:hint="eastAsia"/>
                      <w:sz w:val="21"/>
                      <w:szCs w:val="21"/>
                      <w:lang w:val="en-US" w:eastAsia="zh-CN"/>
                    </w:rPr>
                    <w:t>无毒</w:t>
                  </w:r>
                </w:p>
              </w:tc>
            </w:tr>
          </w:tbl>
          <w:p w14:paraId="290F24D3">
            <w:pPr>
              <w:pStyle w:val="2"/>
              <w:widowControl w:val="0"/>
              <w:snapToGrid/>
              <w:spacing w:before="0" w:after="0" w:line="480" w:lineRule="exact"/>
              <w:ind w:right="0" w:firstLine="482" w:firstLineChars="200"/>
              <w:rPr>
                <w:b/>
                <w:bCs/>
                <w:kern w:val="2"/>
                <w:sz w:val="24"/>
                <w:szCs w:val="24"/>
              </w:rPr>
            </w:pPr>
            <w:r>
              <w:rPr>
                <w:rFonts w:hint="eastAsia"/>
                <w:b/>
                <w:bCs/>
                <w:kern w:val="2"/>
                <w:sz w:val="24"/>
                <w:szCs w:val="24"/>
              </w:rPr>
              <w:t>6</w:t>
            </w:r>
            <w:r>
              <w:rPr>
                <w:b/>
                <w:bCs/>
                <w:kern w:val="2"/>
                <w:sz w:val="24"/>
                <w:szCs w:val="24"/>
              </w:rPr>
              <w:t>、主要生产设备</w:t>
            </w:r>
          </w:p>
          <w:p w14:paraId="0C0798C0">
            <w:pPr>
              <w:snapToGrid w:val="0"/>
              <w:spacing w:line="240" w:lineRule="auto"/>
              <w:jc w:val="center"/>
              <w:rPr>
                <w:b/>
                <w:sz w:val="21"/>
                <w:szCs w:val="21"/>
              </w:rPr>
            </w:pPr>
            <w:r>
              <w:rPr>
                <w:b/>
                <w:sz w:val="21"/>
                <w:szCs w:val="21"/>
              </w:rPr>
              <w:t>表</w:t>
            </w:r>
            <w:r>
              <w:rPr>
                <w:rFonts w:hint="eastAsia"/>
                <w:b/>
                <w:sz w:val="21"/>
                <w:szCs w:val="21"/>
              </w:rPr>
              <w:t>2-7</w:t>
            </w:r>
            <w:r>
              <w:rPr>
                <w:b/>
                <w:sz w:val="21"/>
                <w:szCs w:val="21"/>
              </w:rPr>
              <w:t xml:space="preserve">  </w:t>
            </w:r>
            <w:r>
              <w:rPr>
                <w:rFonts w:hint="eastAsia"/>
                <w:b/>
                <w:sz w:val="21"/>
                <w:szCs w:val="21"/>
                <w:lang w:val="en-US" w:eastAsia="zh-CN"/>
              </w:rPr>
              <w:t>全厂</w:t>
            </w:r>
            <w:r>
              <w:rPr>
                <w:b/>
                <w:sz w:val="21"/>
                <w:szCs w:val="21"/>
              </w:rPr>
              <w:t>主要设备一览表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185"/>
              <w:gridCol w:w="2314"/>
              <w:gridCol w:w="2279"/>
              <w:gridCol w:w="1403"/>
              <w:gridCol w:w="1087"/>
            </w:tblGrid>
            <w:tr w14:paraId="5D2F7C4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restart"/>
                  <w:noWrap w:val="0"/>
                  <w:vAlign w:val="center"/>
                </w:tcPr>
                <w:p w14:paraId="5BA10755">
                  <w:pPr>
                    <w:widowControl/>
                    <w:adjustRightInd w:val="0"/>
                    <w:snapToGrid w:val="0"/>
                    <w:spacing w:line="228" w:lineRule="auto"/>
                    <w:jc w:val="center"/>
                    <w:textAlignment w:val="center"/>
                    <w:rPr>
                      <w:rFonts w:hint="default" w:ascii="Times New Roman" w:hAnsi="Times New Roman" w:cs="Times New Roman"/>
                      <w:b/>
                      <w:kern w:val="0"/>
                      <w:sz w:val="21"/>
                      <w:szCs w:val="21"/>
                      <w:lang w:bidi="ar"/>
                    </w:rPr>
                  </w:pPr>
                  <w:r>
                    <w:rPr>
                      <w:rFonts w:hint="default" w:ascii="Times New Roman" w:hAnsi="Times New Roman" w:cs="Times New Roman"/>
                      <w:b/>
                      <w:kern w:val="0"/>
                      <w:sz w:val="21"/>
                      <w:szCs w:val="21"/>
                      <w:lang w:bidi="ar"/>
                    </w:rPr>
                    <w:t>设备类型</w:t>
                  </w:r>
                </w:p>
              </w:tc>
              <w:tc>
                <w:tcPr>
                  <w:tcW w:w="1399" w:type="pct"/>
                  <w:noWrap w:val="0"/>
                  <w:vAlign w:val="center"/>
                </w:tcPr>
                <w:p w14:paraId="5B1402DE">
                  <w:pPr>
                    <w:widowControl/>
                    <w:adjustRightInd w:val="0"/>
                    <w:snapToGrid w:val="0"/>
                    <w:spacing w:line="228" w:lineRule="auto"/>
                    <w:jc w:val="center"/>
                    <w:textAlignment w:val="center"/>
                    <w:rPr>
                      <w:rFonts w:hint="default" w:ascii="Times New Roman" w:hAnsi="Times New Roman" w:cs="Times New Roman"/>
                      <w:b/>
                      <w:kern w:val="0"/>
                      <w:sz w:val="21"/>
                      <w:szCs w:val="21"/>
                      <w:lang w:bidi="ar"/>
                    </w:rPr>
                  </w:pPr>
                  <w:r>
                    <w:rPr>
                      <w:rFonts w:hint="default" w:ascii="Times New Roman" w:hAnsi="Times New Roman" w:cs="Times New Roman"/>
                      <w:b/>
                      <w:kern w:val="0"/>
                      <w:sz w:val="21"/>
                      <w:szCs w:val="21"/>
                      <w:lang w:bidi="ar"/>
                    </w:rPr>
                    <w:t>设备名称</w:t>
                  </w:r>
                </w:p>
              </w:tc>
              <w:tc>
                <w:tcPr>
                  <w:tcW w:w="1378" w:type="pct"/>
                  <w:noWrap w:val="0"/>
                  <w:vAlign w:val="center"/>
                </w:tcPr>
                <w:p w14:paraId="69896183">
                  <w:pPr>
                    <w:widowControl/>
                    <w:adjustRightInd w:val="0"/>
                    <w:snapToGrid w:val="0"/>
                    <w:spacing w:line="228" w:lineRule="auto"/>
                    <w:jc w:val="center"/>
                    <w:textAlignment w:val="center"/>
                    <w:rPr>
                      <w:rFonts w:hint="default" w:ascii="Times New Roman" w:hAnsi="Times New Roman" w:cs="Times New Roman"/>
                      <w:b/>
                      <w:kern w:val="0"/>
                      <w:sz w:val="21"/>
                      <w:szCs w:val="21"/>
                      <w:lang w:bidi="ar"/>
                    </w:rPr>
                  </w:pPr>
                  <w:r>
                    <w:rPr>
                      <w:rFonts w:hint="default" w:ascii="Times New Roman" w:hAnsi="Times New Roman" w:cs="Times New Roman"/>
                      <w:b/>
                      <w:kern w:val="0"/>
                      <w:sz w:val="21"/>
                      <w:szCs w:val="21"/>
                      <w:lang w:bidi="ar"/>
                    </w:rPr>
                    <w:t>规格型号</w:t>
                  </w:r>
                </w:p>
              </w:tc>
              <w:tc>
                <w:tcPr>
                  <w:tcW w:w="848" w:type="pct"/>
                  <w:noWrap w:val="0"/>
                  <w:vAlign w:val="center"/>
                </w:tcPr>
                <w:p w14:paraId="1C93E90D">
                  <w:pPr>
                    <w:widowControl/>
                    <w:adjustRightInd w:val="0"/>
                    <w:snapToGrid w:val="0"/>
                    <w:spacing w:line="228" w:lineRule="auto"/>
                    <w:jc w:val="center"/>
                    <w:textAlignment w:val="center"/>
                    <w:rPr>
                      <w:rFonts w:hint="default" w:ascii="Times New Roman" w:hAnsi="Times New Roman" w:cs="Times New Roman"/>
                      <w:b/>
                      <w:kern w:val="0"/>
                      <w:sz w:val="21"/>
                      <w:szCs w:val="21"/>
                      <w:lang w:bidi="ar"/>
                    </w:rPr>
                  </w:pPr>
                  <w:r>
                    <w:rPr>
                      <w:rFonts w:hint="default" w:ascii="Times New Roman" w:hAnsi="Times New Roman" w:cs="Times New Roman"/>
                      <w:b/>
                      <w:kern w:val="0"/>
                      <w:sz w:val="21"/>
                      <w:szCs w:val="21"/>
                      <w:lang w:bidi="ar"/>
                    </w:rPr>
                    <w:t>数量</w:t>
                  </w:r>
                  <w:r>
                    <w:rPr>
                      <w:rFonts w:hint="default" w:ascii="Times New Roman" w:hAnsi="Times New Roman" w:cs="Times New Roman"/>
                      <w:b/>
                      <w:kern w:val="0"/>
                      <w:sz w:val="21"/>
                      <w:szCs w:val="21"/>
                      <w:lang w:eastAsia="zh-CN" w:bidi="ar"/>
                    </w:rPr>
                    <w:t>（</w:t>
                  </w:r>
                  <w:r>
                    <w:rPr>
                      <w:rFonts w:hint="default" w:ascii="Times New Roman" w:hAnsi="Times New Roman" w:cs="Times New Roman"/>
                      <w:b/>
                      <w:kern w:val="0"/>
                      <w:sz w:val="21"/>
                      <w:szCs w:val="21"/>
                      <w:lang w:val="en-US" w:eastAsia="zh-CN" w:bidi="ar"/>
                    </w:rPr>
                    <w:t>台/套</w:t>
                  </w:r>
                  <w:r>
                    <w:rPr>
                      <w:rFonts w:hint="default" w:ascii="Times New Roman" w:hAnsi="Times New Roman" w:cs="Times New Roman"/>
                      <w:b/>
                      <w:kern w:val="0"/>
                      <w:sz w:val="21"/>
                      <w:szCs w:val="21"/>
                      <w:lang w:eastAsia="zh-CN" w:bidi="ar"/>
                    </w:rPr>
                    <w:t>）</w:t>
                  </w:r>
                </w:p>
              </w:tc>
              <w:tc>
                <w:tcPr>
                  <w:tcW w:w="657" w:type="pct"/>
                  <w:noWrap w:val="0"/>
                  <w:vAlign w:val="center"/>
                </w:tcPr>
                <w:p w14:paraId="6403E5A3">
                  <w:pPr>
                    <w:widowControl/>
                    <w:adjustRightInd w:val="0"/>
                    <w:snapToGrid w:val="0"/>
                    <w:spacing w:line="228" w:lineRule="auto"/>
                    <w:jc w:val="center"/>
                    <w:textAlignment w:val="center"/>
                    <w:rPr>
                      <w:rFonts w:hint="eastAsia" w:ascii="Times New Roman" w:hAnsi="Times New Roman" w:eastAsia="仿宋" w:cs="Times New Roman"/>
                      <w:b/>
                      <w:kern w:val="0"/>
                      <w:sz w:val="21"/>
                      <w:szCs w:val="21"/>
                      <w:lang w:val="en-US" w:eastAsia="zh-CN" w:bidi="ar"/>
                    </w:rPr>
                  </w:pPr>
                  <w:r>
                    <w:rPr>
                      <w:rFonts w:hint="eastAsia" w:cs="Times New Roman"/>
                      <w:b/>
                      <w:kern w:val="0"/>
                      <w:sz w:val="21"/>
                      <w:szCs w:val="21"/>
                      <w:lang w:val="en-US" w:eastAsia="zh-CN" w:bidi="ar"/>
                    </w:rPr>
                    <w:t>备注</w:t>
                  </w:r>
                </w:p>
              </w:tc>
            </w:tr>
            <w:tr w14:paraId="4D8F873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restart"/>
                  <w:noWrap w:val="0"/>
                  <w:vAlign w:val="center"/>
                </w:tcPr>
                <w:p w14:paraId="1DD472A4">
                  <w:pPr>
                    <w:pStyle w:val="61"/>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生产设备</w:t>
                  </w:r>
                </w:p>
              </w:tc>
              <w:tc>
                <w:tcPr>
                  <w:tcW w:w="1399" w:type="pct"/>
                  <w:vMerge w:val="restart"/>
                  <w:noWrap w:val="0"/>
                  <w:vAlign w:val="center"/>
                </w:tcPr>
                <w:p w14:paraId="2140B57B">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天然气熔化炉</w:t>
                  </w:r>
                </w:p>
              </w:tc>
              <w:tc>
                <w:tcPr>
                  <w:tcW w:w="1378" w:type="pct"/>
                  <w:shd w:val="clear" w:color="auto" w:fill="auto"/>
                  <w:noWrap w:val="0"/>
                  <w:vAlign w:val="center"/>
                </w:tcPr>
                <w:p w14:paraId="5FCE8FC6">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400kg</w:t>
                  </w:r>
                </w:p>
              </w:tc>
              <w:tc>
                <w:tcPr>
                  <w:tcW w:w="848" w:type="pct"/>
                  <w:shd w:val="clear" w:color="auto" w:fill="auto"/>
                  <w:noWrap w:val="0"/>
                  <w:vAlign w:val="center"/>
                </w:tcPr>
                <w:p w14:paraId="46E967CB">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657" w:type="pct"/>
                  <w:noWrap w:val="0"/>
                  <w:vAlign w:val="center"/>
                </w:tcPr>
                <w:p w14:paraId="237E1DFA">
                  <w:pPr>
                    <w:pStyle w:val="61"/>
                    <w:spacing w:line="240" w:lineRule="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国产</w:t>
                  </w:r>
                </w:p>
              </w:tc>
            </w:tr>
            <w:tr w14:paraId="2849037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2EC9DE01">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65E63D21">
                  <w:pPr>
                    <w:pStyle w:val="61"/>
                    <w:spacing w:line="240" w:lineRule="auto"/>
                    <w:rPr>
                      <w:rFonts w:hint="default" w:ascii="Times New Roman" w:hAnsi="Times New Roman" w:cs="Times New Roman"/>
                      <w:sz w:val="21"/>
                      <w:szCs w:val="21"/>
                      <w:lang w:val="en-US" w:eastAsia="zh-CN"/>
                    </w:rPr>
                  </w:pPr>
                </w:p>
              </w:tc>
              <w:tc>
                <w:tcPr>
                  <w:tcW w:w="1378" w:type="pct"/>
                  <w:shd w:val="clear" w:color="auto" w:fill="auto"/>
                  <w:noWrap w:val="0"/>
                  <w:vAlign w:val="center"/>
                </w:tcPr>
                <w:p w14:paraId="700A1834">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600kg</w:t>
                  </w:r>
                </w:p>
              </w:tc>
              <w:tc>
                <w:tcPr>
                  <w:tcW w:w="848" w:type="pct"/>
                  <w:shd w:val="clear" w:color="auto" w:fill="auto"/>
                  <w:noWrap w:val="0"/>
                  <w:vAlign w:val="center"/>
                </w:tcPr>
                <w:p w14:paraId="4DCB1291">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1115" w:type="dxa"/>
                  <w:noWrap w:val="0"/>
                  <w:vAlign w:val="center"/>
                </w:tcPr>
                <w:p w14:paraId="244FE89F">
                  <w:pPr>
                    <w:pStyle w:val="61"/>
                    <w:spacing w:line="240" w:lineRule="auto"/>
                    <w:ind w:left="0" w:leftChars="0" w:right="0" w:rightChars="0"/>
                    <w:rPr>
                      <w:rFonts w:hint="default" w:ascii="Times New Roman" w:hAnsi="Times New Roman" w:cs="Times New Roman"/>
                      <w:sz w:val="21"/>
                      <w:szCs w:val="21"/>
                    </w:rPr>
                  </w:pPr>
                  <w:r>
                    <w:rPr>
                      <w:rFonts w:hint="eastAsia" w:cs="Times New Roman"/>
                      <w:sz w:val="21"/>
                      <w:szCs w:val="21"/>
                      <w:lang w:val="en-US" w:eastAsia="zh-CN"/>
                    </w:rPr>
                    <w:t>国产</w:t>
                  </w:r>
                </w:p>
              </w:tc>
            </w:tr>
            <w:tr w14:paraId="0FF3688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13A75178">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42C5DC18">
                  <w:pPr>
                    <w:pStyle w:val="61"/>
                    <w:spacing w:line="240" w:lineRule="auto"/>
                    <w:rPr>
                      <w:rFonts w:hint="default" w:ascii="Times New Roman" w:hAnsi="Times New Roman" w:cs="Times New Roman"/>
                      <w:sz w:val="21"/>
                      <w:szCs w:val="21"/>
                      <w:lang w:val="en-US" w:eastAsia="zh-CN"/>
                    </w:rPr>
                  </w:pPr>
                </w:p>
              </w:tc>
              <w:tc>
                <w:tcPr>
                  <w:tcW w:w="1378" w:type="pct"/>
                  <w:shd w:val="clear" w:color="auto" w:fill="auto"/>
                  <w:noWrap w:val="0"/>
                  <w:vAlign w:val="center"/>
                </w:tcPr>
                <w:p w14:paraId="6F61EA08">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r>
                    <w:rPr>
                      <w:rFonts w:ascii="Times New Roman" w:hAnsi="Times New Roman" w:cs="Times New Roman"/>
                      <w:sz w:val="21"/>
                      <w:szCs w:val="21"/>
                    </w:rPr>
                    <w:t>00kg</w:t>
                  </w:r>
                </w:p>
              </w:tc>
              <w:tc>
                <w:tcPr>
                  <w:tcW w:w="848" w:type="pct"/>
                  <w:shd w:val="clear" w:color="auto" w:fill="auto"/>
                  <w:noWrap w:val="0"/>
                  <w:vAlign w:val="center"/>
                </w:tcPr>
                <w:p w14:paraId="78D5AB87">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15" w:type="dxa"/>
                  <w:noWrap w:val="0"/>
                  <w:vAlign w:val="center"/>
                </w:tcPr>
                <w:p w14:paraId="0731B8C8">
                  <w:pPr>
                    <w:pStyle w:val="61"/>
                    <w:spacing w:line="240" w:lineRule="auto"/>
                    <w:ind w:left="0" w:leftChars="0" w:right="0" w:rightChars="0"/>
                    <w:rPr>
                      <w:rFonts w:hint="eastAsia" w:ascii="Times New Roman" w:hAnsi="Times New Roman" w:eastAsia="仿宋" w:cs="Times New Roman"/>
                      <w:sz w:val="21"/>
                      <w:szCs w:val="21"/>
                      <w:lang w:val="en-US" w:eastAsia="zh-CN"/>
                    </w:rPr>
                  </w:pPr>
                  <w:r>
                    <w:rPr>
                      <w:rFonts w:hint="eastAsia" w:cs="Times New Roman"/>
                      <w:sz w:val="21"/>
                      <w:szCs w:val="21"/>
                      <w:lang w:val="en-US" w:eastAsia="zh-CN"/>
                    </w:rPr>
                    <w:t>国产</w:t>
                  </w:r>
                </w:p>
              </w:tc>
            </w:tr>
            <w:tr w14:paraId="782D909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76E810E0">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66255D44">
                  <w:pPr>
                    <w:pStyle w:val="61"/>
                    <w:spacing w:line="240" w:lineRule="auto"/>
                    <w:rPr>
                      <w:rFonts w:hint="default" w:ascii="Times New Roman" w:hAnsi="Times New Roman" w:cs="Times New Roman"/>
                      <w:sz w:val="21"/>
                      <w:szCs w:val="21"/>
                      <w:lang w:val="en-US" w:eastAsia="zh-CN"/>
                    </w:rPr>
                  </w:pPr>
                </w:p>
              </w:tc>
              <w:tc>
                <w:tcPr>
                  <w:tcW w:w="1378" w:type="pct"/>
                  <w:shd w:val="clear" w:color="auto" w:fill="auto"/>
                  <w:noWrap w:val="0"/>
                  <w:vAlign w:val="center"/>
                </w:tcPr>
                <w:p w14:paraId="331B0AAA">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r>
                    <w:rPr>
                      <w:rFonts w:ascii="Times New Roman" w:hAnsi="Times New Roman" w:cs="Times New Roman"/>
                      <w:sz w:val="21"/>
                      <w:szCs w:val="21"/>
                    </w:rPr>
                    <w:t>00kg</w:t>
                  </w:r>
                </w:p>
              </w:tc>
              <w:tc>
                <w:tcPr>
                  <w:tcW w:w="848" w:type="pct"/>
                  <w:shd w:val="clear" w:color="auto" w:fill="auto"/>
                  <w:noWrap w:val="0"/>
                  <w:vAlign w:val="center"/>
                </w:tcPr>
                <w:p w14:paraId="136215DC">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15" w:type="dxa"/>
                  <w:noWrap w:val="0"/>
                  <w:vAlign w:val="center"/>
                </w:tcPr>
                <w:p w14:paraId="1278DCC0">
                  <w:pPr>
                    <w:pStyle w:val="61"/>
                    <w:spacing w:line="240" w:lineRule="auto"/>
                    <w:ind w:left="0" w:leftChars="0" w:right="0" w:rightChars="0"/>
                    <w:rPr>
                      <w:rFonts w:hint="default" w:ascii="Times New Roman" w:hAnsi="Times New Roman" w:cs="Times New Roman"/>
                      <w:sz w:val="21"/>
                      <w:szCs w:val="21"/>
                    </w:rPr>
                  </w:pPr>
                  <w:r>
                    <w:rPr>
                      <w:rFonts w:hint="eastAsia" w:cs="Times New Roman"/>
                      <w:sz w:val="21"/>
                      <w:szCs w:val="21"/>
                      <w:lang w:val="en-US" w:eastAsia="zh-CN"/>
                    </w:rPr>
                    <w:t>国产</w:t>
                  </w:r>
                </w:p>
              </w:tc>
            </w:tr>
            <w:tr w14:paraId="70E1647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41063E82">
                  <w:pPr>
                    <w:pStyle w:val="61"/>
                    <w:spacing w:line="240" w:lineRule="auto"/>
                    <w:rPr>
                      <w:rFonts w:hint="default" w:ascii="Times New Roman" w:hAnsi="Times New Roman" w:cs="Times New Roman"/>
                      <w:sz w:val="21"/>
                      <w:szCs w:val="21"/>
                    </w:rPr>
                  </w:pPr>
                </w:p>
              </w:tc>
              <w:tc>
                <w:tcPr>
                  <w:tcW w:w="1399" w:type="pct"/>
                  <w:vMerge w:val="restart"/>
                  <w:noWrap w:val="0"/>
                  <w:vAlign w:val="center"/>
                </w:tcPr>
                <w:p w14:paraId="12B40D5D">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rPr>
                    <w:t>压铸机</w:t>
                  </w:r>
                </w:p>
              </w:tc>
              <w:tc>
                <w:tcPr>
                  <w:tcW w:w="1378" w:type="pct"/>
                  <w:shd w:val="clear" w:color="auto" w:fill="auto"/>
                  <w:noWrap w:val="0"/>
                  <w:vAlign w:val="center"/>
                </w:tcPr>
                <w:p w14:paraId="3DBE4BE4">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rPr>
                    <w:t>258t</w:t>
                  </w:r>
                </w:p>
              </w:tc>
              <w:tc>
                <w:tcPr>
                  <w:tcW w:w="848" w:type="pct"/>
                  <w:noWrap w:val="0"/>
                  <w:vAlign w:val="center"/>
                </w:tcPr>
                <w:p w14:paraId="177B44CD">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rPr>
                    <w:t>2</w:t>
                  </w:r>
                </w:p>
              </w:tc>
              <w:tc>
                <w:tcPr>
                  <w:tcW w:w="1115" w:type="dxa"/>
                  <w:noWrap w:val="0"/>
                  <w:vAlign w:val="center"/>
                </w:tcPr>
                <w:p w14:paraId="52B0A454">
                  <w:pPr>
                    <w:pStyle w:val="61"/>
                    <w:spacing w:line="240" w:lineRule="auto"/>
                    <w:ind w:left="0" w:leftChars="0" w:right="0" w:rightChars="0"/>
                    <w:rPr>
                      <w:rFonts w:hint="default" w:ascii="Times New Roman" w:hAnsi="Times New Roman" w:cs="Times New Roman"/>
                      <w:sz w:val="21"/>
                      <w:szCs w:val="21"/>
                      <w:lang w:val="en-US" w:eastAsia="zh-CN"/>
                    </w:rPr>
                  </w:pPr>
                  <w:r>
                    <w:rPr>
                      <w:rFonts w:hint="eastAsia" w:cs="Times New Roman"/>
                      <w:sz w:val="21"/>
                      <w:szCs w:val="21"/>
                      <w:lang w:val="en-US" w:eastAsia="zh-CN"/>
                    </w:rPr>
                    <w:t>国产</w:t>
                  </w:r>
                </w:p>
              </w:tc>
            </w:tr>
            <w:tr w14:paraId="7A02A8B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77ADA961">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423D84B8">
                  <w:pPr>
                    <w:pStyle w:val="61"/>
                    <w:spacing w:line="240" w:lineRule="auto"/>
                    <w:rPr>
                      <w:rFonts w:hint="eastAsia" w:ascii="Times New Roman" w:hAnsi="Times New Roman" w:cs="Times New Roman"/>
                      <w:sz w:val="21"/>
                      <w:szCs w:val="21"/>
                      <w:lang w:val="en-US" w:eastAsia="zh-CN"/>
                    </w:rPr>
                  </w:pPr>
                </w:p>
              </w:tc>
              <w:tc>
                <w:tcPr>
                  <w:tcW w:w="1378" w:type="pct"/>
                  <w:shd w:val="clear" w:color="auto" w:fill="auto"/>
                  <w:noWrap w:val="0"/>
                  <w:vAlign w:val="center"/>
                </w:tcPr>
                <w:p w14:paraId="65E70F5D">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rPr>
                    <w:t>300t</w:t>
                  </w:r>
                </w:p>
              </w:tc>
              <w:tc>
                <w:tcPr>
                  <w:tcW w:w="848" w:type="pct"/>
                  <w:noWrap w:val="0"/>
                  <w:vAlign w:val="center"/>
                </w:tcPr>
                <w:p w14:paraId="6F514D06">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rPr>
                    <w:t>3</w:t>
                  </w:r>
                </w:p>
              </w:tc>
              <w:tc>
                <w:tcPr>
                  <w:tcW w:w="1115" w:type="dxa"/>
                  <w:noWrap w:val="0"/>
                  <w:vAlign w:val="center"/>
                </w:tcPr>
                <w:p w14:paraId="1B62B778">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50024A6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27D2C0C5">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5FFBAB8B">
                  <w:pPr>
                    <w:pStyle w:val="61"/>
                    <w:spacing w:line="240" w:lineRule="auto"/>
                    <w:rPr>
                      <w:rFonts w:hint="eastAsia" w:ascii="Times New Roman" w:hAnsi="Times New Roman" w:cs="Times New Roman"/>
                      <w:sz w:val="21"/>
                      <w:szCs w:val="21"/>
                      <w:lang w:val="en-US" w:eastAsia="zh-CN"/>
                    </w:rPr>
                  </w:pPr>
                </w:p>
              </w:tc>
              <w:tc>
                <w:tcPr>
                  <w:tcW w:w="1378" w:type="pct"/>
                  <w:shd w:val="clear" w:color="auto" w:fill="auto"/>
                  <w:noWrap w:val="0"/>
                  <w:vAlign w:val="center"/>
                </w:tcPr>
                <w:p w14:paraId="64E7E56D">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rPr>
                    <w:t>350t</w:t>
                  </w:r>
                </w:p>
              </w:tc>
              <w:tc>
                <w:tcPr>
                  <w:tcW w:w="848" w:type="pct"/>
                  <w:noWrap w:val="0"/>
                  <w:vAlign w:val="center"/>
                </w:tcPr>
                <w:p w14:paraId="7D5A5D06">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rPr>
                    <w:t>1</w:t>
                  </w:r>
                </w:p>
              </w:tc>
              <w:tc>
                <w:tcPr>
                  <w:tcW w:w="1115" w:type="dxa"/>
                  <w:noWrap w:val="0"/>
                  <w:vAlign w:val="center"/>
                </w:tcPr>
                <w:p w14:paraId="3FE6B63D">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05902D1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3E4230A4">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3ABBD910">
                  <w:pPr>
                    <w:pStyle w:val="61"/>
                    <w:spacing w:line="240" w:lineRule="auto"/>
                    <w:rPr>
                      <w:rFonts w:hint="eastAsia" w:ascii="Times New Roman" w:hAnsi="Times New Roman" w:cs="Times New Roman"/>
                      <w:sz w:val="21"/>
                      <w:szCs w:val="21"/>
                      <w:lang w:val="en-US" w:eastAsia="zh-CN"/>
                    </w:rPr>
                  </w:pPr>
                </w:p>
              </w:tc>
              <w:tc>
                <w:tcPr>
                  <w:tcW w:w="1378" w:type="pct"/>
                  <w:shd w:val="clear" w:color="auto" w:fill="auto"/>
                  <w:noWrap w:val="0"/>
                  <w:vAlign w:val="center"/>
                </w:tcPr>
                <w:p w14:paraId="21A4DCFF">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rPr>
                    <w:t>400t</w:t>
                  </w:r>
                </w:p>
              </w:tc>
              <w:tc>
                <w:tcPr>
                  <w:tcW w:w="848" w:type="pct"/>
                  <w:noWrap w:val="0"/>
                  <w:vAlign w:val="center"/>
                </w:tcPr>
                <w:p w14:paraId="5D413B83">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15" w:type="dxa"/>
                  <w:noWrap w:val="0"/>
                  <w:vAlign w:val="center"/>
                </w:tcPr>
                <w:p w14:paraId="28F2E28F">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71F3111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30D22ECA">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3DEEB49B">
                  <w:pPr>
                    <w:pStyle w:val="61"/>
                    <w:spacing w:line="240" w:lineRule="auto"/>
                    <w:rPr>
                      <w:rFonts w:hint="eastAsia" w:ascii="Times New Roman" w:hAnsi="Times New Roman" w:cs="Times New Roman"/>
                      <w:sz w:val="21"/>
                      <w:szCs w:val="21"/>
                      <w:lang w:val="en-US" w:eastAsia="zh-CN"/>
                    </w:rPr>
                  </w:pPr>
                </w:p>
              </w:tc>
              <w:tc>
                <w:tcPr>
                  <w:tcW w:w="1378" w:type="pct"/>
                  <w:shd w:val="clear" w:color="auto" w:fill="auto"/>
                  <w:noWrap w:val="0"/>
                  <w:vAlign w:val="center"/>
                </w:tcPr>
                <w:p w14:paraId="154B76A5">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eastAsia" w:ascii="Times New Roman" w:hAnsi="Times New Roman" w:cs="Times New Roman"/>
                      <w:sz w:val="21"/>
                      <w:szCs w:val="21"/>
                    </w:rPr>
                    <w:t>00t</w:t>
                  </w:r>
                </w:p>
              </w:tc>
              <w:tc>
                <w:tcPr>
                  <w:tcW w:w="848" w:type="pct"/>
                  <w:noWrap w:val="0"/>
                  <w:vAlign w:val="center"/>
                </w:tcPr>
                <w:p w14:paraId="18528D4A">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15" w:type="dxa"/>
                  <w:noWrap w:val="0"/>
                  <w:vAlign w:val="center"/>
                </w:tcPr>
                <w:p w14:paraId="684A56D2">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2A8F87A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28F0FE7B">
                  <w:pPr>
                    <w:pStyle w:val="61"/>
                    <w:spacing w:line="240" w:lineRule="auto"/>
                    <w:rPr>
                      <w:rFonts w:hint="default" w:ascii="Times New Roman" w:hAnsi="Times New Roman" w:cs="Times New Roman"/>
                      <w:sz w:val="21"/>
                      <w:szCs w:val="21"/>
                    </w:rPr>
                  </w:pPr>
                </w:p>
              </w:tc>
              <w:tc>
                <w:tcPr>
                  <w:tcW w:w="1399" w:type="pct"/>
                  <w:vMerge w:val="continue"/>
                  <w:noWrap w:val="0"/>
                  <w:vAlign w:val="center"/>
                </w:tcPr>
                <w:p w14:paraId="02F8408B">
                  <w:pPr>
                    <w:pStyle w:val="61"/>
                    <w:spacing w:line="240" w:lineRule="auto"/>
                    <w:rPr>
                      <w:rFonts w:hint="eastAsia" w:ascii="Times New Roman" w:hAnsi="Times New Roman" w:cs="Times New Roman"/>
                      <w:sz w:val="21"/>
                      <w:szCs w:val="21"/>
                      <w:lang w:val="en-US" w:eastAsia="zh-CN"/>
                    </w:rPr>
                  </w:pPr>
                </w:p>
              </w:tc>
              <w:tc>
                <w:tcPr>
                  <w:tcW w:w="1378" w:type="pct"/>
                  <w:shd w:val="clear" w:color="auto" w:fill="auto"/>
                  <w:noWrap w:val="0"/>
                  <w:vAlign w:val="center"/>
                </w:tcPr>
                <w:p w14:paraId="6EDA5686">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750</w:t>
                  </w:r>
                  <w:r>
                    <w:rPr>
                      <w:rFonts w:hint="eastAsia" w:ascii="Times New Roman" w:hAnsi="Times New Roman" w:cs="Times New Roman"/>
                      <w:sz w:val="21"/>
                      <w:szCs w:val="21"/>
                    </w:rPr>
                    <w:t>t</w:t>
                  </w:r>
                </w:p>
              </w:tc>
              <w:tc>
                <w:tcPr>
                  <w:tcW w:w="848" w:type="pct"/>
                  <w:noWrap w:val="0"/>
                  <w:vAlign w:val="center"/>
                </w:tcPr>
                <w:p w14:paraId="326FD4BB">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15" w:type="dxa"/>
                  <w:noWrap w:val="0"/>
                  <w:vAlign w:val="center"/>
                </w:tcPr>
                <w:p w14:paraId="1495410A">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1D61110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0B7C5907">
                  <w:pPr>
                    <w:pStyle w:val="61"/>
                    <w:spacing w:line="240" w:lineRule="auto"/>
                    <w:rPr>
                      <w:rFonts w:hint="default" w:ascii="Times New Roman" w:hAnsi="Times New Roman" w:cs="Times New Roman"/>
                      <w:sz w:val="21"/>
                      <w:szCs w:val="21"/>
                    </w:rPr>
                  </w:pPr>
                </w:p>
              </w:tc>
              <w:tc>
                <w:tcPr>
                  <w:tcW w:w="1399" w:type="pct"/>
                  <w:noWrap w:val="0"/>
                  <w:vAlign w:val="center"/>
                </w:tcPr>
                <w:p w14:paraId="3A4DA7B0">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rPr>
                    <w:t>模具</w:t>
                  </w:r>
                </w:p>
              </w:tc>
              <w:tc>
                <w:tcPr>
                  <w:tcW w:w="1378" w:type="pct"/>
                  <w:noWrap w:val="0"/>
                  <w:vAlign w:val="center"/>
                </w:tcPr>
                <w:p w14:paraId="13F572D2">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w:t>
                  </w:r>
                </w:p>
              </w:tc>
              <w:tc>
                <w:tcPr>
                  <w:tcW w:w="848" w:type="pct"/>
                  <w:shd w:val="clear" w:color="auto" w:fill="auto"/>
                  <w:noWrap w:val="0"/>
                  <w:vAlign w:val="center"/>
                </w:tcPr>
                <w:p w14:paraId="39DE795D">
                  <w:pPr>
                    <w:pStyle w:val="61"/>
                    <w:spacing w:line="240" w:lineRule="auto"/>
                    <w:rPr>
                      <w:rFonts w:hint="eastAsia" w:ascii="Times New Roman" w:hAnsi="Times New Roman" w:cs="Times New Roman"/>
                      <w:sz w:val="21"/>
                      <w:szCs w:val="21"/>
                      <w:lang w:val="en-US" w:eastAsia="zh-CN"/>
                    </w:rPr>
                  </w:pPr>
                  <w:r>
                    <w:rPr>
                      <w:rFonts w:hint="eastAsia" w:ascii="Times New Roman" w:hAnsi="Times New Roman" w:cs="Times New Roman"/>
                      <w:sz w:val="21"/>
                      <w:szCs w:val="21"/>
                    </w:rPr>
                    <w:t>200</w:t>
                  </w:r>
                </w:p>
              </w:tc>
              <w:tc>
                <w:tcPr>
                  <w:tcW w:w="1115" w:type="dxa"/>
                  <w:noWrap w:val="0"/>
                  <w:vAlign w:val="center"/>
                </w:tcPr>
                <w:p w14:paraId="4DC92B69">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7202062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02491023">
                  <w:pPr>
                    <w:pStyle w:val="61"/>
                    <w:spacing w:line="240" w:lineRule="auto"/>
                    <w:rPr>
                      <w:rFonts w:hint="default" w:ascii="Times New Roman" w:hAnsi="Times New Roman" w:cs="Times New Roman"/>
                      <w:sz w:val="21"/>
                      <w:szCs w:val="21"/>
                    </w:rPr>
                  </w:pPr>
                </w:p>
              </w:tc>
              <w:tc>
                <w:tcPr>
                  <w:tcW w:w="1399" w:type="pct"/>
                  <w:shd w:val="clear" w:color="auto" w:fill="auto"/>
                  <w:noWrap w:val="0"/>
                  <w:vAlign w:val="center"/>
                </w:tcPr>
                <w:p w14:paraId="0F03D1A7">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数控车床</w:t>
                  </w:r>
                </w:p>
              </w:tc>
              <w:tc>
                <w:tcPr>
                  <w:tcW w:w="1378" w:type="pct"/>
                  <w:noWrap w:val="0"/>
                  <w:vAlign w:val="center"/>
                </w:tcPr>
                <w:p w14:paraId="5F7157FB">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w:t>
                  </w:r>
                </w:p>
              </w:tc>
              <w:tc>
                <w:tcPr>
                  <w:tcW w:w="848" w:type="pct"/>
                  <w:shd w:val="clear" w:color="auto" w:fill="auto"/>
                  <w:noWrap w:val="0"/>
                  <w:vAlign w:val="center"/>
                </w:tcPr>
                <w:p w14:paraId="2FB7D2C4">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32</w:t>
                  </w:r>
                </w:p>
              </w:tc>
              <w:tc>
                <w:tcPr>
                  <w:tcW w:w="1115" w:type="dxa"/>
                  <w:noWrap w:val="0"/>
                  <w:vAlign w:val="center"/>
                </w:tcPr>
                <w:p w14:paraId="1C1F61FE">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5EFE80E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4B27AED1">
                  <w:pPr>
                    <w:pStyle w:val="61"/>
                    <w:spacing w:line="240" w:lineRule="auto"/>
                    <w:rPr>
                      <w:rFonts w:hint="default" w:ascii="Times New Roman" w:hAnsi="Times New Roman" w:cs="Times New Roman"/>
                      <w:sz w:val="21"/>
                      <w:szCs w:val="21"/>
                    </w:rPr>
                  </w:pPr>
                </w:p>
              </w:tc>
              <w:tc>
                <w:tcPr>
                  <w:tcW w:w="1399" w:type="pct"/>
                  <w:shd w:val="clear" w:color="auto" w:fill="auto"/>
                  <w:noWrap w:val="0"/>
                  <w:vAlign w:val="center"/>
                </w:tcPr>
                <w:p w14:paraId="7E5AC5AF">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加工中心</w:t>
                  </w:r>
                </w:p>
              </w:tc>
              <w:tc>
                <w:tcPr>
                  <w:tcW w:w="1378" w:type="pct"/>
                  <w:noWrap w:val="0"/>
                  <w:vAlign w:val="center"/>
                </w:tcPr>
                <w:p w14:paraId="3CCEEF6E">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w:t>
                  </w:r>
                </w:p>
              </w:tc>
              <w:tc>
                <w:tcPr>
                  <w:tcW w:w="848" w:type="pct"/>
                  <w:shd w:val="clear" w:color="auto" w:fill="auto"/>
                  <w:noWrap w:val="0"/>
                  <w:vAlign w:val="center"/>
                </w:tcPr>
                <w:p w14:paraId="1129E260">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10</w:t>
                  </w:r>
                </w:p>
              </w:tc>
              <w:tc>
                <w:tcPr>
                  <w:tcW w:w="1115" w:type="dxa"/>
                  <w:noWrap w:val="0"/>
                  <w:vAlign w:val="center"/>
                </w:tcPr>
                <w:p w14:paraId="3845CCB4">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468BDAD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4E65F5FE">
                  <w:pPr>
                    <w:pStyle w:val="61"/>
                    <w:spacing w:line="240" w:lineRule="auto"/>
                    <w:rPr>
                      <w:rFonts w:hint="default" w:ascii="Times New Roman" w:hAnsi="Times New Roman" w:cs="Times New Roman"/>
                      <w:sz w:val="21"/>
                      <w:szCs w:val="21"/>
                    </w:rPr>
                  </w:pPr>
                </w:p>
              </w:tc>
              <w:tc>
                <w:tcPr>
                  <w:tcW w:w="1399" w:type="pct"/>
                  <w:shd w:val="clear" w:color="auto" w:fill="auto"/>
                  <w:noWrap w:val="0"/>
                  <w:vAlign w:val="center"/>
                </w:tcPr>
                <w:p w14:paraId="1AF7C00E">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自动攻钻两用机</w:t>
                  </w:r>
                </w:p>
              </w:tc>
              <w:tc>
                <w:tcPr>
                  <w:tcW w:w="1378" w:type="pct"/>
                  <w:noWrap w:val="0"/>
                  <w:vAlign w:val="center"/>
                </w:tcPr>
                <w:p w14:paraId="5BA35951">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w:t>
                  </w:r>
                </w:p>
              </w:tc>
              <w:tc>
                <w:tcPr>
                  <w:tcW w:w="848" w:type="pct"/>
                  <w:shd w:val="clear" w:color="auto" w:fill="auto"/>
                  <w:noWrap w:val="0"/>
                  <w:vAlign w:val="center"/>
                </w:tcPr>
                <w:p w14:paraId="50A9620B">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5</w:t>
                  </w:r>
                </w:p>
              </w:tc>
              <w:tc>
                <w:tcPr>
                  <w:tcW w:w="1115" w:type="dxa"/>
                  <w:noWrap w:val="0"/>
                  <w:vAlign w:val="center"/>
                </w:tcPr>
                <w:p w14:paraId="3818A4FE">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1BF3578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60B1247E">
                  <w:pPr>
                    <w:pStyle w:val="61"/>
                    <w:spacing w:line="240" w:lineRule="auto"/>
                    <w:rPr>
                      <w:rFonts w:hint="default" w:ascii="Times New Roman" w:hAnsi="Times New Roman" w:cs="Times New Roman"/>
                      <w:sz w:val="21"/>
                      <w:szCs w:val="21"/>
                    </w:rPr>
                  </w:pPr>
                </w:p>
              </w:tc>
              <w:tc>
                <w:tcPr>
                  <w:tcW w:w="1399" w:type="pct"/>
                  <w:shd w:val="clear" w:color="auto" w:fill="auto"/>
                  <w:noWrap w:val="0"/>
                  <w:vAlign w:val="center"/>
                </w:tcPr>
                <w:p w14:paraId="5118EB6E">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环保砂轮机</w:t>
                  </w:r>
                </w:p>
              </w:tc>
              <w:tc>
                <w:tcPr>
                  <w:tcW w:w="1378" w:type="pct"/>
                  <w:noWrap w:val="0"/>
                  <w:vAlign w:val="center"/>
                </w:tcPr>
                <w:p w14:paraId="34A74581">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w:t>
                  </w:r>
                </w:p>
              </w:tc>
              <w:tc>
                <w:tcPr>
                  <w:tcW w:w="848" w:type="pct"/>
                  <w:shd w:val="clear" w:color="auto" w:fill="auto"/>
                  <w:noWrap w:val="0"/>
                  <w:vAlign w:val="center"/>
                </w:tcPr>
                <w:p w14:paraId="2D4A6BCD">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1</w:t>
                  </w:r>
                </w:p>
              </w:tc>
              <w:tc>
                <w:tcPr>
                  <w:tcW w:w="1115" w:type="dxa"/>
                  <w:noWrap w:val="0"/>
                  <w:vAlign w:val="center"/>
                </w:tcPr>
                <w:p w14:paraId="5574378C">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6297D1B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restart"/>
                  <w:noWrap w:val="0"/>
                  <w:vAlign w:val="center"/>
                </w:tcPr>
                <w:p w14:paraId="542C5373">
                  <w:pPr>
                    <w:pStyle w:val="61"/>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公辅设备</w:t>
                  </w:r>
                </w:p>
              </w:tc>
              <w:tc>
                <w:tcPr>
                  <w:tcW w:w="1399" w:type="pct"/>
                  <w:noWrap w:val="0"/>
                  <w:vAlign w:val="center"/>
                </w:tcPr>
                <w:p w14:paraId="5C1F0E93">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冷却塔</w:t>
                  </w:r>
                </w:p>
              </w:tc>
              <w:tc>
                <w:tcPr>
                  <w:tcW w:w="1378" w:type="pct"/>
                  <w:noWrap w:val="0"/>
                  <w:vAlign w:val="center"/>
                </w:tcPr>
                <w:p w14:paraId="082CD5DD">
                  <w:pPr>
                    <w:pStyle w:val="61"/>
                    <w:spacing w:line="240" w:lineRule="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5m</w:t>
                  </w:r>
                  <w:r>
                    <w:rPr>
                      <w:rFonts w:hint="eastAsia" w:cs="Times New Roman"/>
                      <w:sz w:val="21"/>
                      <w:szCs w:val="21"/>
                      <w:vertAlign w:val="superscript"/>
                      <w:lang w:val="en-US" w:eastAsia="zh-CN"/>
                    </w:rPr>
                    <w:t>3</w:t>
                  </w:r>
                  <w:r>
                    <w:rPr>
                      <w:rFonts w:hint="eastAsia" w:cs="Times New Roman"/>
                      <w:sz w:val="21"/>
                      <w:szCs w:val="21"/>
                      <w:lang w:val="en-US" w:eastAsia="zh-CN"/>
                    </w:rPr>
                    <w:t>/h</w:t>
                  </w:r>
                </w:p>
              </w:tc>
              <w:tc>
                <w:tcPr>
                  <w:tcW w:w="848" w:type="pct"/>
                  <w:shd w:val="clear" w:color="auto" w:fill="auto"/>
                  <w:noWrap w:val="0"/>
                  <w:vAlign w:val="center"/>
                </w:tcPr>
                <w:p w14:paraId="6B1839BA">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1</w:t>
                  </w:r>
                </w:p>
              </w:tc>
              <w:tc>
                <w:tcPr>
                  <w:tcW w:w="1115" w:type="dxa"/>
                  <w:noWrap w:val="0"/>
                  <w:vAlign w:val="center"/>
                </w:tcPr>
                <w:p w14:paraId="2F7190CB">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1FC225E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7A6362D0">
                  <w:pPr>
                    <w:pStyle w:val="61"/>
                    <w:spacing w:line="240" w:lineRule="auto"/>
                    <w:rPr>
                      <w:rFonts w:hint="default" w:ascii="Times New Roman" w:hAnsi="Times New Roman" w:cs="Times New Roman"/>
                      <w:sz w:val="21"/>
                      <w:szCs w:val="21"/>
                      <w:lang w:val="en-US" w:eastAsia="zh-CN"/>
                    </w:rPr>
                  </w:pPr>
                </w:p>
              </w:tc>
              <w:tc>
                <w:tcPr>
                  <w:tcW w:w="1399" w:type="pct"/>
                  <w:shd w:val="clear" w:color="auto" w:fill="auto"/>
                  <w:noWrap w:val="0"/>
                  <w:vAlign w:val="center"/>
                </w:tcPr>
                <w:p w14:paraId="79A52DE9">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螺杆空压机</w:t>
                  </w:r>
                </w:p>
              </w:tc>
              <w:tc>
                <w:tcPr>
                  <w:tcW w:w="1378" w:type="pct"/>
                  <w:shd w:val="clear" w:color="auto" w:fill="auto"/>
                  <w:noWrap w:val="0"/>
                  <w:vAlign w:val="center"/>
                </w:tcPr>
                <w:p w14:paraId="222335A0">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37kW</w:t>
                  </w:r>
                </w:p>
              </w:tc>
              <w:tc>
                <w:tcPr>
                  <w:tcW w:w="848" w:type="pct"/>
                  <w:shd w:val="clear" w:color="auto" w:fill="auto"/>
                  <w:noWrap w:val="0"/>
                  <w:vAlign w:val="center"/>
                </w:tcPr>
                <w:p w14:paraId="094D4326">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2</w:t>
                  </w:r>
                </w:p>
              </w:tc>
              <w:tc>
                <w:tcPr>
                  <w:tcW w:w="1115" w:type="dxa"/>
                  <w:shd w:val="clear" w:color="auto" w:fill="auto"/>
                  <w:noWrap w:val="0"/>
                  <w:vAlign w:val="center"/>
                </w:tcPr>
                <w:p w14:paraId="43CFF0D6">
                  <w:pPr>
                    <w:pStyle w:val="61"/>
                    <w:spacing w:line="240" w:lineRule="auto"/>
                    <w:ind w:left="0" w:leftChars="0" w:right="0" w:rightChars="0"/>
                    <w:rPr>
                      <w:rFonts w:hint="default" w:ascii="Times New Roman" w:hAnsi="Times New Roman" w:cs="Times New Roman"/>
                      <w:sz w:val="21"/>
                      <w:szCs w:val="21"/>
                      <w:lang w:val="en-US" w:eastAsia="zh-CN"/>
                    </w:rPr>
                  </w:pPr>
                  <w:r>
                    <w:rPr>
                      <w:rFonts w:hint="eastAsia" w:cs="Times New Roman"/>
                      <w:sz w:val="21"/>
                      <w:szCs w:val="21"/>
                      <w:lang w:val="en-US" w:eastAsia="zh-CN"/>
                    </w:rPr>
                    <w:t>国产</w:t>
                  </w:r>
                </w:p>
              </w:tc>
            </w:tr>
            <w:tr w14:paraId="2EC10D2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7AF85F1A">
                  <w:pPr>
                    <w:pStyle w:val="61"/>
                    <w:spacing w:line="240" w:lineRule="auto"/>
                    <w:rPr>
                      <w:rFonts w:hint="default" w:ascii="Times New Roman" w:hAnsi="Times New Roman" w:cs="Times New Roman"/>
                      <w:sz w:val="21"/>
                      <w:szCs w:val="21"/>
                      <w:lang w:val="en-US" w:eastAsia="zh-CN"/>
                    </w:rPr>
                  </w:pPr>
                </w:p>
              </w:tc>
              <w:tc>
                <w:tcPr>
                  <w:tcW w:w="1399" w:type="pct"/>
                  <w:shd w:val="clear" w:color="auto" w:fill="auto"/>
                  <w:noWrap w:val="0"/>
                  <w:vAlign w:val="center"/>
                </w:tcPr>
                <w:p w14:paraId="290C1963">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储气罐</w:t>
                  </w:r>
                </w:p>
              </w:tc>
              <w:tc>
                <w:tcPr>
                  <w:tcW w:w="1378" w:type="pct"/>
                  <w:shd w:val="clear" w:color="auto" w:fill="auto"/>
                  <w:noWrap w:val="0"/>
                  <w:vAlign w:val="center"/>
                </w:tcPr>
                <w:p w14:paraId="3899399B">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1m</w:t>
                  </w:r>
                  <w:r>
                    <w:rPr>
                      <w:rFonts w:ascii="Times New Roman" w:hAnsi="Times New Roman" w:cs="Times New Roman"/>
                      <w:sz w:val="21"/>
                      <w:szCs w:val="21"/>
                      <w:vertAlign w:val="superscript"/>
                    </w:rPr>
                    <w:t>3</w:t>
                  </w:r>
                  <w:r>
                    <w:rPr>
                      <w:rFonts w:ascii="Times New Roman" w:hAnsi="Times New Roman" w:cs="Times New Roman"/>
                      <w:sz w:val="21"/>
                      <w:szCs w:val="21"/>
                    </w:rPr>
                    <w:t>，0.84MPa</w:t>
                  </w:r>
                </w:p>
              </w:tc>
              <w:tc>
                <w:tcPr>
                  <w:tcW w:w="848" w:type="pct"/>
                  <w:shd w:val="clear" w:color="auto" w:fill="auto"/>
                  <w:noWrap w:val="0"/>
                  <w:vAlign w:val="center"/>
                </w:tcPr>
                <w:p w14:paraId="4EC9F982">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5</w:t>
                  </w:r>
                </w:p>
              </w:tc>
              <w:tc>
                <w:tcPr>
                  <w:tcW w:w="1115" w:type="dxa"/>
                  <w:shd w:val="clear" w:color="auto" w:fill="auto"/>
                  <w:noWrap w:val="0"/>
                  <w:vAlign w:val="center"/>
                </w:tcPr>
                <w:p w14:paraId="184C86C5">
                  <w:pPr>
                    <w:pStyle w:val="61"/>
                    <w:spacing w:line="240" w:lineRule="auto"/>
                    <w:ind w:left="0" w:leftChars="0" w:right="0" w:rightChars="0"/>
                    <w:rPr>
                      <w:rFonts w:hint="default" w:ascii="Times New Roman" w:hAnsi="Times New Roman" w:cs="Times New Roman"/>
                      <w:sz w:val="21"/>
                      <w:szCs w:val="21"/>
                      <w:lang w:val="en-US" w:eastAsia="zh-CN"/>
                    </w:rPr>
                  </w:pPr>
                  <w:r>
                    <w:rPr>
                      <w:rFonts w:hint="eastAsia" w:cs="Times New Roman"/>
                      <w:sz w:val="21"/>
                      <w:szCs w:val="21"/>
                      <w:lang w:val="en-US" w:eastAsia="zh-CN"/>
                    </w:rPr>
                    <w:t>国产</w:t>
                  </w:r>
                </w:p>
              </w:tc>
            </w:tr>
            <w:tr w14:paraId="054A4DF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vMerge w:val="continue"/>
                  <w:noWrap w:val="0"/>
                  <w:vAlign w:val="center"/>
                </w:tcPr>
                <w:p w14:paraId="671CDD93">
                  <w:pPr>
                    <w:pStyle w:val="61"/>
                    <w:spacing w:line="240" w:lineRule="auto"/>
                    <w:rPr>
                      <w:rFonts w:hint="default" w:ascii="Times New Roman" w:hAnsi="Times New Roman" w:cs="Times New Roman"/>
                      <w:sz w:val="21"/>
                      <w:szCs w:val="21"/>
                      <w:lang w:val="en-US" w:eastAsia="zh-CN"/>
                    </w:rPr>
                  </w:pPr>
                </w:p>
              </w:tc>
              <w:tc>
                <w:tcPr>
                  <w:tcW w:w="1399" w:type="pct"/>
                  <w:shd w:val="clear" w:color="auto" w:fill="auto"/>
                  <w:noWrap w:val="0"/>
                  <w:vAlign w:val="center"/>
                </w:tcPr>
                <w:p w14:paraId="33E1FBE8">
                  <w:pPr>
                    <w:pStyle w:val="61"/>
                    <w:spacing w:line="240" w:lineRule="auto"/>
                    <w:rPr>
                      <w:rFonts w:ascii="Times New Roman" w:hAnsi="Times New Roman" w:cs="Times New Roman"/>
                      <w:sz w:val="21"/>
                      <w:szCs w:val="21"/>
                    </w:rPr>
                  </w:pPr>
                  <w:r>
                    <w:rPr>
                      <w:rFonts w:ascii="Times New Roman" w:hAnsi="Times New Roman" w:cs="Times New Roman"/>
                      <w:sz w:val="21"/>
                      <w:szCs w:val="21"/>
                    </w:rPr>
                    <w:t>脱模剂循环系统</w:t>
                  </w:r>
                </w:p>
              </w:tc>
              <w:tc>
                <w:tcPr>
                  <w:tcW w:w="1378" w:type="pct"/>
                  <w:shd w:val="clear" w:color="auto" w:fill="auto"/>
                  <w:noWrap w:val="0"/>
                  <w:vAlign w:val="center"/>
                </w:tcPr>
                <w:p w14:paraId="45B70C74">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w:t>
                  </w:r>
                </w:p>
              </w:tc>
              <w:tc>
                <w:tcPr>
                  <w:tcW w:w="848" w:type="pct"/>
                  <w:shd w:val="clear" w:color="auto" w:fill="auto"/>
                  <w:noWrap w:val="0"/>
                  <w:vAlign w:val="center"/>
                </w:tcPr>
                <w:p w14:paraId="7CD67A9E">
                  <w:pPr>
                    <w:pStyle w:val="61"/>
                    <w:spacing w:line="240" w:lineRule="auto"/>
                    <w:rPr>
                      <w:rFonts w:hint="eastAsia" w:ascii="Times New Roman" w:hAnsi="Times New Roman" w:cs="Times New Roman"/>
                      <w:sz w:val="21"/>
                      <w:szCs w:val="21"/>
                      <w:lang w:val="en-US" w:eastAsia="zh-CN"/>
                    </w:rPr>
                  </w:pPr>
                  <w:r>
                    <w:rPr>
                      <w:rFonts w:ascii="Times New Roman" w:hAnsi="Times New Roman" w:cs="Times New Roman"/>
                      <w:sz w:val="21"/>
                      <w:szCs w:val="21"/>
                    </w:rPr>
                    <w:t>1</w:t>
                  </w:r>
                </w:p>
              </w:tc>
              <w:tc>
                <w:tcPr>
                  <w:tcW w:w="1115" w:type="dxa"/>
                  <w:shd w:val="clear" w:color="auto" w:fill="auto"/>
                  <w:noWrap w:val="0"/>
                  <w:vAlign w:val="center"/>
                </w:tcPr>
                <w:p w14:paraId="0563ED38">
                  <w:pPr>
                    <w:pStyle w:val="61"/>
                    <w:spacing w:line="240" w:lineRule="auto"/>
                    <w:ind w:left="0" w:leftChars="0" w:right="0" w:rightChars="0"/>
                    <w:rPr>
                      <w:rFonts w:hint="eastAsia" w:ascii="Times New Roman" w:hAnsi="Times New Roman" w:cs="Times New Roman"/>
                      <w:sz w:val="21"/>
                      <w:szCs w:val="21"/>
                      <w:lang w:val="en-US" w:eastAsia="zh-CN"/>
                    </w:rPr>
                  </w:pPr>
                  <w:r>
                    <w:rPr>
                      <w:rFonts w:hint="eastAsia" w:cs="Times New Roman"/>
                      <w:sz w:val="21"/>
                      <w:szCs w:val="21"/>
                      <w:lang w:val="en-US" w:eastAsia="zh-CN"/>
                    </w:rPr>
                    <w:t>国产</w:t>
                  </w:r>
                </w:p>
              </w:tc>
            </w:tr>
            <w:tr w14:paraId="51DA738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717" w:type="pct"/>
                  <w:noWrap w:val="0"/>
                  <w:vAlign w:val="center"/>
                </w:tcPr>
                <w:p w14:paraId="7B43F024">
                  <w:pPr>
                    <w:pStyle w:val="61"/>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环保设备</w:t>
                  </w:r>
                </w:p>
              </w:tc>
              <w:tc>
                <w:tcPr>
                  <w:tcW w:w="2374" w:type="dxa"/>
                  <w:noWrap w:val="0"/>
                  <w:vAlign w:val="center"/>
                </w:tcPr>
                <w:p w14:paraId="1E7B977D">
                  <w:pPr>
                    <w:pStyle w:val="61"/>
                    <w:spacing w:line="240" w:lineRule="auto"/>
                    <w:rPr>
                      <w:rFonts w:hint="default" w:ascii="Times New Roman" w:hAnsi="Times New Roman" w:cs="Times New Roman"/>
                      <w:sz w:val="21"/>
                      <w:szCs w:val="21"/>
                      <w:lang w:val="en-US" w:eastAsia="zh-CN"/>
                    </w:rPr>
                  </w:pPr>
                  <w:r>
                    <w:rPr>
                      <w:rFonts w:ascii="Times New Roman" w:hAnsi="Times New Roman" w:cs="Times New Roman"/>
                      <w:sz w:val="21"/>
                      <w:szCs w:val="21"/>
                    </w:rPr>
                    <w:t>水喷淋+</w:t>
                  </w:r>
                  <w:r>
                    <w:rPr>
                      <w:rFonts w:hint="eastAsia" w:ascii="Times New Roman" w:hAnsi="Times New Roman" w:cs="Times New Roman"/>
                      <w:sz w:val="21"/>
                      <w:szCs w:val="21"/>
                    </w:rPr>
                    <w:t>干式过滤+</w:t>
                  </w:r>
                  <w:r>
                    <w:rPr>
                      <w:rFonts w:ascii="Times New Roman" w:hAnsi="Times New Roman" w:cs="Times New Roman"/>
                      <w:sz w:val="21"/>
                      <w:szCs w:val="21"/>
                    </w:rPr>
                    <w:t>二级活性炭吸附装置</w:t>
                  </w:r>
                </w:p>
              </w:tc>
              <w:tc>
                <w:tcPr>
                  <w:tcW w:w="1378" w:type="pct"/>
                  <w:noWrap w:val="0"/>
                  <w:vAlign w:val="center"/>
                </w:tcPr>
                <w:p w14:paraId="014674E9">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Q=28000m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/h</w:t>
                  </w:r>
                </w:p>
              </w:tc>
              <w:tc>
                <w:tcPr>
                  <w:tcW w:w="848" w:type="pct"/>
                  <w:noWrap w:val="0"/>
                  <w:vAlign w:val="center"/>
                </w:tcPr>
                <w:p w14:paraId="38D8FF7D">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15" w:type="dxa"/>
                  <w:noWrap w:val="0"/>
                  <w:vAlign w:val="center"/>
                </w:tcPr>
                <w:p w14:paraId="6A2D0E1E">
                  <w:pPr>
                    <w:pStyle w:val="61"/>
                    <w:spacing w:line="240" w:lineRule="auto"/>
                    <w:ind w:left="0" w:leftChars="0" w:right="0" w:rightChars="0"/>
                    <w:rPr>
                      <w:rFonts w:hint="default" w:ascii="Times New Roman" w:hAnsi="Times New Roman" w:cs="Times New Roman"/>
                      <w:sz w:val="21"/>
                      <w:szCs w:val="21"/>
                      <w:lang w:val="en-US" w:eastAsia="zh-CN"/>
                    </w:rPr>
                  </w:pPr>
                  <w:r>
                    <w:rPr>
                      <w:rFonts w:hint="eastAsia" w:cs="Times New Roman"/>
                      <w:sz w:val="21"/>
                      <w:szCs w:val="21"/>
                      <w:lang w:val="en-US" w:eastAsia="zh-CN"/>
                    </w:rPr>
                    <w:t>国产</w:t>
                  </w:r>
                </w:p>
              </w:tc>
            </w:tr>
            <w:tr w14:paraId="4121989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3494" w:type="pct"/>
                  <w:gridSpan w:val="3"/>
                  <w:noWrap w:val="0"/>
                  <w:vAlign w:val="center"/>
                </w:tcPr>
                <w:p w14:paraId="1D5002A5">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合计</w:t>
                  </w:r>
                </w:p>
              </w:tc>
              <w:tc>
                <w:tcPr>
                  <w:tcW w:w="848" w:type="pct"/>
                  <w:noWrap w:val="0"/>
                  <w:vAlign w:val="center"/>
                </w:tcPr>
                <w:p w14:paraId="09AA2896">
                  <w:pPr>
                    <w:pStyle w:val="61"/>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278</w:t>
                  </w:r>
                </w:p>
              </w:tc>
              <w:tc>
                <w:tcPr>
                  <w:tcW w:w="657" w:type="pct"/>
                  <w:noWrap w:val="0"/>
                  <w:vAlign w:val="center"/>
                </w:tcPr>
                <w:p w14:paraId="57941F43">
                  <w:pPr>
                    <w:pStyle w:val="61"/>
                    <w:spacing w:line="240" w:lineRule="auto"/>
                    <w:ind w:left="0" w:leftChars="0" w:right="0" w:rightChars="0"/>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w:t>
                  </w:r>
                </w:p>
              </w:tc>
            </w:tr>
          </w:tbl>
          <w:p w14:paraId="031A4C6E">
            <w:pPr>
              <w:pStyle w:val="2"/>
              <w:widowControl w:val="0"/>
              <w:numPr>
                <w:ilvl w:val="0"/>
                <w:numId w:val="12"/>
              </w:numPr>
              <w:snapToGrid/>
              <w:spacing w:before="0" w:after="0" w:line="480" w:lineRule="exact"/>
              <w:ind w:right="0" w:firstLine="482" w:firstLineChars="200"/>
              <w:rPr>
                <w:rFonts w:hint="eastAsia"/>
                <w:b/>
                <w:bCs/>
                <w:kern w:val="2"/>
                <w:sz w:val="24"/>
                <w:szCs w:val="24"/>
                <w:highlight w:val="none"/>
                <w:lang w:val="en-US" w:eastAsia="zh-CN"/>
              </w:rPr>
            </w:pPr>
            <w:r>
              <w:rPr>
                <w:rFonts w:hint="eastAsia"/>
                <w:b/>
                <w:bCs/>
                <w:kern w:val="2"/>
                <w:sz w:val="24"/>
                <w:szCs w:val="24"/>
                <w:highlight w:val="none"/>
                <w:lang w:val="en-US" w:eastAsia="zh-CN"/>
              </w:rPr>
              <w:t>铸造设备与产能相符性分析</w:t>
            </w:r>
          </w:p>
          <w:p w14:paraId="494DDF61">
            <w:pPr>
              <w:pStyle w:val="2"/>
              <w:widowControl w:val="0"/>
              <w:snapToGrid/>
              <w:spacing w:before="0" w:after="0" w:line="480" w:lineRule="exact"/>
              <w:ind w:right="0" w:firstLine="480" w:firstLineChars="200"/>
              <w:rPr>
                <w:rFonts w:hint="eastAsia"/>
                <w:sz w:val="24"/>
                <w:lang w:val="en-US" w:eastAsia="zh-CN"/>
              </w:rPr>
            </w:pPr>
            <w:r>
              <w:rPr>
                <w:rFonts w:hint="eastAsia"/>
                <w:sz w:val="24"/>
                <w:lang w:val="en-US" w:eastAsia="zh-CN"/>
              </w:rPr>
              <w:t>根据《铸造企业生产能力核算办法》（T/CFA030501-2020），本项目熔化、压铸设备产能核算详见下文。</w:t>
            </w:r>
          </w:p>
          <w:p w14:paraId="16616CE0">
            <w:pPr>
              <w:pStyle w:val="2"/>
              <w:widowControl w:val="0"/>
              <w:snapToGrid/>
              <w:spacing w:before="0" w:after="0" w:line="480" w:lineRule="exact"/>
              <w:ind w:right="0" w:firstLine="480" w:firstLineChars="200"/>
              <w:rPr>
                <w:rFonts w:hint="eastAsia"/>
                <w:sz w:val="24"/>
                <w:lang w:val="en-US" w:eastAsia="zh-CN"/>
              </w:rPr>
            </w:pPr>
            <w:r>
              <w:rPr>
                <w:rFonts w:hint="eastAsia"/>
                <w:sz w:val="24"/>
                <w:lang w:val="en-US" w:eastAsia="zh-CN"/>
              </w:rPr>
              <w:t>①熔炼（化）工序生产能力计算</w:t>
            </w:r>
          </w:p>
          <w:p w14:paraId="7DA96DA4">
            <w:pPr>
              <w:pStyle w:val="2"/>
              <w:widowControl w:val="0"/>
              <w:snapToGrid/>
              <w:spacing w:before="0" w:after="0" w:line="480" w:lineRule="exact"/>
              <w:ind w:right="0"/>
              <w:jc w:val="center"/>
              <w:rPr>
                <w:rFonts w:hint="default" w:ascii="Times New Roman" w:hAnsi="Times New Roman" w:cs="Times New Roman"/>
                <w:sz w:val="24"/>
                <w:lang w:val="en-US" w:eastAsia="zh-CN"/>
              </w:rPr>
            </w:pPr>
            <w:r>
              <w:rPr>
                <w:rFonts w:hint="eastAsia"/>
                <w:sz w:val="24"/>
                <w:lang w:val="en-US" w:eastAsia="zh-CN"/>
              </w:rPr>
              <w:t>生产能力=</w:t>
            </w:r>
            <w:r>
              <w:rPr>
                <w:rFonts w:hint="default" w:ascii="Times New Roman" w:hAnsi="Times New Roman" w:cs="Times New Roman"/>
                <w:sz w:val="24"/>
                <w:lang w:val="en-US" w:eastAsia="zh-CN"/>
              </w:rPr>
              <w:t>L×G×K1×（1-K2）×K3</w:t>
            </w:r>
          </w:p>
          <w:p w14:paraId="2C95D570">
            <w:pPr>
              <w:snapToGrid w:val="0"/>
              <w:spacing w:line="240" w:lineRule="auto"/>
              <w:jc w:val="center"/>
              <w:rPr>
                <w:rFonts w:hint="eastAsia"/>
                <w:b/>
                <w:sz w:val="21"/>
                <w:szCs w:val="21"/>
                <w:lang w:val="en-US" w:eastAsia="zh-CN"/>
              </w:rPr>
            </w:pPr>
            <w:r>
              <w:rPr>
                <w:rFonts w:hint="eastAsia"/>
                <w:b/>
                <w:sz w:val="21"/>
                <w:szCs w:val="21"/>
                <w:lang w:val="en-US" w:eastAsia="zh-CN"/>
              </w:rPr>
              <w:t>表2-8  本项目天然气熔化炉生产能力一览表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795"/>
              <w:gridCol w:w="1334"/>
              <w:gridCol w:w="1124"/>
              <w:gridCol w:w="959"/>
              <w:gridCol w:w="1170"/>
              <w:gridCol w:w="1025"/>
              <w:gridCol w:w="909"/>
            </w:tblGrid>
            <w:tr w14:paraId="66D62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3" w:type="pct"/>
                  <w:tcBorders>
                    <w:tl2br w:val="nil"/>
                    <w:tr2bl w:val="nil"/>
                  </w:tcBorders>
                  <w:vAlign w:val="center"/>
                </w:tcPr>
                <w:p w14:paraId="4D3A5353">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设备型号</w:t>
                  </w:r>
                </w:p>
              </w:tc>
              <w:tc>
                <w:tcPr>
                  <w:tcW w:w="481" w:type="pct"/>
                  <w:tcBorders>
                    <w:tl2br w:val="nil"/>
                    <w:tr2bl w:val="nil"/>
                  </w:tcBorders>
                  <w:vAlign w:val="center"/>
                </w:tcPr>
                <w:p w14:paraId="22C4C6F9">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数量（台）</w:t>
                  </w:r>
                </w:p>
              </w:tc>
              <w:tc>
                <w:tcPr>
                  <w:tcW w:w="807" w:type="pct"/>
                  <w:tcBorders>
                    <w:tl2br w:val="nil"/>
                    <w:tr2bl w:val="nil"/>
                  </w:tcBorders>
                  <w:vAlign w:val="center"/>
                </w:tcPr>
                <w:p w14:paraId="10488ED3">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L熔炼（化）设备熔化率（t/h）</w:t>
                  </w:r>
                </w:p>
              </w:tc>
              <w:tc>
                <w:tcPr>
                  <w:tcW w:w="680" w:type="pct"/>
                  <w:tcBorders>
                    <w:tl2br w:val="nil"/>
                    <w:tr2bl w:val="nil"/>
                  </w:tcBorders>
                  <w:vAlign w:val="center"/>
                </w:tcPr>
                <w:p w14:paraId="4ED4A6E9">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G设计年时基数（h）</w:t>
                  </w:r>
                </w:p>
              </w:tc>
              <w:tc>
                <w:tcPr>
                  <w:tcW w:w="580" w:type="pct"/>
                  <w:tcBorders>
                    <w:tl2br w:val="nil"/>
                    <w:tr2bl w:val="nil"/>
                  </w:tcBorders>
                  <w:vAlign w:val="center"/>
                </w:tcPr>
                <w:p w14:paraId="5499B8C0">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K1工艺出品率（%）</w:t>
                  </w:r>
                </w:p>
              </w:tc>
              <w:tc>
                <w:tcPr>
                  <w:tcW w:w="708" w:type="pct"/>
                  <w:tcBorders>
                    <w:tl2br w:val="nil"/>
                    <w:tr2bl w:val="nil"/>
                  </w:tcBorders>
                  <w:vAlign w:val="center"/>
                </w:tcPr>
                <w:p w14:paraId="6F03D6FC">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K2铸件废品率（%）</w:t>
                  </w:r>
                </w:p>
              </w:tc>
              <w:tc>
                <w:tcPr>
                  <w:tcW w:w="617" w:type="pct"/>
                  <w:tcBorders>
                    <w:tl2br w:val="nil"/>
                    <w:tr2bl w:val="nil"/>
                  </w:tcBorders>
                  <w:vAlign w:val="center"/>
                </w:tcPr>
                <w:p w14:paraId="1FD45B19">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K3金属液利用率（%）</w:t>
                  </w:r>
                </w:p>
              </w:tc>
              <w:tc>
                <w:tcPr>
                  <w:tcW w:w="550" w:type="pct"/>
                  <w:tcBorders>
                    <w:tl2br w:val="nil"/>
                    <w:tr2bl w:val="nil"/>
                  </w:tcBorders>
                  <w:vAlign w:val="center"/>
                </w:tcPr>
                <w:p w14:paraId="14AEF651">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生产能力</w:t>
                  </w:r>
                  <w:r>
                    <w:rPr>
                      <w:rFonts w:hint="eastAsia" w:ascii="Times New Roman" w:hAnsi="Times New Roman" w:cs="Times New Roman"/>
                      <w:b/>
                      <w:bCs/>
                      <w:kern w:val="2"/>
                      <w:sz w:val="21"/>
                      <w:szCs w:val="21"/>
                      <w:highlight w:val="none"/>
                      <w:vertAlign w:val="baseline"/>
                      <w:lang w:val="en-US" w:eastAsia="zh-CN"/>
                    </w:rPr>
                    <w:t>（t/a）</w:t>
                  </w:r>
                </w:p>
              </w:tc>
            </w:tr>
            <w:tr w14:paraId="33671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3" w:type="pct"/>
                  <w:tcBorders>
                    <w:tl2br w:val="nil"/>
                    <w:tr2bl w:val="nil"/>
                  </w:tcBorders>
                  <w:vAlign w:val="center"/>
                </w:tcPr>
                <w:p w14:paraId="426D9D2A">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400kg</w:t>
                  </w:r>
                </w:p>
              </w:tc>
              <w:tc>
                <w:tcPr>
                  <w:tcW w:w="481" w:type="pct"/>
                  <w:tcBorders>
                    <w:tl2br w:val="nil"/>
                    <w:tr2bl w:val="nil"/>
                  </w:tcBorders>
                  <w:vAlign w:val="center"/>
                </w:tcPr>
                <w:p w14:paraId="15508953">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5</w:t>
                  </w:r>
                </w:p>
              </w:tc>
              <w:tc>
                <w:tcPr>
                  <w:tcW w:w="807" w:type="pct"/>
                  <w:tcBorders>
                    <w:tl2br w:val="nil"/>
                    <w:tr2bl w:val="nil"/>
                  </w:tcBorders>
                  <w:vAlign w:val="center"/>
                </w:tcPr>
                <w:p w14:paraId="039A65EE">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0.16</w:t>
                  </w:r>
                </w:p>
              </w:tc>
              <w:tc>
                <w:tcPr>
                  <w:tcW w:w="680" w:type="pct"/>
                  <w:tcBorders>
                    <w:tl2br w:val="nil"/>
                    <w:tr2bl w:val="nil"/>
                  </w:tcBorders>
                  <w:vAlign w:val="center"/>
                </w:tcPr>
                <w:p w14:paraId="7815B345">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5010</w:t>
                  </w:r>
                </w:p>
              </w:tc>
              <w:tc>
                <w:tcPr>
                  <w:tcW w:w="580" w:type="pct"/>
                  <w:tcBorders>
                    <w:tl2br w:val="nil"/>
                    <w:tr2bl w:val="nil"/>
                  </w:tcBorders>
                  <w:vAlign w:val="center"/>
                </w:tcPr>
                <w:p w14:paraId="2BE37F2F">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50</w:t>
                  </w:r>
                </w:p>
              </w:tc>
              <w:tc>
                <w:tcPr>
                  <w:tcW w:w="708" w:type="pct"/>
                  <w:tcBorders>
                    <w:tl2br w:val="nil"/>
                    <w:tr2bl w:val="nil"/>
                  </w:tcBorders>
                  <w:vAlign w:val="center"/>
                </w:tcPr>
                <w:p w14:paraId="395914B0">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3</w:t>
                  </w:r>
                </w:p>
              </w:tc>
              <w:tc>
                <w:tcPr>
                  <w:tcW w:w="617" w:type="pct"/>
                  <w:tcBorders>
                    <w:tl2br w:val="nil"/>
                    <w:tr2bl w:val="nil"/>
                  </w:tcBorders>
                  <w:vAlign w:val="center"/>
                </w:tcPr>
                <w:p w14:paraId="2F2F9CC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99</w:t>
                  </w:r>
                </w:p>
              </w:tc>
              <w:tc>
                <w:tcPr>
                  <w:tcW w:w="550" w:type="pct"/>
                  <w:tcBorders>
                    <w:tl2br w:val="nil"/>
                    <w:tr2bl w:val="nil"/>
                  </w:tcBorders>
                  <w:vAlign w:val="center"/>
                </w:tcPr>
                <w:p w14:paraId="26F3A6D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 xml:space="preserve">1924.44 </w:t>
                  </w:r>
                </w:p>
              </w:tc>
            </w:tr>
            <w:tr w14:paraId="2FB24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3" w:type="pct"/>
                  <w:tcBorders>
                    <w:tl2br w:val="nil"/>
                    <w:tr2bl w:val="nil"/>
                  </w:tcBorders>
                  <w:vAlign w:val="center"/>
                </w:tcPr>
                <w:p w14:paraId="7E62AD4E">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600kg</w:t>
                  </w:r>
                </w:p>
              </w:tc>
              <w:tc>
                <w:tcPr>
                  <w:tcW w:w="481" w:type="pct"/>
                  <w:tcBorders>
                    <w:tl2br w:val="nil"/>
                    <w:tr2bl w:val="nil"/>
                  </w:tcBorders>
                  <w:vAlign w:val="center"/>
                </w:tcPr>
                <w:p w14:paraId="0B32AB61">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3</w:t>
                  </w:r>
                </w:p>
              </w:tc>
              <w:tc>
                <w:tcPr>
                  <w:tcW w:w="807" w:type="pct"/>
                  <w:tcBorders>
                    <w:tl2br w:val="nil"/>
                    <w:tr2bl w:val="nil"/>
                  </w:tcBorders>
                  <w:vAlign w:val="center"/>
                </w:tcPr>
                <w:p w14:paraId="408DAE6F">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0.18</w:t>
                  </w:r>
                </w:p>
              </w:tc>
              <w:tc>
                <w:tcPr>
                  <w:tcW w:w="680" w:type="pct"/>
                  <w:tcBorders>
                    <w:tl2br w:val="nil"/>
                    <w:tr2bl w:val="nil"/>
                  </w:tcBorders>
                  <w:vAlign w:val="center"/>
                </w:tcPr>
                <w:p w14:paraId="368F282E">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3680</w:t>
                  </w:r>
                </w:p>
              </w:tc>
              <w:tc>
                <w:tcPr>
                  <w:tcW w:w="580" w:type="pct"/>
                  <w:tcBorders>
                    <w:tl2br w:val="nil"/>
                    <w:tr2bl w:val="nil"/>
                  </w:tcBorders>
                  <w:vAlign w:val="center"/>
                </w:tcPr>
                <w:p w14:paraId="08B727C5">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50</w:t>
                  </w:r>
                </w:p>
              </w:tc>
              <w:tc>
                <w:tcPr>
                  <w:tcW w:w="708" w:type="pct"/>
                  <w:tcBorders>
                    <w:tl2br w:val="nil"/>
                    <w:tr2bl w:val="nil"/>
                  </w:tcBorders>
                  <w:vAlign w:val="center"/>
                </w:tcPr>
                <w:p w14:paraId="19BAC687">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3</w:t>
                  </w:r>
                </w:p>
              </w:tc>
              <w:tc>
                <w:tcPr>
                  <w:tcW w:w="617" w:type="pct"/>
                  <w:tcBorders>
                    <w:tl2br w:val="nil"/>
                    <w:tr2bl w:val="nil"/>
                  </w:tcBorders>
                  <w:vAlign w:val="center"/>
                </w:tcPr>
                <w:p w14:paraId="75D2620E">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99</w:t>
                  </w:r>
                </w:p>
              </w:tc>
              <w:tc>
                <w:tcPr>
                  <w:tcW w:w="550" w:type="pct"/>
                  <w:tcBorders>
                    <w:tl2br w:val="nil"/>
                    <w:tr2bl w:val="nil"/>
                  </w:tcBorders>
                  <w:vAlign w:val="center"/>
                </w:tcPr>
                <w:p w14:paraId="1EAABC79">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 xml:space="preserve">954.15 </w:t>
                  </w:r>
                </w:p>
              </w:tc>
            </w:tr>
            <w:tr w14:paraId="66C03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3" w:type="pct"/>
                  <w:tcBorders>
                    <w:tl2br w:val="nil"/>
                    <w:tr2bl w:val="nil"/>
                  </w:tcBorders>
                  <w:vAlign w:val="center"/>
                </w:tcPr>
                <w:p w14:paraId="12AB17ED">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700kg</w:t>
                  </w:r>
                </w:p>
              </w:tc>
              <w:tc>
                <w:tcPr>
                  <w:tcW w:w="481" w:type="pct"/>
                  <w:tcBorders>
                    <w:tl2br w:val="nil"/>
                    <w:tr2bl w:val="nil"/>
                  </w:tcBorders>
                  <w:vAlign w:val="center"/>
                </w:tcPr>
                <w:p w14:paraId="7B749FEE">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807" w:type="pct"/>
                  <w:tcBorders>
                    <w:tl2br w:val="nil"/>
                    <w:tr2bl w:val="nil"/>
                  </w:tcBorders>
                  <w:vAlign w:val="center"/>
                </w:tcPr>
                <w:p w14:paraId="572C0306">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0.2</w:t>
                  </w:r>
                </w:p>
              </w:tc>
              <w:tc>
                <w:tcPr>
                  <w:tcW w:w="680" w:type="pct"/>
                  <w:tcBorders>
                    <w:tl2br w:val="nil"/>
                    <w:tr2bl w:val="nil"/>
                  </w:tcBorders>
                  <w:vAlign w:val="center"/>
                </w:tcPr>
                <w:p w14:paraId="6C0FBA4C">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1920</w:t>
                  </w:r>
                </w:p>
              </w:tc>
              <w:tc>
                <w:tcPr>
                  <w:tcW w:w="580" w:type="pct"/>
                  <w:tcBorders>
                    <w:tl2br w:val="nil"/>
                    <w:tr2bl w:val="nil"/>
                  </w:tcBorders>
                  <w:vAlign w:val="center"/>
                </w:tcPr>
                <w:p w14:paraId="10044F75">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50</w:t>
                  </w:r>
                </w:p>
              </w:tc>
              <w:tc>
                <w:tcPr>
                  <w:tcW w:w="708" w:type="pct"/>
                  <w:tcBorders>
                    <w:tl2br w:val="nil"/>
                    <w:tr2bl w:val="nil"/>
                  </w:tcBorders>
                  <w:vAlign w:val="center"/>
                </w:tcPr>
                <w:p w14:paraId="5690548E">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3</w:t>
                  </w:r>
                </w:p>
              </w:tc>
              <w:tc>
                <w:tcPr>
                  <w:tcW w:w="617" w:type="pct"/>
                  <w:tcBorders>
                    <w:tl2br w:val="nil"/>
                    <w:tr2bl w:val="nil"/>
                  </w:tcBorders>
                  <w:vAlign w:val="center"/>
                </w:tcPr>
                <w:p w14:paraId="51187518">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99</w:t>
                  </w:r>
                </w:p>
              </w:tc>
              <w:tc>
                <w:tcPr>
                  <w:tcW w:w="550" w:type="pct"/>
                  <w:tcBorders>
                    <w:tl2br w:val="nil"/>
                    <w:tr2bl w:val="nil"/>
                  </w:tcBorders>
                  <w:vAlign w:val="center"/>
                </w:tcPr>
                <w:p w14:paraId="2493BA2D">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 xml:space="preserve">184.38 </w:t>
                  </w:r>
                </w:p>
              </w:tc>
            </w:tr>
            <w:tr w14:paraId="1B161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3" w:type="pct"/>
                  <w:tcBorders>
                    <w:tl2br w:val="nil"/>
                    <w:tr2bl w:val="nil"/>
                  </w:tcBorders>
                  <w:vAlign w:val="center"/>
                </w:tcPr>
                <w:p w14:paraId="40810361">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1000kg</w:t>
                  </w:r>
                </w:p>
              </w:tc>
              <w:tc>
                <w:tcPr>
                  <w:tcW w:w="481" w:type="pct"/>
                  <w:tcBorders>
                    <w:tl2br w:val="nil"/>
                    <w:tr2bl w:val="nil"/>
                  </w:tcBorders>
                  <w:vAlign w:val="center"/>
                </w:tcPr>
                <w:p w14:paraId="3D830D74">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807" w:type="pct"/>
                  <w:tcBorders>
                    <w:tl2br w:val="nil"/>
                    <w:tr2bl w:val="nil"/>
                  </w:tcBorders>
                  <w:vAlign w:val="center"/>
                </w:tcPr>
                <w:p w14:paraId="29DBE2D6">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0.35</w:t>
                  </w:r>
                </w:p>
              </w:tc>
              <w:tc>
                <w:tcPr>
                  <w:tcW w:w="680" w:type="pct"/>
                  <w:tcBorders>
                    <w:tl2br w:val="nil"/>
                    <w:tr2bl w:val="nil"/>
                  </w:tcBorders>
                  <w:vAlign w:val="center"/>
                </w:tcPr>
                <w:p w14:paraId="53E81EB7">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1920</w:t>
                  </w:r>
                </w:p>
              </w:tc>
              <w:tc>
                <w:tcPr>
                  <w:tcW w:w="580" w:type="pct"/>
                  <w:tcBorders>
                    <w:tl2br w:val="nil"/>
                    <w:tr2bl w:val="nil"/>
                  </w:tcBorders>
                  <w:vAlign w:val="center"/>
                </w:tcPr>
                <w:p w14:paraId="553E03C9">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50</w:t>
                  </w:r>
                </w:p>
              </w:tc>
              <w:tc>
                <w:tcPr>
                  <w:tcW w:w="708" w:type="pct"/>
                  <w:tcBorders>
                    <w:tl2br w:val="nil"/>
                    <w:tr2bl w:val="nil"/>
                  </w:tcBorders>
                  <w:vAlign w:val="center"/>
                </w:tcPr>
                <w:p w14:paraId="1D690A20">
                  <w:pPr>
                    <w:keepNext w:val="0"/>
                    <w:keepLines w:val="0"/>
                    <w:widowControl/>
                    <w:suppressLineNumbers w:val="0"/>
                    <w:spacing w:line="240" w:lineRule="auto"/>
                    <w:jc w:val="center"/>
                    <w:textAlignment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3</w:t>
                  </w:r>
                </w:p>
              </w:tc>
              <w:tc>
                <w:tcPr>
                  <w:tcW w:w="617" w:type="pct"/>
                  <w:tcBorders>
                    <w:tl2br w:val="nil"/>
                    <w:tr2bl w:val="nil"/>
                  </w:tcBorders>
                  <w:vAlign w:val="center"/>
                </w:tcPr>
                <w:p w14:paraId="1F53EAAA">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99</w:t>
                  </w:r>
                </w:p>
              </w:tc>
              <w:tc>
                <w:tcPr>
                  <w:tcW w:w="550" w:type="pct"/>
                  <w:tcBorders>
                    <w:tl2br w:val="nil"/>
                    <w:tr2bl w:val="nil"/>
                  </w:tcBorders>
                  <w:vAlign w:val="center"/>
                </w:tcPr>
                <w:p w14:paraId="1B92D3F8">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 xml:space="preserve">322.66 </w:t>
                  </w:r>
                </w:p>
              </w:tc>
            </w:tr>
            <w:tr w14:paraId="4742D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9" w:type="pct"/>
                  <w:gridSpan w:val="7"/>
                  <w:tcBorders>
                    <w:tl2br w:val="nil"/>
                    <w:tr2bl w:val="nil"/>
                  </w:tcBorders>
                  <w:vAlign w:val="center"/>
                </w:tcPr>
                <w:p w14:paraId="5EFD78A3">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cs="Times New Roman"/>
                      <w:b/>
                      <w:bCs/>
                      <w:kern w:val="2"/>
                      <w:sz w:val="21"/>
                      <w:szCs w:val="21"/>
                      <w:highlight w:val="none"/>
                      <w:vertAlign w:val="baseline"/>
                      <w:lang w:val="en-US" w:eastAsia="zh-CN"/>
                    </w:rPr>
                    <w:t>合计</w:t>
                  </w:r>
                </w:p>
              </w:tc>
              <w:tc>
                <w:tcPr>
                  <w:tcW w:w="550" w:type="pct"/>
                  <w:tcBorders>
                    <w:tl2br w:val="nil"/>
                    <w:tr2bl w:val="nil"/>
                  </w:tcBorders>
                  <w:vAlign w:val="center"/>
                </w:tcPr>
                <w:p w14:paraId="280E66DF">
                  <w:pPr>
                    <w:pStyle w:val="3"/>
                    <w:widowControl w:val="0"/>
                    <w:numPr>
                      <w:ilvl w:val="0"/>
                      <w:numId w:val="0"/>
                    </w:numPr>
                    <w:spacing w:line="240" w:lineRule="auto"/>
                    <w:jc w:val="center"/>
                    <w:rPr>
                      <w:rFonts w:hint="default"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cs="Times New Roman"/>
                      <w:b/>
                      <w:bCs/>
                      <w:kern w:val="2"/>
                      <w:sz w:val="21"/>
                      <w:szCs w:val="21"/>
                      <w:highlight w:val="none"/>
                      <w:vertAlign w:val="baseline"/>
                      <w:lang w:val="en-US" w:eastAsia="zh-CN"/>
                    </w:rPr>
                    <w:t>3385.63</w:t>
                  </w:r>
                </w:p>
              </w:tc>
            </w:tr>
          </w:tbl>
          <w:p w14:paraId="31C6E3F6">
            <w:pPr>
              <w:pStyle w:val="2"/>
              <w:widowControl w:val="0"/>
              <w:snapToGrid/>
              <w:spacing w:before="0" w:after="0" w:line="480" w:lineRule="exact"/>
              <w:ind w:right="0" w:firstLine="480" w:firstLineChars="200"/>
              <w:rPr>
                <w:rFonts w:hint="default"/>
                <w:sz w:val="24"/>
                <w:lang w:val="en-US" w:eastAsia="zh-CN"/>
              </w:rPr>
            </w:pPr>
          </w:p>
          <w:p w14:paraId="12B8D2CF">
            <w:pPr>
              <w:pStyle w:val="2"/>
              <w:widowControl w:val="0"/>
              <w:snapToGrid/>
              <w:spacing w:before="0" w:after="0" w:line="480" w:lineRule="exact"/>
              <w:ind w:right="0" w:firstLine="480" w:firstLineChars="200"/>
              <w:rPr>
                <w:rFonts w:hint="default"/>
                <w:sz w:val="24"/>
                <w:lang w:val="en-US" w:eastAsia="zh-CN"/>
              </w:rPr>
            </w:pPr>
          </w:p>
          <w:p w14:paraId="3EF2E8C7">
            <w:pPr>
              <w:pStyle w:val="2"/>
              <w:widowControl w:val="0"/>
              <w:snapToGrid/>
              <w:spacing w:before="0" w:after="0" w:line="480" w:lineRule="exact"/>
              <w:ind w:right="0" w:firstLine="480" w:firstLineChars="200"/>
              <w:rPr>
                <w:rFonts w:hint="eastAsia"/>
                <w:sz w:val="24"/>
                <w:lang w:val="en-US" w:eastAsia="zh-CN"/>
              </w:rPr>
            </w:pPr>
            <w:r>
              <w:rPr>
                <w:rFonts w:hint="eastAsia" w:ascii="仿宋" w:hAnsi="仿宋" w:eastAsia="仿宋" w:cs="仿宋"/>
                <w:sz w:val="24"/>
                <w:lang w:val="en-US" w:eastAsia="zh-CN"/>
              </w:rPr>
              <w:t>②</w:t>
            </w:r>
            <w:r>
              <w:rPr>
                <w:rFonts w:hint="eastAsia"/>
                <w:sz w:val="24"/>
                <w:lang w:val="en-US" w:eastAsia="zh-CN"/>
              </w:rPr>
              <w:t>压铸设备产能核算</w:t>
            </w:r>
          </w:p>
          <w:p w14:paraId="7215A72D">
            <w:pPr>
              <w:pStyle w:val="2"/>
              <w:widowControl w:val="0"/>
              <w:snapToGrid/>
              <w:spacing w:before="0" w:after="0" w:line="480" w:lineRule="exact"/>
              <w:ind w:right="0"/>
              <w:jc w:val="center"/>
              <w:rPr>
                <w:rFonts w:hint="default" w:ascii="Times New Roman" w:hAnsi="Times New Roman" w:cs="Times New Roman"/>
                <w:sz w:val="24"/>
                <w:lang w:val="en-US" w:eastAsia="zh-CN"/>
              </w:rPr>
            </w:pPr>
            <w:r>
              <w:rPr>
                <w:rFonts w:hint="eastAsia"/>
                <w:sz w:val="24"/>
                <w:lang w:val="en-US" w:eastAsia="zh-CN"/>
              </w:rPr>
              <w:t>压铸能力=</w:t>
            </w:r>
            <w:r>
              <w:rPr>
                <w:rFonts w:hint="eastAsia" w:cs="Times New Roman"/>
                <w:sz w:val="24"/>
                <w:lang w:val="en-US" w:eastAsia="zh-CN"/>
              </w:rPr>
              <w:t>M1</w:t>
            </w:r>
            <w:r>
              <w:rPr>
                <w:rFonts w:hint="default" w:ascii="Times New Roman" w:hAnsi="Times New Roman" w:cs="Times New Roman"/>
                <w:sz w:val="24"/>
                <w:lang w:val="en-US" w:eastAsia="zh-CN"/>
              </w:rPr>
              <w:t>×K1×（1-K2）×</w:t>
            </w:r>
            <w:r>
              <w:rPr>
                <w:rFonts w:hint="eastAsia" w:cs="Times New Roman"/>
                <w:sz w:val="24"/>
                <w:lang w:val="en-US" w:eastAsia="zh-CN"/>
              </w:rPr>
              <w:t>G</w:t>
            </w:r>
          </w:p>
          <w:p w14:paraId="797F6652">
            <w:pPr>
              <w:snapToGrid w:val="0"/>
              <w:spacing w:line="240" w:lineRule="auto"/>
              <w:jc w:val="center"/>
              <w:rPr>
                <w:rFonts w:hint="eastAsia"/>
                <w:b/>
                <w:sz w:val="21"/>
                <w:szCs w:val="21"/>
                <w:lang w:val="en-US" w:eastAsia="zh-CN"/>
              </w:rPr>
            </w:pPr>
            <w:r>
              <w:rPr>
                <w:rFonts w:hint="eastAsia"/>
                <w:b/>
                <w:sz w:val="21"/>
                <w:szCs w:val="21"/>
                <w:lang w:val="en-US" w:eastAsia="zh-CN"/>
              </w:rPr>
              <w:t>表2-9  本项目压铸机生产能力一览表</w:t>
            </w:r>
          </w:p>
          <w:tbl>
            <w:tblPr>
              <w:tblStyle w:val="21"/>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34"/>
              <w:gridCol w:w="1337"/>
              <w:gridCol w:w="1013"/>
              <w:gridCol w:w="944"/>
              <w:gridCol w:w="929"/>
              <w:gridCol w:w="993"/>
              <w:gridCol w:w="1117"/>
            </w:tblGrid>
            <w:tr w14:paraId="1A396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trPr>
              <w:tc>
                <w:tcPr>
                  <w:tcW w:w="421" w:type="pct"/>
                  <w:vMerge w:val="restart"/>
                  <w:tcBorders>
                    <w:tl2br w:val="nil"/>
                    <w:tr2bl w:val="nil"/>
                  </w:tcBorders>
                  <w:vAlign w:val="center"/>
                </w:tcPr>
                <w:p w14:paraId="0BED05B8">
                  <w:pPr>
                    <w:pStyle w:val="3"/>
                    <w:widowControl w:val="0"/>
                    <w:numPr>
                      <w:ilvl w:val="0"/>
                      <w:numId w:val="0"/>
                    </w:numPr>
                    <w:spacing w:line="240" w:lineRule="auto"/>
                    <w:ind w:left="0" w:leftChars="0" w:firstLine="0" w:firstLineChars="0"/>
                    <w:jc w:val="center"/>
                    <w:rPr>
                      <w:rFonts w:hint="default" w:ascii="Times New Roman" w:hAnsi="Times New Roman" w:cs="Times New Roman"/>
                      <w:sz w:val="24"/>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设备型号</w:t>
                  </w:r>
                </w:p>
              </w:tc>
              <w:tc>
                <w:tcPr>
                  <w:tcW w:w="747" w:type="pct"/>
                  <w:vMerge w:val="restart"/>
                  <w:tcBorders>
                    <w:tl2br w:val="nil"/>
                    <w:tr2bl w:val="nil"/>
                  </w:tcBorders>
                  <w:vAlign w:val="center"/>
                </w:tcPr>
                <w:p w14:paraId="2B02A0B2">
                  <w:pPr>
                    <w:pStyle w:val="3"/>
                    <w:widowControl w:val="0"/>
                    <w:numPr>
                      <w:ilvl w:val="0"/>
                      <w:numId w:val="0"/>
                    </w:numPr>
                    <w:spacing w:line="240" w:lineRule="auto"/>
                    <w:ind w:left="0" w:leftChars="0" w:firstLine="0" w:firstLineChars="0"/>
                    <w:jc w:val="center"/>
                    <w:rPr>
                      <w:rFonts w:hint="default" w:ascii="Times New Roman" w:hAnsi="Times New Roman" w:cs="Times New Roman"/>
                      <w:sz w:val="24"/>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数量（台）</w:t>
                  </w:r>
                </w:p>
              </w:tc>
              <w:tc>
                <w:tcPr>
                  <w:tcW w:w="1422" w:type="pct"/>
                  <w:gridSpan w:val="2"/>
                  <w:tcBorders>
                    <w:tl2br w:val="nil"/>
                    <w:tr2bl w:val="nil"/>
                  </w:tcBorders>
                </w:tcPr>
                <w:p w14:paraId="2738173D">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eastAsia="仿宋" w:cs="Times New Roman"/>
                      <w:b/>
                      <w:bCs/>
                      <w:kern w:val="2"/>
                      <w:sz w:val="21"/>
                      <w:szCs w:val="21"/>
                      <w:highlight w:val="none"/>
                      <w:vertAlign w:val="baseline"/>
                      <w:lang w:val="en-US" w:eastAsia="zh-CN"/>
                    </w:rPr>
                    <w:t>M1每小时所需金属液（t/h）</w:t>
                  </w:r>
                </w:p>
              </w:tc>
              <w:tc>
                <w:tcPr>
                  <w:tcW w:w="571" w:type="pct"/>
                  <w:vMerge w:val="restart"/>
                  <w:tcBorders>
                    <w:tl2br w:val="nil"/>
                    <w:tr2bl w:val="nil"/>
                  </w:tcBorders>
                  <w:vAlign w:val="center"/>
                </w:tcPr>
                <w:p w14:paraId="00D85562">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G设计年时基数（h）</w:t>
                  </w:r>
                </w:p>
              </w:tc>
              <w:tc>
                <w:tcPr>
                  <w:tcW w:w="562" w:type="pct"/>
                  <w:vMerge w:val="restart"/>
                  <w:tcBorders>
                    <w:tl2br w:val="nil"/>
                    <w:tr2bl w:val="nil"/>
                  </w:tcBorders>
                  <w:vAlign w:val="center"/>
                </w:tcPr>
                <w:p w14:paraId="60D9A95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K1工艺出品率（%）</w:t>
                  </w:r>
                </w:p>
              </w:tc>
              <w:tc>
                <w:tcPr>
                  <w:tcW w:w="598" w:type="pct"/>
                  <w:vMerge w:val="restart"/>
                  <w:tcBorders>
                    <w:tl2br w:val="nil"/>
                    <w:tr2bl w:val="nil"/>
                  </w:tcBorders>
                  <w:vAlign w:val="center"/>
                </w:tcPr>
                <w:p w14:paraId="249FCB7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K2铸件废品率（%）</w:t>
                  </w:r>
                </w:p>
              </w:tc>
              <w:tc>
                <w:tcPr>
                  <w:tcW w:w="676" w:type="pct"/>
                  <w:vMerge w:val="restart"/>
                  <w:tcBorders>
                    <w:tl2br w:val="nil"/>
                    <w:tr2bl w:val="nil"/>
                  </w:tcBorders>
                  <w:vAlign w:val="center"/>
                </w:tcPr>
                <w:p w14:paraId="4DF9F5D7">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cs="Times New Roman"/>
                      <w:b/>
                      <w:bCs/>
                      <w:kern w:val="2"/>
                      <w:sz w:val="21"/>
                      <w:szCs w:val="21"/>
                      <w:highlight w:val="none"/>
                      <w:vertAlign w:val="baseline"/>
                      <w:lang w:val="en-US" w:eastAsia="zh-CN"/>
                    </w:rPr>
                    <w:t>生产能力（t/a）</w:t>
                  </w:r>
                </w:p>
              </w:tc>
            </w:tr>
            <w:tr w14:paraId="11A4D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1" w:type="pct"/>
                  <w:vMerge w:val="continue"/>
                  <w:tcBorders>
                    <w:tl2br w:val="nil"/>
                    <w:tr2bl w:val="nil"/>
                  </w:tcBorders>
                  <w:vAlign w:val="center"/>
                </w:tcPr>
                <w:p w14:paraId="5AA394E6">
                  <w:pPr>
                    <w:pStyle w:val="2"/>
                    <w:widowControl w:val="0"/>
                    <w:snapToGrid/>
                    <w:spacing w:before="0" w:after="0" w:line="480" w:lineRule="exact"/>
                    <w:ind w:right="0"/>
                    <w:jc w:val="center"/>
                  </w:pPr>
                </w:p>
              </w:tc>
              <w:tc>
                <w:tcPr>
                  <w:tcW w:w="747" w:type="pct"/>
                  <w:vMerge w:val="continue"/>
                  <w:tcBorders>
                    <w:tl2br w:val="nil"/>
                    <w:tr2bl w:val="nil"/>
                  </w:tcBorders>
                  <w:vAlign w:val="center"/>
                </w:tcPr>
                <w:p w14:paraId="4EA4B3CB">
                  <w:pPr>
                    <w:pStyle w:val="2"/>
                    <w:widowControl w:val="0"/>
                    <w:snapToGrid/>
                    <w:spacing w:before="0" w:after="0" w:line="480" w:lineRule="exact"/>
                    <w:ind w:right="0"/>
                    <w:jc w:val="center"/>
                  </w:pPr>
                </w:p>
              </w:tc>
              <w:tc>
                <w:tcPr>
                  <w:tcW w:w="809" w:type="pct"/>
                  <w:tcBorders>
                    <w:tl2br w:val="nil"/>
                    <w:tr2bl w:val="nil"/>
                  </w:tcBorders>
                </w:tcPr>
                <w:p w14:paraId="3ACDE50E">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eastAsia="仿宋" w:cs="Times New Roman"/>
                      <w:b/>
                      <w:bCs/>
                      <w:kern w:val="2"/>
                      <w:sz w:val="21"/>
                      <w:szCs w:val="21"/>
                      <w:highlight w:val="none"/>
                      <w:vertAlign w:val="baseline"/>
                      <w:lang w:val="en-US" w:eastAsia="zh-CN"/>
                    </w:rPr>
                    <w:t>单次金属液注入量（kg）</w:t>
                  </w:r>
                </w:p>
              </w:tc>
              <w:tc>
                <w:tcPr>
                  <w:tcW w:w="612" w:type="pct"/>
                  <w:tcBorders>
                    <w:tl2br w:val="nil"/>
                    <w:tr2bl w:val="nil"/>
                  </w:tcBorders>
                </w:tcPr>
                <w:p w14:paraId="6A2BB30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eastAsia="仿宋" w:cs="Times New Roman"/>
                      <w:b/>
                      <w:bCs/>
                      <w:kern w:val="2"/>
                      <w:sz w:val="21"/>
                      <w:szCs w:val="21"/>
                      <w:highlight w:val="none"/>
                      <w:vertAlign w:val="baseline"/>
                      <w:lang w:val="en-US" w:eastAsia="zh-CN"/>
                    </w:rPr>
                    <w:t>节拍（次/小时）</w:t>
                  </w:r>
                </w:p>
              </w:tc>
              <w:tc>
                <w:tcPr>
                  <w:tcW w:w="571" w:type="pct"/>
                  <w:vMerge w:val="continue"/>
                  <w:tcBorders>
                    <w:tl2br w:val="nil"/>
                    <w:tr2bl w:val="nil"/>
                  </w:tcBorders>
                </w:tcPr>
                <w:p w14:paraId="51595821">
                  <w:pPr>
                    <w:pStyle w:val="2"/>
                    <w:widowControl w:val="0"/>
                    <w:snapToGrid/>
                    <w:spacing w:before="0" w:after="0" w:line="480" w:lineRule="exact"/>
                    <w:ind w:right="0"/>
                    <w:jc w:val="center"/>
                    <w:rPr>
                      <w:rFonts w:hint="default" w:ascii="Times New Roman" w:hAnsi="Times New Roman" w:cs="Times New Roman"/>
                      <w:sz w:val="24"/>
                      <w:vertAlign w:val="baseline"/>
                      <w:lang w:val="en-US" w:eastAsia="zh-CN"/>
                    </w:rPr>
                  </w:pPr>
                </w:p>
              </w:tc>
              <w:tc>
                <w:tcPr>
                  <w:tcW w:w="562" w:type="pct"/>
                  <w:vMerge w:val="continue"/>
                  <w:tcBorders>
                    <w:tl2br w:val="nil"/>
                    <w:tr2bl w:val="nil"/>
                  </w:tcBorders>
                </w:tcPr>
                <w:p w14:paraId="6ED1A6A3">
                  <w:pPr>
                    <w:pStyle w:val="2"/>
                    <w:widowControl w:val="0"/>
                    <w:snapToGrid/>
                    <w:spacing w:before="0" w:after="0" w:line="480" w:lineRule="exact"/>
                    <w:ind w:right="0"/>
                    <w:jc w:val="center"/>
                    <w:rPr>
                      <w:rFonts w:hint="default" w:ascii="Times New Roman" w:hAnsi="Times New Roman" w:cs="Times New Roman"/>
                      <w:sz w:val="24"/>
                      <w:vertAlign w:val="baseline"/>
                      <w:lang w:val="en-US" w:eastAsia="zh-CN"/>
                    </w:rPr>
                  </w:pPr>
                </w:p>
              </w:tc>
              <w:tc>
                <w:tcPr>
                  <w:tcW w:w="598" w:type="pct"/>
                  <w:vMerge w:val="continue"/>
                  <w:tcBorders>
                    <w:tl2br w:val="nil"/>
                    <w:tr2bl w:val="nil"/>
                  </w:tcBorders>
                </w:tcPr>
                <w:p w14:paraId="6D97BF4C">
                  <w:pPr>
                    <w:pStyle w:val="2"/>
                    <w:widowControl w:val="0"/>
                    <w:snapToGrid/>
                    <w:spacing w:before="0" w:after="0" w:line="480" w:lineRule="exact"/>
                    <w:ind w:right="0"/>
                    <w:jc w:val="center"/>
                    <w:rPr>
                      <w:rFonts w:hint="default" w:ascii="Times New Roman" w:hAnsi="Times New Roman" w:cs="Times New Roman"/>
                      <w:sz w:val="24"/>
                      <w:vertAlign w:val="baseline"/>
                      <w:lang w:val="en-US" w:eastAsia="zh-CN"/>
                    </w:rPr>
                  </w:pPr>
                </w:p>
              </w:tc>
              <w:tc>
                <w:tcPr>
                  <w:tcW w:w="676" w:type="pct"/>
                  <w:vMerge w:val="continue"/>
                  <w:tcBorders>
                    <w:tl2br w:val="nil"/>
                    <w:tr2bl w:val="nil"/>
                  </w:tcBorders>
                </w:tcPr>
                <w:p w14:paraId="74CB673B">
                  <w:pPr>
                    <w:pStyle w:val="2"/>
                    <w:widowControl w:val="0"/>
                    <w:snapToGrid/>
                    <w:spacing w:before="0" w:after="0" w:line="480" w:lineRule="exact"/>
                    <w:ind w:right="0"/>
                    <w:jc w:val="center"/>
                    <w:rPr>
                      <w:rFonts w:hint="default" w:ascii="Times New Roman" w:hAnsi="Times New Roman" w:cs="Times New Roman"/>
                      <w:sz w:val="24"/>
                      <w:vertAlign w:val="baseline"/>
                      <w:lang w:val="en-US" w:eastAsia="zh-CN"/>
                    </w:rPr>
                  </w:pPr>
                </w:p>
              </w:tc>
            </w:tr>
            <w:tr w14:paraId="4D4D3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tcBorders>
                    <w:tl2br w:val="nil"/>
                    <w:tr2bl w:val="nil"/>
                  </w:tcBorders>
                  <w:vAlign w:val="center"/>
                </w:tcPr>
                <w:p w14:paraId="4430E0AA">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258t</w:t>
                  </w:r>
                </w:p>
              </w:tc>
              <w:tc>
                <w:tcPr>
                  <w:tcW w:w="747" w:type="pct"/>
                  <w:tcBorders>
                    <w:tl2br w:val="nil"/>
                    <w:tr2bl w:val="nil"/>
                  </w:tcBorders>
                  <w:vAlign w:val="center"/>
                </w:tcPr>
                <w:p w14:paraId="162B426C">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w:t>
                  </w:r>
                </w:p>
              </w:tc>
              <w:tc>
                <w:tcPr>
                  <w:tcW w:w="809" w:type="pct"/>
                  <w:tcBorders>
                    <w:tl2br w:val="nil"/>
                    <w:tr2bl w:val="nil"/>
                  </w:tcBorders>
                  <w:vAlign w:val="center"/>
                </w:tcPr>
                <w:p w14:paraId="6B238E02">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1.5</w:t>
                  </w:r>
                </w:p>
              </w:tc>
              <w:tc>
                <w:tcPr>
                  <w:tcW w:w="612" w:type="pct"/>
                  <w:tcBorders>
                    <w:tl2br w:val="nil"/>
                    <w:tr2bl w:val="nil"/>
                  </w:tcBorders>
                  <w:vAlign w:val="center"/>
                </w:tcPr>
                <w:p w14:paraId="75964BDA">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100</w:t>
                  </w:r>
                </w:p>
              </w:tc>
              <w:tc>
                <w:tcPr>
                  <w:tcW w:w="571" w:type="pct"/>
                  <w:tcBorders>
                    <w:tl2br w:val="nil"/>
                    <w:tr2bl w:val="nil"/>
                  </w:tcBorders>
                  <w:vAlign w:val="center"/>
                </w:tcPr>
                <w:p w14:paraId="34A74AA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5010</w:t>
                  </w:r>
                </w:p>
              </w:tc>
              <w:tc>
                <w:tcPr>
                  <w:tcW w:w="562" w:type="pct"/>
                  <w:tcBorders>
                    <w:tl2br w:val="nil"/>
                    <w:tr2bl w:val="nil"/>
                  </w:tcBorders>
                  <w:vAlign w:val="center"/>
                </w:tcPr>
                <w:p w14:paraId="2721E422">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598" w:type="pct"/>
                  <w:tcBorders>
                    <w:tl2br w:val="nil"/>
                    <w:tr2bl w:val="nil"/>
                  </w:tcBorders>
                  <w:vAlign w:val="center"/>
                </w:tcPr>
                <w:p w14:paraId="3E4D9B06">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676" w:type="pct"/>
                  <w:tcBorders>
                    <w:tl2br w:val="nil"/>
                    <w:tr2bl w:val="nil"/>
                  </w:tcBorders>
                  <w:vAlign w:val="center"/>
                </w:tcPr>
                <w:p w14:paraId="6BBB92C6">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728.955</w:t>
                  </w:r>
                </w:p>
              </w:tc>
            </w:tr>
            <w:tr w14:paraId="221A8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tcBorders>
                    <w:tl2br w:val="nil"/>
                    <w:tr2bl w:val="nil"/>
                  </w:tcBorders>
                  <w:vAlign w:val="center"/>
                </w:tcPr>
                <w:p w14:paraId="54C008DF">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300t</w:t>
                  </w:r>
                </w:p>
              </w:tc>
              <w:tc>
                <w:tcPr>
                  <w:tcW w:w="747" w:type="pct"/>
                  <w:tcBorders>
                    <w:tl2br w:val="nil"/>
                    <w:tr2bl w:val="nil"/>
                  </w:tcBorders>
                  <w:vAlign w:val="center"/>
                </w:tcPr>
                <w:p w14:paraId="3E0B396F">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w:t>
                  </w:r>
                </w:p>
              </w:tc>
              <w:tc>
                <w:tcPr>
                  <w:tcW w:w="809" w:type="pct"/>
                  <w:tcBorders>
                    <w:tl2br w:val="nil"/>
                    <w:tr2bl w:val="nil"/>
                  </w:tcBorders>
                  <w:vAlign w:val="center"/>
                </w:tcPr>
                <w:p w14:paraId="3B1BAAA6">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2.1</w:t>
                  </w:r>
                </w:p>
              </w:tc>
              <w:tc>
                <w:tcPr>
                  <w:tcW w:w="612" w:type="pct"/>
                  <w:tcBorders>
                    <w:tl2br w:val="nil"/>
                    <w:tr2bl w:val="nil"/>
                  </w:tcBorders>
                  <w:vAlign w:val="center"/>
                </w:tcPr>
                <w:p w14:paraId="4DEA0BCC">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80</w:t>
                  </w:r>
                </w:p>
              </w:tc>
              <w:tc>
                <w:tcPr>
                  <w:tcW w:w="571" w:type="pct"/>
                  <w:tcBorders>
                    <w:tl2br w:val="nil"/>
                    <w:tr2bl w:val="nil"/>
                  </w:tcBorders>
                  <w:vAlign w:val="center"/>
                </w:tcPr>
                <w:p w14:paraId="76EB447C">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5010</w:t>
                  </w:r>
                </w:p>
              </w:tc>
              <w:tc>
                <w:tcPr>
                  <w:tcW w:w="562" w:type="pct"/>
                  <w:tcBorders>
                    <w:tl2br w:val="nil"/>
                    <w:tr2bl w:val="nil"/>
                  </w:tcBorders>
                  <w:vAlign w:val="center"/>
                </w:tcPr>
                <w:p w14:paraId="099ABF2A">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598" w:type="pct"/>
                  <w:tcBorders>
                    <w:tl2br w:val="nil"/>
                    <w:tr2bl w:val="nil"/>
                  </w:tcBorders>
                  <w:vAlign w:val="center"/>
                </w:tcPr>
                <w:p w14:paraId="70F2EB32">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676" w:type="pct"/>
                  <w:tcBorders>
                    <w:tl2br w:val="nil"/>
                    <w:tr2bl w:val="nil"/>
                  </w:tcBorders>
                  <w:vAlign w:val="center"/>
                </w:tcPr>
                <w:p w14:paraId="593A457C">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1224.6444</w:t>
                  </w:r>
                </w:p>
              </w:tc>
            </w:tr>
            <w:tr w14:paraId="0782D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tcBorders>
                    <w:tl2br w:val="nil"/>
                    <w:tr2bl w:val="nil"/>
                  </w:tcBorders>
                  <w:vAlign w:val="center"/>
                </w:tcPr>
                <w:p w14:paraId="2A752B0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350t</w:t>
                  </w:r>
                </w:p>
              </w:tc>
              <w:tc>
                <w:tcPr>
                  <w:tcW w:w="747" w:type="pct"/>
                  <w:tcBorders>
                    <w:tl2br w:val="nil"/>
                    <w:tr2bl w:val="nil"/>
                  </w:tcBorders>
                  <w:vAlign w:val="center"/>
                </w:tcPr>
                <w:p w14:paraId="4172303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w:t>
                  </w:r>
                </w:p>
              </w:tc>
              <w:tc>
                <w:tcPr>
                  <w:tcW w:w="809" w:type="pct"/>
                  <w:tcBorders>
                    <w:tl2br w:val="nil"/>
                    <w:tr2bl w:val="nil"/>
                  </w:tcBorders>
                  <w:vAlign w:val="center"/>
                </w:tcPr>
                <w:p w14:paraId="6686FF1F">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2.3</w:t>
                  </w:r>
                </w:p>
              </w:tc>
              <w:tc>
                <w:tcPr>
                  <w:tcW w:w="612" w:type="pct"/>
                  <w:tcBorders>
                    <w:tl2br w:val="nil"/>
                    <w:tr2bl w:val="nil"/>
                  </w:tcBorders>
                  <w:vAlign w:val="center"/>
                </w:tcPr>
                <w:p w14:paraId="2955B8EB">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75</w:t>
                  </w:r>
                </w:p>
              </w:tc>
              <w:tc>
                <w:tcPr>
                  <w:tcW w:w="571" w:type="pct"/>
                  <w:tcBorders>
                    <w:tl2br w:val="nil"/>
                    <w:tr2bl w:val="nil"/>
                  </w:tcBorders>
                  <w:vAlign w:val="center"/>
                </w:tcPr>
                <w:p w14:paraId="47DDF095">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3680</w:t>
                  </w:r>
                </w:p>
              </w:tc>
              <w:tc>
                <w:tcPr>
                  <w:tcW w:w="562" w:type="pct"/>
                  <w:tcBorders>
                    <w:tl2br w:val="nil"/>
                    <w:tr2bl w:val="nil"/>
                  </w:tcBorders>
                  <w:vAlign w:val="center"/>
                </w:tcPr>
                <w:p w14:paraId="18893F75">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598" w:type="pct"/>
                  <w:tcBorders>
                    <w:tl2br w:val="nil"/>
                    <w:tr2bl w:val="nil"/>
                  </w:tcBorders>
                  <w:vAlign w:val="center"/>
                </w:tcPr>
                <w:p w14:paraId="26421CA9">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676" w:type="pct"/>
                  <w:tcBorders>
                    <w:tl2br w:val="nil"/>
                    <w:tr2bl w:val="nil"/>
                  </w:tcBorders>
                  <w:vAlign w:val="center"/>
                </w:tcPr>
                <w:p w14:paraId="576538D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307.878</w:t>
                  </w:r>
                </w:p>
              </w:tc>
            </w:tr>
            <w:tr w14:paraId="3C7A6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tcBorders>
                    <w:tl2br w:val="nil"/>
                    <w:tr2bl w:val="nil"/>
                  </w:tcBorders>
                  <w:vAlign w:val="center"/>
                </w:tcPr>
                <w:p w14:paraId="12F864C4">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400t</w:t>
                  </w:r>
                </w:p>
              </w:tc>
              <w:tc>
                <w:tcPr>
                  <w:tcW w:w="747" w:type="pct"/>
                  <w:tcBorders>
                    <w:tl2br w:val="nil"/>
                    <w:tr2bl w:val="nil"/>
                  </w:tcBorders>
                  <w:vAlign w:val="center"/>
                </w:tcPr>
                <w:p w14:paraId="62E3AACE">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w:t>
                  </w:r>
                </w:p>
              </w:tc>
              <w:tc>
                <w:tcPr>
                  <w:tcW w:w="809" w:type="pct"/>
                  <w:tcBorders>
                    <w:tl2br w:val="nil"/>
                    <w:tr2bl w:val="nil"/>
                  </w:tcBorders>
                  <w:vAlign w:val="center"/>
                </w:tcPr>
                <w:p w14:paraId="327B949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2.6</w:t>
                  </w:r>
                </w:p>
              </w:tc>
              <w:tc>
                <w:tcPr>
                  <w:tcW w:w="612" w:type="pct"/>
                  <w:tcBorders>
                    <w:tl2br w:val="nil"/>
                    <w:tr2bl w:val="nil"/>
                  </w:tcBorders>
                  <w:vAlign w:val="center"/>
                </w:tcPr>
                <w:p w14:paraId="463FB5A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70</w:t>
                  </w:r>
                </w:p>
              </w:tc>
              <w:tc>
                <w:tcPr>
                  <w:tcW w:w="571" w:type="pct"/>
                  <w:tcBorders>
                    <w:tl2br w:val="nil"/>
                    <w:tr2bl w:val="nil"/>
                  </w:tcBorders>
                  <w:vAlign w:val="center"/>
                </w:tcPr>
                <w:p w14:paraId="5CA634FB">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3680</w:t>
                  </w:r>
                </w:p>
              </w:tc>
              <w:tc>
                <w:tcPr>
                  <w:tcW w:w="562" w:type="pct"/>
                  <w:tcBorders>
                    <w:tl2br w:val="nil"/>
                    <w:tr2bl w:val="nil"/>
                  </w:tcBorders>
                  <w:vAlign w:val="center"/>
                </w:tcPr>
                <w:p w14:paraId="150D384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598" w:type="pct"/>
                  <w:tcBorders>
                    <w:tl2br w:val="nil"/>
                    <w:tr2bl w:val="nil"/>
                  </w:tcBorders>
                  <w:vAlign w:val="center"/>
                </w:tcPr>
                <w:p w14:paraId="28DA4984">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676" w:type="pct"/>
                  <w:tcBorders>
                    <w:tl2br w:val="nil"/>
                    <w:tr2bl w:val="nil"/>
                  </w:tcBorders>
                  <w:vAlign w:val="center"/>
                </w:tcPr>
                <w:p w14:paraId="7A9D60E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649.6672</w:t>
                  </w:r>
                </w:p>
              </w:tc>
            </w:tr>
            <w:tr w14:paraId="4C819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tcBorders>
                    <w:tl2br w:val="nil"/>
                    <w:tr2bl w:val="nil"/>
                  </w:tcBorders>
                  <w:vAlign w:val="center"/>
                </w:tcPr>
                <w:p w14:paraId="53810179">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500t</w:t>
                  </w:r>
                </w:p>
              </w:tc>
              <w:tc>
                <w:tcPr>
                  <w:tcW w:w="747" w:type="pct"/>
                  <w:tcBorders>
                    <w:tl2br w:val="nil"/>
                    <w:tr2bl w:val="nil"/>
                  </w:tcBorders>
                  <w:vAlign w:val="center"/>
                </w:tcPr>
                <w:p w14:paraId="4288A843">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w:t>
                  </w:r>
                </w:p>
              </w:tc>
              <w:tc>
                <w:tcPr>
                  <w:tcW w:w="809" w:type="pct"/>
                  <w:tcBorders>
                    <w:tl2br w:val="nil"/>
                    <w:tr2bl w:val="nil"/>
                  </w:tcBorders>
                  <w:vAlign w:val="center"/>
                </w:tcPr>
                <w:p w14:paraId="133E9F1C">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2.8</w:t>
                  </w:r>
                </w:p>
              </w:tc>
              <w:tc>
                <w:tcPr>
                  <w:tcW w:w="612" w:type="pct"/>
                  <w:tcBorders>
                    <w:tl2br w:val="nil"/>
                    <w:tr2bl w:val="nil"/>
                  </w:tcBorders>
                  <w:vAlign w:val="center"/>
                </w:tcPr>
                <w:p w14:paraId="26DDB0C6">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60</w:t>
                  </w:r>
                </w:p>
              </w:tc>
              <w:tc>
                <w:tcPr>
                  <w:tcW w:w="571" w:type="pct"/>
                  <w:tcBorders>
                    <w:tl2br w:val="nil"/>
                    <w:tr2bl w:val="nil"/>
                  </w:tcBorders>
                  <w:vAlign w:val="center"/>
                </w:tcPr>
                <w:p w14:paraId="120603D1">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1920</w:t>
                  </w:r>
                </w:p>
              </w:tc>
              <w:tc>
                <w:tcPr>
                  <w:tcW w:w="562" w:type="pct"/>
                  <w:tcBorders>
                    <w:tl2br w:val="nil"/>
                    <w:tr2bl w:val="nil"/>
                  </w:tcBorders>
                  <w:vAlign w:val="center"/>
                </w:tcPr>
                <w:p w14:paraId="25A6BDF9">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598" w:type="pct"/>
                  <w:tcBorders>
                    <w:tl2br w:val="nil"/>
                    <w:tr2bl w:val="nil"/>
                  </w:tcBorders>
                  <w:vAlign w:val="center"/>
                </w:tcPr>
                <w:p w14:paraId="089EB1A3">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676" w:type="pct"/>
                  <w:tcBorders>
                    <w:tl2br w:val="nil"/>
                    <w:tr2bl w:val="nil"/>
                  </w:tcBorders>
                  <w:vAlign w:val="center"/>
                </w:tcPr>
                <w:p w14:paraId="6768943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156.4416</w:t>
                  </w:r>
                </w:p>
              </w:tc>
            </w:tr>
            <w:tr w14:paraId="6E174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tcBorders>
                    <w:tl2br w:val="nil"/>
                    <w:tr2bl w:val="nil"/>
                  </w:tcBorders>
                  <w:vAlign w:val="center"/>
                </w:tcPr>
                <w:p w14:paraId="2859F3F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750t</w:t>
                  </w:r>
                </w:p>
              </w:tc>
              <w:tc>
                <w:tcPr>
                  <w:tcW w:w="747" w:type="pct"/>
                  <w:tcBorders>
                    <w:tl2br w:val="nil"/>
                    <w:tr2bl w:val="nil"/>
                  </w:tcBorders>
                  <w:vAlign w:val="center"/>
                </w:tcPr>
                <w:p w14:paraId="161A4D28">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w:t>
                  </w:r>
                </w:p>
              </w:tc>
              <w:tc>
                <w:tcPr>
                  <w:tcW w:w="809" w:type="pct"/>
                  <w:tcBorders>
                    <w:tl2br w:val="nil"/>
                    <w:tr2bl w:val="nil"/>
                  </w:tcBorders>
                  <w:vAlign w:val="center"/>
                </w:tcPr>
                <w:p w14:paraId="65F655E6">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w:t>
                  </w:r>
                </w:p>
              </w:tc>
              <w:tc>
                <w:tcPr>
                  <w:tcW w:w="612" w:type="pct"/>
                  <w:tcBorders>
                    <w:tl2br w:val="nil"/>
                    <w:tr2bl w:val="nil"/>
                  </w:tcBorders>
                  <w:vAlign w:val="center"/>
                </w:tcPr>
                <w:p w14:paraId="393844AA">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40</w:t>
                  </w:r>
                </w:p>
              </w:tc>
              <w:tc>
                <w:tcPr>
                  <w:tcW w:w="571" w:type="pct"/>
                  <w:tcBorders>
                    <w:tl2br w:val="nil"/>
                    <w:tr2bl w:val="nil"/>
                  </w:tcBorders>
                  <w:vAlign w:val="center"/>
                </w:tcPr>
                <w:p w14:paraId="53BF615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1920</w:t>
                  </w:r>
                </w:p>
              </w:tc>
              <w:tc>
                <w:tcPr>
                  <w:tcW w:w="562" w:type="pct"/>
                  <w:tcBorders>
                    <w:tl2br w:val="nil"/>
                    <w:tr2bl w:val="nil"/>
                  </w:tcBorders>
                  <w:vAlign w:val="center"/>
                </w:tcPr>
                <w:p w14:paraId="513785AE">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598" w:type="pct"/>
                  <w:tcBorders>
                    <w:tl2br w:val="nil"/>
                    <w:tr2bl w:val="nil"/>
                  </w:tcBorders>
                  <w:vAlign w:val="center"/>
                </w:tcPr>
                <w:p w14:paraId="1C14FEB4">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676" w:type="pct"/>
                  <w:tcBorders>
                    <w:tl2br w:val="nil"/>
                    <w:tr2bl w:val="nil"/>
                  </w:tcBorders>
                  <w:vAlign w:val="center"/>
                </w:tcPr>
                <w:p w14:paraId="6F27DB7A">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148.992</w:t>
                  </w:r>
                </w:p>
              </w:tc>
            </w:tr>
            <w:tr w14:paraId="2487F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3" w:type="pct"/>
                  <w:gridSpan w:val="7"/>
                  <w:tcBorders>
                    <w:tl2br w:val="nil"/>
                    <w:tr2bl w:val="nil"/>
                  </w:tcBorders>
                  <w:vAlign w:val="center"/>
                </w:tcPr>
                <w:p w14:paraId="10078786">
                  <w:pPr>
                    <w:keepNext w:val="0"/>
                    <w:keepLines w:val="0"/>
                    <w:widowControl/>
                    <w:suppressLineNumbers w:val="0"/>
                    <w:spacing w:line="240" w:lineRule="auto"/>
                    <w:jc w:val="center"/>
                    <w:textAlignment w:val="center"/>
                    <w:rPr>
                      <w:rFonts w:hint="eastAsia"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合计</w:t>
                  </w:r>
                </w:p>
              </w:tc>
              <w:tc>
                <w:tcPr>
                  <w:tcW w:w="676" w:type="pct"/>
                  <w:tcBorders>
                    <w:tl2br w:val="nil"/>
                    <w:tr2bl w:val="nil"/>
                  </w:tcBorders>
                  <w:vAlign w:val="center"/>
                </w:tcPr>
                <w:p w14:paraId="77ABBB00">
                  <w:pPr>
                    <w:keepNext w:val="0"/>
                    <w:keepLines w:val="0"/>
                    <w:widowControl/>
                    <w:suppressLineNumbers w:val="0"/>
                    <w:spacing w:line="240" w:lineRule="auto"/>
                    <w:jc w:val="center"/>
                    <w:textAlignment w:val="center"/>
                    <w:rPr>
                      <w:rFonts w:hint="default" w:ascii="Times New Roman" w:hAnsi="Times New Roman" w:eastAsia="仿宋"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3216.5782</w:t>
                  </w:r>
                </w:p>
              </w:tc>
            </w:tr>
          </w:tbl>
          <w:p w14:paraId="12019A2A">
            <w:pPr>
              <w:pStyle w:val="2"/>
              <w:widowControl w:val="0"/>
              <w:snapToGrid/>
              <w:spacing w:before="0" w:after="0" w:line="480" w:lineRule="exact"/>
              <w:ind w:right="0" w:firstLine="480" w:firstLineChars="200"/>
              <w:rPr>
                <w:rFonts w:hint="default" w:ascii="仿宋" w:hAnsi="仿宋" w:eastAsia="仿宋" w:cs="仿宋"/>
                <w:sz w:val="24"/>
                <w:lang w:val="en-US" w:eastAsia="zh-CN"/>
              </w:rPr>
            </w:pPr>
            <w:r>
              <w:rPr>
                <w:rFonts w:hint="default" w:ascii="仿宋" w:hAnsi="仿宋" w:eastAsia="仿宋" w:cs="仿宋"/>
                <w:sz w:val="24"/>
                <w:lang w:val="en-US" w:eastAsia="zh-CN"/>
              </w:rPr>
              <w:t>③</w:t>
            </w:r>
            <w:r>
              <w:rPr>
                <w:rFonts w:hint="eastAsia" w:ascii="仿宋" w:hAnsi="仿宋" w:eastAsia="仿宋" w:cs="仿宋"/>
                <w:sz w:val="24"/>
                <w:lang w:val="en-US" w:eastAsia="zh-CN"/>
              </w:rPr>
              <w:t>项目产能</w:t>
            </w:r>
          </w:p>
          <w:p w14:paraId="2C416079">
            <w:pPr>
              <w:pStyle w:val="2"/>
              <w:widowControl w:val="0"/>
              <w:snapToGrid/>
              <w:spacing w:before="0" w:after="0" w:line="480" w:lineRule="exact"/>
              <w:ind w:right="0" w:firstLine="480" w:firstLineChars="200"/>
              <w:rPr>
                <w:rFonts w:hint="default"/>
                <w:sz w:val="24"/>
                <w:lang w:val="en-US" w:eastAsia="zh-CN"/>
              </w:rPr>
            </w:pPr>
            <w:r>
              <w:rPr>
                <w:rFonts w:hint="eastAsia"/>
                <w:sz w:val="24"/>
                <w:lang w:val="en-US" w:eastAsia="zh-CN"/>
              </w:rPr>
              <w:t>依据瓶颈原则，对熔炼（化）设备产能和压铸设备产能取最小值，因此本项目压铸产能为3216t/a，可以满足本项目年产3200吨铝铸件的生产规模。</w:t>
            </w:r>
          </w:p>
          <w:p w14:paraId="60042F12">
            <w:pPr>
              <w:pStyle w:val="2"/>
              <w:widowControl w:val="0"/>
              <w:numPr>
                <w:ilvl w:val="0"/>
                <w:numId w:val="12"/>
              </w:numPr>
              <w:snapToGrid/>
              <w:spacing w:before="0" w:after="0" w:line="480" w:lineRule="exact"/>
              <w:ind w:right="0" w:firstLine="482" w:firstLineChars="200"/>
              <w:rPr>
                <w:rFonts w:hint="eastAsia"/>
                <w:b/>
                <w:bCs/>
                <w:kern w:val="2"/>
                <w:sz w:val="24"/>
                <w:szCs w:val="24"/>
                <w:highlight w:val="none"/>
                <w:lang w:val="en-US" w:eastAsia="zh-CN"/>
              </w:rPr>
            </w:pPr>
            <w:r>
              <w:rPr>
                <w:rFonts w:hint="eastAsia"/>
                <w:b/>
                <w:bCs/>
                <w:kern w:val="2"/>
                <w:sz w:val="24"/>
                <w:szCs w:val="24"/>
                <w:highlight w:val="none"/>
                <w:lang w:val="en-US" w:eastAsia="zh-CN"/>
              </w:rPr>
              <w:t>天然气用量合理性分析</w:t>
            </w:r>
          </w:p>
          <w:p w14:paraId="459B2BA6">
            <w:pPr>
              <w:pStyle w:val="2"/>
              <w:widowControl w:val="0"/>
              <w:snapToGrid/>
              <w:spacing w:before="0" w:after="0" w:line="480" w:lineRule="exact"/>
              <w:ind w:right="0" w:firstLine="480" w:firstLineChars="200"/>
              <w:rPr>
                <w:rFonts w:hint="eastAsia"/>
                <w:sz w:val="24"/>
                <w:lang w:val="en-US" w:eastAsia="zh-CN"/>
              </w:rPr>
            </w:pPr>
            <w:r>
              <w:rPr>
                <w:rFonts w:hint="eastAsia"/>
                <w:sz w:val="24"/>
                <w:lang w:val="en-US" w:eastAsia="zh-CN"/>
              </w:rPr>
              <w:t>本项目拟购置10台天然气熔化炉，参照设备厂家提供的压铸机坩埚式燃气熔铝炉技术参数，核算本项目天然气年用量，计算过程详见下表。</w:t>
            </w:r>
          </w:p>
          <w:p w14:paraId="7B53734B">
            <w:pPr>
              <w:snapToGrid w:val="0"/>
              <w:spacing w:line="240" w:lineRule="auto"/>
              <w:jc w:val="center"/>
              <w:rPr>
                <w:rFonts w:hint="default"/>
                <w:b/>
                <w:sz w:val="21"/>
                <w:szCs w:val="21"/>
                <w:lang w:val="en-US" w:eastAsia="zh-CN"/>
              </w:rPr>
            </w:pPr>
            <w:r>
              <w:rPr>
                <w:rFonts w:hint="eastAsia"/>
                <w:b/>
                <w:sz w:val="21"/>
                <w:szCs w:val="21"/>
                <w:lang w:val="en-US" w:eastAsia="zh-CN"/>
              </w:rPr>
              <w:t>表2-10  本项目天然气年用量核算一览表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120"/>
              <w:gridCol w:w="1394"/>
              <w:gridCol w:w="1472"/>
              <w:gridCol w:w="1469"/>
              <w:gridCol w:w="1437"/>
            </w:tblGrid>
            <w:tr w14:paraId="0239F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vMerge w:val="restart"/>
                  <w:tcBorders>
                    <w:tl2br w:val="nil"/>
                    <w:tr2bl w:val="nil"/>
                  </w:tcBorders>
                  <w:vAlign w:val="center"/>
                </w:tcPr>
                <w:p w14:paraId="73D7FBC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eastAsia="仿宋" w:cs="Times New Roman"/>
                      <w:b/>
                      <w:bCs/>
                      <w:kern w:val="2"/>
                      <w:sz w:val="21"/>
                      <w:szCs w:val="21"/>
                      <w:highlight w:val="none"/>
                      <w:vertAlign w:val="baseline"/>
                      <w:lang w:val="en-US" w:eastAsia="zh-CN"/>
                    </w:rPr>
                    <w:t>压铸机型号</w:t>
                  </w:r>
                </w:p>
              </w:tc>
              <w:tc>
                <w:tcPr>
                  <w:tcW w:w="677" w:type="pct"/>
                  <w:vMerge w:val="restart"/>
                  <w:tcBorders>
                    <w:tl2br w:val="nil"/>
                    <w:tr2bl w:val="nil"/>
                  </w:tcBorders>
                  <w:vAlign w:val="center"/>
                </w:tcPr>
                <w:p w14:paraId="07D23001">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数量（台）</w:t>
                  </w:r>
                </w:p>
              </w:tc>
              <w:tc>
                <w:tcPr>
                  <w:tcW w:w="843" w:type="pct"/>
                  <w:vMerge w:val="restart"/>
                  <w:tcBorders>
                    <w:tl2br w:val="nil"/>
                    <w:tr2bl w:val="nil"/>
                  </w:tcBorders>
                  <w:vAlign w:val="center"/>
                </w:tcPr>
                <w:p w14:paraId="344FDBF3">
                  <w:pPr>
                    <w:pStyle w:val="3"/>
                    <w:widowControl w:val="0"/>
                    <w:numPr>
                      <w:ilvl w:val="0"/>
                      <w:numId w:val="0"/>
                    </w:numPr>
                    <w:spacing w:line="240" w:lineRule="auto"/>
                    <w:ind w:left="0" w:leftChars="0" w:firstLine="0" w:firstLineChars="0"/>
                    <w:jc w:val="center"/>
                    <w:rPr>
                      <w:rFonts w:hint="eastAsia"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eastAsia="仿宋" w:cs="Times New Roman"/>
                      <w:b/>
                      <w:bCs/>
                      <w:kern w:val="2"/>
                      <w:sz w:val="21"/>
                      <w:szCs w:val="21"/>
                      <w:highlight w:val="none"/>
                      <w:vertAlign w:val="baseline"/>
                      <w:lang w:val="en-US" w:eastAsia="zh-CN"/>
                    </w:rPr>
                    <w:t>天然气流量（m</w:t>
                  </w:r>
                  <w:r>
                    <w:rPr>
                      <w:rFonts w:hint="eastAsia" w:ascii="Times New Roman" w:hAnsi="Times New Roman" w:eastAsia="仿宋" w:cs="Times New Roman"/>
                      <w:b/>
                      <w:bCs/>
                      <w:kern w:val="2"/>
                      <w:sz w:val="21"/>
                      <w:szCs w:val="21"/>
                      <w:highlight w:val="none"/>
                      <w:vertAlign w:val="superscript"/>
                      <w:lang w:val="en-US" w:eastAsia="zh-CN"/>
                    </w:rPr>
                    <w:t>3</w:t>
                  </w:r>
                  <w:r>
                    <w:rPr>
                      <w:rFonts w:hint="eastAsia" w:ascii="Times New Roman" w:hAnsi="Times New Roman" w:eastAsia="仿宋" w:cs="Times New Roman"/>
                      <w:b/>
                      <w:bCs/>
                      <w:kern w:val="2"/>
                      <w:sz w:val="21"/>
                      <w:szCs w:val="21"/>
                      <w:highlight w:val="none"/>
                      <w:vertAlign w:val="baseline"/>
                      <w:lang w:val="en-US" w:eastAsia="zh-CN"/>
                    </w:rPr>
                    <w:t>/h）</w:t>
                  </w:r>
                </w:p>
              </w:tc>
              <w:tc>
                <w:tcPr>
                  <w:tcW w:w="890" w:type="pct"/>
                  <w:vMerge w:val="restart"/>
                  <w:tcBorders>
                    <w:tl2br w:val="nil"/>
                    <w:tr2bl w:val="nil"/>
                  </w:tcBorders>
                  <w:vAlign w:val="center"/>
                </w:tcPr>
                <w:p w14:paraId="48ED0DA9">
                  <w:pPr>
                    <w:pStyle w:val="3"/>
                    <w:widowControl w:val="0"/>
                    <w:numPr>
                      <w:ilvl w:val="0"/>
                      <w:numId w:val="0"/>
                    </w:numPr>
                    <w:spacing w:line="240" w:lineRule="auto"/>
                    <w:ind w:left="0" w:leftChars="0" w:firstLine="0" w:firstLineChars="0"/>
                    <w:jc w:val="center"/>
                    <w:rPr>
                      <w:rFonts w:hint="eastAsia"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G设计年时基数（h）</w:t>
                  </w:r>
                </w:p>
              </w:tc>
              <w:tc>
                <w:tcPr>
                  <w:tcW w:w="1757" w:type="pct"/>
                  <w:gridSpan w:val="2"/>
                  <w:tcBorders>
                    <w:tl2br w:val="nil"/>
                    <w:tr2bl w:val="nil"/>
                  </w:tcBorders>
                  <w:vAlign w:val="center"/>
                </w:tcPr>
                <w:p w14:paraId="49C1050E">
                  <w:pPr>
                    <w:pStyle w:val="3"/>
                    <w:widowControl w:val="0"/>
                    <w:numPr>
                      <w:ilvl w:val="0"/>
                      <w:numId w:val="0"/>
                    </w:numPr>
                    <w:spacing w:line="240" w:lineRule="auto"/>
                    <w:ind w:left="0" w:leftChars="0" w:firstLine="0" w:firstLineChars="0"/>
                    <w:jc w:val="center"/>
                    <w:rPr>
                      <w:rFonts w:hint="eastAsia" w:ascii="Times New Roman" w:hAnsi="Times New Roman" w:eastAsia="仿宋" w:cs="Times New Roman"/>
                      <w:b/>
                      <w:bCs/>
                      <w:kern w:val="2"/>
                      <w:sz w:val="21"/>
                      <w:szCs w:val="21"/>
                      <w:highlight w:val="none"/>
                      <w:vertAlign w:val="baseline"/>
                      <w:lang w:val="en-US" w:eastAsia="zh-CN"/>
                    </w:rPr>
                  </w:pPr>
                  <w:r>
                    <w:rPr>
                      <w:rFonts w:hint="eastAsia" w:ascii="Times New Roman" w:hAnsi="Times New Roman" w:eastAsia="仿宋" w:cs="Times New Roman"/>
                      <w:b/>
                      <w:bCs/>
                      <w:kern w:val="2"/>
                      <w:sz w:val="21"/>
                      <w:szCs w:val="21"/>
                      <w:highlight w:val="none"/>
                      <w:vertAlign w:val="baseline"/>
                      <w:lang w:val="en-US" w:eastAsia="zh-CN"/>
                    </w:rPr>
                    <w:t>天然气用量（万m</w:t>
                  </w:r>
                  <w:r>
                    <w:rPr>
                      <w:rFonts w:hint="eastAsia" w:ascii="Times New Roman" w:hAnsi="Times New Roman" w:eastAsia="仿宋" w:cs="Times New Roman"/>
                      <w:b/>
                      <w:bCs/>
                      <w:kern w:val="2"/>
                      <w:sz w:val="21"/>
                      <w:szCs w:val="21"/>
                      <w:highlight w:val="none"/>
                      <w:vertAlign w:val="superscript"/>
                      <w:lang w:val="en-US" w:eastAsia="zh-CN"/>
                    </w:rPr>
                    <w:t>3</w:t>
                  </w:r>
                  <w:r>
                    <w:rPr>
                      <w:rFonts w:hint="eastAsia" w:ascii="Times New Roman" w:hAnsi="Times New Roman" w:eastAsia="仿宋" w:cs="Times New Roman"/>
                      <w:b/>
                      <w:bCs/>
                      <w:kern w:val="2"/>
                      <w:sz w:val="21"/>
                      <w:szCs w:val="21"/>
                      <w:highlight w:val="none"/>
                      <w:vertAlign w:val="baseline"/>
                      <w:lang w:val="en-US" w:eastAsia="zh-CN"/>
                    </w:rPr>
                    <w:t>/a）</w:t>
                  </w:r>
                </w:p>
              </w:tc>
            </w:tr>
            <w:tr w14:paraId="3B618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vMerge w:val="continue"/>
                  <w:tcBorders>
                    <w:tl2br w:val="nil"/>
                    <w:tr2bl w:val="nil"/>
                  </w:tcBorders>
                  <w:vAlign w:val="center"/>
                </w:tcPr>
                <w:p w14:paraId="36D91FCD">
                  <w:pPr>
                    <w:pStyle w:val="3"/>
                    <w:widowControl w:val="0"/>
                    <w:spacing w:line="360" w:lineRule="auto"/>
                    <w:jc w:val="both"/>
                  </w:pPr>
                </w:p>
              </w:tc>
              <w:tc>
                <w:tcPr>
                  <w:tcW w:w="677" w:type="pct"/>
                  <w:vMerge w:val="continue"/>
                  <w:tcBorders>
                    <w:tl2br w:val="nil"/>
                    <w:tr2bl w:val="nil"/>
                  </w:tcBorders>
                  <w:vAlign w:val="center"/>
                </w:tcPr>
                <w:p w14:paraId="2F1DBA7D">
                  <w:pPr>
                    <w:pStyle w:val="3"/>
                    <w:widowControl w:val="0"/>
                    <w:spacing w:line="360" w:lineRule="auto"/>
                    <w:jc w:val="both"/>
                  </w:pPr>
                </w:p>
              </w:tc>
              <w:tc>
                <w:tcPr>
                  <w:tcW w:w="843" w:type="pct"/>
                  <w:vMerge w:val="continue"/>
                  <w:tcBorders>
                    <w:tl2br w:val="nil"/>
                    <w:tr2bl w:val="nil"/>
                  </w:tcBorders>
                  <w:vAlign w:val="center"/>
                </w:tcPr>
                <w:p w14:paraId="7A2BE6C2">
                  <w:pPr>
                    <w:pStyle w:val="3"/>
                    <w:widowControl w:val="0"/>
                    <w:spacing w:line="360" w:lineRule="auto"/>
                    <w:jc w:val="both"/>
                  </w:pPr>
                </w:p>
              </w:tc>
              <w:tc>
                <w:tcPr>
                  <w:tcW w:w="890" w:type="pct"/>
                  <w:vMerge w:val="continue"/>
                  <w:tcBorders>
                    <w:tl2br w:val="nil"/>
                    <w:tr2bl w:val="nil"/>
                  </w:tcBorders>
                  <w:vAlign w:val="center"/>
                </w:tcPr>
                <w:p w14:paraId="68D2E71C">
                  <w:pPr>
                    <w:pStyle w:val="3"/>
                    <w:widowControl w:val="0"/>
                    <w:spacing w:line="360" w:lineRule="auto"/>
                    <w:jc w:val="both"/>
                  </w:pPr>
                </w:p>
              </w:tc>
              <w:tc>
                <w:tcPr>
                  <w:tcW w:w="888" w:type="pct"/>
                  <w:tcBorders>
                    <w:tl2br w:val="nil"/>
                    <w:tr2bl w:val="nil"/>
                  </w:tcBorders>
                  <w:vAlign w:val="center"/>
                </w:tcPr>
                <w:p w14:paraId="57436E34">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cs="Times New Roman"/>
                      <w:b/>
                      <w:bCs/>
                      <w:kern w:val="2"/>
                      <w:sz w:val="21"/>
                      <w:szCs w:val="21"/>
                      <w:highlight w:val="none"/>
                      <w:vertAlign w:val="baseline"/>
                      <w:lang w:val="en-US" w:eastAsia="zh-CN"/>
                    </w:rPr>
                    <w:t>最小值</w:t>
                  </w:r>
                </w:p>
              </w:tc>
              <w:tc>
                <w:tcPr>
                  <w:tcW w:w="869" w:type="pct"/>
                  <w:tcBorders>
                    <w:tl2br w:val="nil"/>
                    <w:tr2bl w:val="nil"/>
                  </w:tcBorders>
                  <w:vAlign w:val="center"/>
                </w:tcPr>
                <w:p w14:paraId="0B066F6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eastAsia" w:cs="Times New Roman"/>
                      <w:b/>
                      <w:bCs/>
                      <w:kern w:val="2"/>
                      <w:sz w:val="21"/>
                      <w:szCs w:val="21"/>
                      <w:highlight w:val="none"/>
                      <w:vertAlign w:val="baseline"/>
                      <w:lang w:val="en-US" w:eastAsia="zh-CN"/>
                    </w:rPr>
                    <w:t>最大值</w:t>
                  </w:r>
                </w:p>
              </w:tc>
            </w:tr>
            <w:tr w14:paraId="54D19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tcBorders>
                    <w:tl2br w:val="nil"/>
                    <w:tr2bl w:val="nil"/>
                  </w:tcBorders>
                  <w:vAlign w:val="center"/>
                </w:tcPr>
                <w:p w14:paraId="19316B3D">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258t</w:t>
                  </w:r>
                </w:p>
              </w:tc>
              <w:tc>
                <w:tcPr>
                  <w:tcW w:w="677" w:type="pct"/>
                  <w:tcBorders>
                    <w:tl2br w:val="nil"/>
                    <w:tr2bl w:val="nil"/>
                  </w:tcBorders>
                  <w:vAlign w:val="center"/>
                </w:tcPr>
                <w:p w14:paraId="2EE5AE6B">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w:t>
                  </w:r>
                </w:p>
              </w:tc>
              <w:tc>
                <w:tcPr>
                  <w:tcW w:w="843" w:type="pct"/>
                  <w:tcBorders>
                    <w:tl2br w:val="nil"/>
                    <w:tr2bl w:val="nil"/>
                  </w:tcBorders>
                  <w:vAlign w:val="center"/>
                </w:tcPr>
                <w:p w14:paraId="59D15F7D">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8~9</w:t>
                  </w:r>
                </w:p>
              </w:tc>
              <w:tc>
                <w:tcPr>
                  <w:tcW w:w="890" w:type="pct"/>
                  <w:tcBorders>
                    <w:tl2br w:val="nil"/>
                    <w:tr2bl w:val="nil"/>
                  </w:tcBorders>
                  <w:vAlign w:val="center"/>
                </w:tcPr>
                <w:p w14:paraId="756A913B">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5010</w:t>
                  </w:r>
                </w:p>
              </w:tc>
              <w:tc>
                <w:tcPr>
                  <w:tcW w:w="1469" w:type="dxa"/>
                  <w:tcBorders>
                    <w:tl2br w:val="nil"/>
                    <w:tr2bl w:val="nil"/>
                  </w:tcBorders>
                  <w:vAlign w:val="center"/>
                </w:tcPr>
                <w:p w14:paraId="1B0F74D8">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8.016</w:t>
                  </w:r>
                </w:p>
              </w:tc>
              <w:tc>
                <w:tcPr>
                  <w:tcW w:w="1437" w:type="dxa"/>
                  <w:tcBorders>
                    <w:tl2br w:val="nil"/>
                    <w:tr2bl w:val="nil"/>
                  </w:tcBorders>
                  <w:vAlign w:val="center"/>
                </w:tcPr>
                <w:p w14:paraId="20301D25">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9.018</w:t>
                  </w:r>
                </w:p>
              </w:tc>
            </w:tr>
            <w:tr w14:paraId="76567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tcBorders>
                    <w:tl2br w:val="nil"/>
                    <w:tr2bl w:val="nil"/>
                  </w:tcBorders>
                  <w:vAlign w:val="center"/>
                </w:tcPr>
                <w:p w14:paraId="731BB360">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300t</w:t>
                  </w:r>
                </w:p>
              </w:tc>
              <w:tc>
                <w:tcPr>
                  <w:tcW w:w="677" w:type="pct"/>
                  <w:tcBorders>
                    <w:tl2br w:val="nil"/>
                    <w:tr2bl w:val="nil"/>
                  </w:tcBorders>
                  <w:vAlign w:val="center"/>
                </w:tcPr>
                <w:p w14:paraId="2856BE3E">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w:t>
                  </w:r>
                </w:p>
              </w:tc>
              <w:tc>
                <w:tcPr>
                  <w:tcW w:w="843" w:type="pct"/>
                  <w:tcBorders>
                    <w:tl2br w:val="nil"/>
                    <w:tr2bl w:val="nil"/>
                  </w:tcBorders>
                  <w:vAlign w:val="center"/>
                </w:tcPr>
                <w:p w14:paraId="7F328934">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8~9</w:t>
                  </w:r>
                </w:p>
              </w:tc>
              <w:tc>
                <w:tcPr>
                  <w:tcW w:w="890" w:type="pct"/>
                  <w:tcBorders>
                    <w:tl2br w:val="nil"/>
                    <w:tr2bl w:val="nil"/>
                  </w:tcBorders>
                  <w:vAlign w:val="center"/>
                </w:tcPr>
                <w:p w14:paraId="72D6052F">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5010</w:t>
                  </w:r>
                </w:p>
              </w:tc>
              <w:tc>
                <w:tcPr>
                  <w:tcW w:w="1469" w:type="dxa"/>
                  <w:tcBorders>
                    <w:tl2br w:val="nil"/>
                    <w:tr2bl w:val="nil"/>
                  </w:tcBorders>
                  <w:vAlign w:val="center"/>
                </w:tcPr>
                <w:p w14:paraId="6ED8C4D1">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12.024</w:t>
                  </w:r>
                </w:p>
              </w:tc>
              <w:tc>
                <w:tcPr>
                  <w:tcW w:w="1437" w:type="dxa"/>
                  <w:tcBorders>
                    <w:tl2br w:val="nil"/>
                    <w:tr2bl w:val="nil"/>
                  </w:tcBorders>
                  <w:vAlign w:val="center"/>
                </w:tcPr>
                <w:p w14:paraId="7E524C41">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13.527</w:t>
                  </w:r>
                </w:p>
              </w:tc>
            </w:tr>
            <w:tr w14:paraId="3DCE3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tcBorders>
                    <w:tl2br w:val="nil"/>
                    <w:tr2bl w:val="nil"/>
                  </w:tcBorders>
                  <w:vAlign w:val="center"/>
                </w:tcPr>
                <w:p w14:paraId="470802C9">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350t</w:t>
                  </w:r>
                </w:p>
              </w:tc>
              <w:tc>
                <w:tcPr>
                  <w:tcW w:w="677" w:type="pct"/>
                  <w:tcBorders>
                    <w:tl2br w:val="nil"/>
                    <w:tr2bl w:val="nil"/>
                  </w:tcBorders>
                  <w:vAlign w:val="center"/>
                </w:tcPr>
                <w:p w14:paraId="35289A3D">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w:t>
                  </w:r>
                </w:p>
              </w:tc>
              <w:tc>
                <w:tcPr>
                  <w:tcW w:w="843" w:type="pct"/>
                  <w:tcBorders>
                    <w:tl2br w:val="nil"/>
                    <w:tr2bl w:val="nil"/>
                  </w:tcBorders>
                  <w:vAlign w:val="center"/>
                </w:tcPr>
                <w:p w14:paraId="0B5A355F">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10~12</w:t>
                  </w:r>
                </w:p>
              </w:tc>
              <w:tc>
                <w:tcPr>
                  <w:tcW w:w="890" w:type="pct"/>
                  <w:tcBorders>
                    <w:tl2br w:val="nil"/>
                    <w:tr2bl w:val="nil"/>
                  </w:tcBorders>
                  <w:vAlign w:val="center"/>
                </w:tcPr>
                <w:p w14:paraId="59EE53B4">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3680</w:t>
                  </w:r>
                </w:p>
              </w:tc>
              <w:tc>
                <w:tcPr>
                  <w:tcW w:w="1469" w:type="dxa"/>
                  <w:tcBorders>
                    <w:tl2br w:val="nil"/>
                    <w:tr2bl w:val="nil"/>
                  </w:tcBorders>
                  <w:vAlign w:val="center"/>
                </w:tcPr>
                <w:p w14:paraId="3E280557">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3.68</w:t>
                  </w:r>
                </w:p>
              </w:tc>
              <w:tc>
                <w:tcPr>
                  <w:tcW w:w="1437" w:type="dxa"/>
                  <w:tcBorders>
                    <w:tl2br w:val="nil"/>
                    <w:tr2bl w:val="nil"/>
                  </w:tcBorders>
                  <w:vAlign w:val="center"/>
                </w:tcPr>
                <w:p w14:paraId="638678D1">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4.416</w:t>
                  </w:r>
                </w:p>
              </w:tc>
            </w:tr>
            <w:tr w14:paraId="5FF5B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tcBorders>
                    <w:tl2br w:val="nil"/>
                    <w:tr2bl w:val="nil"/>
                  </w:tcBorders>
                  <w:vAlign w:val="center"/>
                </w:tcPr>
                <w:p w14:paraId="600BA82F">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400t</w:t>
                  </w:r>
                </w:p>
              </w:tc>
              <w:tc>
                <w:tcPr>
                  <w:tcW w:w="677" w:type="pct"/>
                  <w:tcBorders>
                    <w:tl2br w:val="nil"/>
                    <w:tr2bl w:val="nil"/>
                  </w:tcBorders>
                  <w:vAlign w:val="center"/>
                </w:tcPr>
                <w:p w14:paraId="20B9A829">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w:t>
                  </w:r>
                </w:p>
              </w:tc>
              <w:tc>
                <w:tcPr>
                  <w:tcW w:w="843" w:type="pct"/>
                  <w:tcBorders>
                    <w:tl2br w:val="nil"/>
                    <w:tr2bl w:val="nil"/>
                  </w:tcBorders>
                  <w:vAlign w:val="center"/>
                </w:tcPr>
                <w:p w14:paraId="2C558F17">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10~13</w:t>
                  </w:r>
                </w:p>
              </w:tc>
              <w:tc>
                <w:tcPr>
                  <w:tcW w:w="890" w:type="pct"/>
                  <w:tcBorders>
                    <w:tl2br w:val="nil"/>
                    <w:tr2bl w:val="nil"/>
                  </w:tcBorders>
                  <w:vAlign w:val="center"/>
                </w:tcPr>
                <w:p w14:paraId="313E96E1">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3680</w:t>
                  </w:r>
                </w:p>
              </w:tc>
              <w:tc>
                <w:tcPr>
                  <w:tcW w:w="1469" w:type="dxa"/>
                  <w:tcBorders>
                    <w:tl2br w:val="nil"/>
                    <w:tr2bl w:val="nil"/>
                  </w:tcBorders>
                  <w:vAlign w:val="center"/>
                </w:tcPr>
                <w:p w14:paraId="32734DE9">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7.36</w:t>
                  </w:r>
                </w:p>
              </w:tc>
              <w:tc>
                <w:tcPr>
                  <w:tcW w:w="1437" w:type="dxa"/>
                  <w:tcBorders>
                    <w:tl2br w:val="nil"/>
                    <w:tr2bl w:val="nil"/>
                  </w:tcBorders>
                  <w:vAlign w:val="center"/>
                </w:tcPr>
                <w:p w14:paraId="118DEC45">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9.568</w:t>
                  </w:r>
                </w:p>
              </w:tc>
            </w:tr>
            <w:tr w14:paraId="6DFB6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tcBorders>
                    <w:tl2br w:val="nil"/>
                    <w:tr2bl w:val="nil"/>
                  </w:tcBorders>
                  <w:vAlign w:val="center"/>
                </w:tcPr>
                <w:p w14:paraId="2DFAA12D">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500t</w:t>
                  </w:r>
                </w:p>
              </w:tc>
              <w:tc>
                <w:tcPr>
                  <w:tcW w:w="677" w:type="pct"/>
                  <w:tcBorders>
                    <w:tl2br w:val="nil"/>
                    <w:tr2bl w:val="nil"/>
                  </w:tcBorders>
                  <w:vAlign w:val="center"/>
                </w:tcPr>
                <w:p w14:paraId="0DD7C610">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w:t>
                  </w:r>
                </w:p>
              </w:tc>
              <w:tc>
                <w:tcPr>
                  <w:tcW w:w="843" w:type="pct"/>
                  <w:tcBorders>
                    <w:tl2br w:val="nil"/>
                    <w:tr2bl w:val="nil"/>
                  </w:tcBorders>
                  <w:vAlign w:val="center"/>
                </w:tcPr>
                <w:p w14:paraId="470385EF">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10~13</w:t>
                  </w:r>
                </w:p>
              </w:tc>
              <w:tc>
                <w:tcPr>
                  <w:tcW w:w="890" w:type="pct"/>
                  <w:tcBorders>
                    <w:tl2br w:val="nil"/>
                    <w:tr2bl w:val="nil"/>
                  </w:tcBorders>
                  <w:vAlign w:val="center"/>
                </w:tcPr>
                <w:p w14:paraId="6EA59AA5">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1920</w:t>
                  </w:r>
                </w:p>
              </w:tc>
              <w:tc>
                <w:tcPr>
                  <w:tcW w:w="1469" w:type="dxa"/>
                  <w:tcBorders>
                    <w:tl2br w:val="nil"/>
                    <w:tr2bl w:val="nil"/>
                  </w:tcBorders>
                  <w:vAlign w:val="center"/>
                </w:tcPr>
                <w:p w14:paraId="259065FE">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1.92</w:t>
                  </w:r>
                </w:p>
              </w:tc>
              <w:tc>
                <w:tcPr>
                  <w:tcW w:w="1437" w:type="dxa"/>
                  <w:tcBorders>
                    <w:tl2br w:val="nil"/>
                    <w:tr2bl w:val="nil"/>
                  </w:tcBorders>
                  <w:vAlign w:val="center"/>
                </w:tcPr>
                <w:p w14:paraId="52E4F063">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2.496</w:t>
                  </w:r>
                </w:p>
              </w:tc>
            </w:tr>
            <w:tr w14:paraId="3C79B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tcBorders>
                    <w:tl2br w:val="nil"/>
                    <w:tr2bl w:val="nil"/>
                  </w:tcBorders>
                  <w:vAlign w:val="center"/>
                </w:tcPr>
                <w:p w14:paraId="7F971618">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750t</w:t>
                  </w:r>
                </w:p>
              </w:tc>
              <w:tc>
                <w:tcPr>
                  <w:tcW w:w="677" w:type="pct"/>
                  <w:tcBorders>
                    <w:tl2br w:val="nil"/>
                    <w:tr2bl w:val="nil"/>
                  </w:tcBorders>
                  <w:vAlign w:val="center"/>
                </w:tcPr>
                <w:p w14:paraId="23327480">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w:t>
                  </w:r>
                </w:p>
              </w:tc>
              <w:tc>
                <w:tcPr>
                  <w:tcW w:w="843" w:type="pct"/>
                  <w:tcBorders>
                    <w:tl2br w:val="nil"/>
                    <w:tr2bl w:val="nil"/>
                  </w:tcBorders>
                  <w:vAlign w:val="center"/>
                </w:tcPr>
                <w:p w14:paraId="18D14CD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20~24</w:t>
                  </w:r>
                </w:p>
              </w:tc>
              <w:tc>
                <w:tcPr>
                  <w:tcW w:w="890" w:type="pct"/>
                  <w:tcBorders>
                    <w:tl2br w:val="nil"/>
                    <w:tr2bl w:val="nil"/>
                  </w:tcBorders>
                  <w:vAlign w:val="center"/>
                </w:tcPr>
                <w:p w14:paraId="01EB7862">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1920</w:t>
                  </w:r>
                </w:p>
              </w:tc>
              <w:tc>
                <w:tcPr>
                  <w:tcW w:w="1469" w:type="dxa"/>
                  <w:tcBorders>
                    <w:tl2br w:val="nil"/>
                    <w:tr2bl w:val="nil"/>
                  </w:tcBorders>
                  <w:vAlign w:val="center"/>
                </w:tcPr>
                <w:p w14:paraId="1D896367">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3.84</w:t>
                  </w:r>
                </w:p>
              </w:tc>
              <w:tc>
                <w:tcPr>
                  <w:tcW w:w="1437" w:type="dxa"/>
                  <w:tcBorders>
                    <w:tl2br w:val="nil"/>
                    <w:tr2bl w:val="nil"/>
                  </w:tcBorders>
                  <w:vAlign w:val="center"/>
                </w:tcPr>
                <w:p w14:paraId="0B93F29A">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4.608</w:t>
                  </w:r>
                </w:p>
              </w:tc>
            </w:tr>
            <w:tr w14:paraId="48CDD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42" w:type="pct"/>
                  <w:gridSpan w:val="4"/>
                  <w:tcBorders>
                    <w:tl2br w:val="nil"/>
                    <w:tr2bl w:val="nil"/>
                  </w:tcBorders>
                  <w:vAlign w:val="center"/>
                </w:tcPr>
                <w:p w14:paraId="73ADD260">
                  <w:pPr>
                    <w:keepNext w:val="0"/>
                    <w:keepLines w:val="0"/>
                    <w:widowControl/>
                    <w:suppressLineNumbers w:val="0"/>
                    <w:spacing w:line="240" w:lineRule="auto"/>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合计</w:t>
                  </w:r>
                </w:p>
              </w:tc>
              <w:tc>
                <w:tcPr>
                  <w:tcW w:w="1469" w:type="dxa"/>
                  <w:tcBorders>
                    <w:tl2br w:val="nil"/>
                    <w:tr2bl w:val="nil"/>
                  </w:tcBorders>
                  <w:vAlign w:val="center"/>
                </w:tcPr>
                <w:p w14:paraId="4363A31B">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36.84</w:t>
                  </w:r>
                </w:p>
              </w:tc>
              <w:tc>
                <w:tcPr>
                  <w:tcW w:w="1437" w:type="dxa"/>
                  <w:tcBorders>
                    <w:tl2br w:val="nil"/>
                    <w:tr2bl w:val="nil"/>
                  </w:tcBorders>
                  <w:vAlign w:val="center"/>
                </w:tcPr>
                <w:p w14:paraId="5A3D8A01">
                  <w:pPr>
                    <w:keepNext w:val="0"/>
                    <w:keepLines w:val="0"/>
                    <w:widowControl/>
                    <w:suppressLineNumbers w:val="0"/>
                    <w:spacing w:line="240" w:lineRule="auto"/>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i w:val="0"/>
                      <w:iCs w:val="0"/>
                      <w:color w:val="000000"/>
                      <w:kern w:val="0"/>
                      <w:sz w:val="21"/>
                      <w:szCs w:val="21"/>
                      <w:u w:val="none"/>
                      <w:lang w:val="en-US" w:eastAsia="zh-CN" w:bidi="ar"/>
                    </w:rPr>
                    <w:t>43.633</w:t>
                  </w:r>
                </w:p>
              </w:tc>
            </w:tr>
          </w:tbl>
          <w:p w14:paraId="52EE71FC">
            <w:pPr>
              <w:pStyle w:val="2"/>
              <w:widowControl w:val="0"/>
              <w:snapToGrid/>
              <w:spacing w:before="0" w:after="0" w:line="480" w:lineRule="exact"/>
              <w:ind w:right="0" w:firstLine="480" w:firstLineChars="200"/>
              <w:rPr>
                <w:rFonts w:hint="eastAsia"/>
                <w:sz w:val="24"/>
                <w:vertAlign w:val="baseline"/>
                <w:lang w:val="en-US" w:eastAsia="zh-CN"/>
              </w:rPr>
            </w:pPr>
            <w:r>
              <w:rPr>
                <w:rFonts w:hint="eastAsia"/>
                <w:sz w:val="24"/>
                <w:lang w:val="en-US" w:eastAsia="zh-CN"/>
              </w:rPr>
              <w:t>根据上表可知，本项目天然气年用量在36.84~43.633万m</w:t>
            </w:r>
            <w:r>
              <w:rPr>
                <w:rFonts w:hint="eastAsia"/>
                <w:sz w:val="24"/>
                <w:vertAlign w:val="superscript"/>
                <w:lang w:val="en-US" w:eastAsia="zh-CN"/>
              </w:rPr>
              <w:t>3</w:t>
            </w:r>
            <w:r>
              <w:rPr>
                <w:rFonts w:hint="eastAsia"/>
                <w:sz w:val="24"/>
                <w:lang w:val="en-US" w:eastAsia="zh-CN"/>
              </w:rPr>
              <w:t>，本项目天然气年用量取40万m</w:t>
            </w:r>
            <w:r>
              <w:rPr>
                <w:rFonts w:hint="eastAsia"/>
                <w:sz w:val="24"/>
                <w:vertAlign w:val="superscript"/>
                <w:lang w:val="en-US" w:eastAsia="zh-CN"/>
              </w:rPr>
              <w:t>3</w:t>
            </w:r>
            <w:r>
              <w:rPr>
                <w:rFonts w:hint="eastAsia"/>
                <w:sz w:val="24"/>
                <w:vertAlign w:val="baseline"/>
                <w:lang w:val="en-US" w:eastAsia="zh-CN"/>
              </w:rPr>
              <w:t>合理。</w:t>
            </w:r>
          </w:p>
          <w:p w14:paraId="46E472FF">
            <w:pPr>
              <w:pStyle w:val="3"/>
              <w:widowControl w:val="0"/>
              <w:numPr>
                <w:ilvl w:val="0"/>
                <w:numId w:val="0"/>
              </w:numPr>
              <w:spacing w:line="360" w:lineRule="auto"/>
              <w:jc w:val="both"/>
              <w:rPr>
                <w:rFonts w:hint="eastAsia"/>
                <w:sz w:val="24"/>
                <w:vertAlign w:val="baseline"/>
                <w:lang w:val="en-US" w:eastAsia="zh-CN"/>
              </w:rPr>
            </w:pPr>
          </w:p>
          <w:p w14:paraId="2993DF4E">
            <w:pPr>
              <w:pStyle w:val="3"/>
              <w:widowControl w:val="0"/>
              <w:numPr>
                <w:ilvl w:val="0"/>
                <w:numId w:val="0"/>
              </w:numPr>
              <w:spacing w:line="360" w:lineRule="auto"/>
              <w:jc w:val="both"/>
              <w:rPr>
                <w:rFonts w:hint="eastAsia"/>
                <w:sz w:val="24"/>
                <w:vertAlign w:val="baseline"/>
                <w:lang w:val="en-US" w:eastAsia="zh-CN"/>
              </w:rPr>
            </w:pPr>
          </w:p>
          <w:p w14:paraId="7A5839BC">
            <w:pPr>
              <w:pStyle w:val="3"/>
              <w:widowControl w:val="0"/>
              <w:numPr>
                <w:ilvl w:val="0"/>
                <w:numId w:val="0"/>
              </w:numPr>
              <w:spacing w:line="360" w:lineRule="auto"/>
              <w:jc w:val="both"/>
              <w:rPr>
                <w:rFonts w:hint="eastAsia"/>
                <w:sz w:val="24"/>
                <w:vertAlign w:val="baseline"/>
                <w:lang w:val="en-US" w:eastAsia="zh-CN"/>
              </w:rPr>
            </w:pPr>
          </w:p>
          <w:p w14:paraId="1ABC1BD5">
            <w:pPr>
              <w:pStyle w:val="3"/>
              <w:widowControl w:val="0"/>
              <w:numPr>
                <w:ilvl w:val="0"/>
                <w:numId w:val="0"/>
              </w:numPr>
              <w:spacing w:line="360" w:lineRule="auto"/>
              <w:jc w:val="both"/>
              <w:rPr>
                <w:rFonts w:hint="eastAsia"/>
                <w:sz w:val="24"/>
                <w:vertAlign w:val="baseline"/>
                <w:lang w:val="en-US" w:eastAsia="zh-CN"/>
              </w:rPr>
            </w:pPr>
          </w:p>
          <w:p w14:paraId="3C7656CC">
            <w:pPr>
              <w:pStyle w:val="3"/>
              <w:widowControl w:val="0"/>
              <w:numPr>
                <w:ilvl w:val="0"/>
                <w:numId w:val="0"/>
              </w:numPr>
              <w:spacing w:line="360" w:lineRule="auto"/>
              <w:jc w:val="both"/>
              <w:rPr>
                <w:rFonts w:hint="eastAsia"/>
                <w:sz w:val="24"/>
                <w:vertAlign w:val="baseline"/>
                <w:lang w:val="en-US" w:eastAsia="zh-CN"/>
              </w:rPr>
            </w:pPr>
          </w:p>
          <w:p w14:paraId="35341D54">
            <w:pPr>
              <w:pStyle w:val="3"/>
              <w:widowControl w:val="0"/>
              <w:numPr>
                <w:ilvl w:val="0"/>
                <w:numId w:val="0"/>
              </w:numPr>
              <w:spacing w:line="360" w:lineRule="auto"/>
              <w:jc w:val="both"/>
              <w:rPr>
                <w:rFonts w:hint="default"/>
                <w:sz w:val="24"/>
                <w:vertAlign w:val="baseline"/>
                <w:lang w:val="en-US" w:eastAsia="zh-CN"/>
              </w:rPr>
            </w:pPr>
          </w:p>
          <w:p w14:paraId="0AD5CDF1">
            <w:pPr>
              <w:pStyle w:val="2"/>
              <w:widowControl w:val="0"/>
              <w:numPr>
                <w:ilvl w:val="0"/>
                <w:numId w:val="12"/>
              </w:numPr>
              <w:snapToGrid/>
              <w:spacing w:before="0" w:after="0" w:line="480" w:lineRule="exact"/>
              <w:ind w:right="0" w:firstLine="482" w:firstLineChars="200"/>
              <w:rPr>
                <w:rFonts w:hint="eastAsia"/>
                <w:b/>
                <w:bCs/>
                <w:kern w:val="2"/>
                <w:sz w:val="24"/>
                <w:szCs w:val="24"/>
                <w:highlight w:val="none"/>
                <w:lang w:val="en-US" w:eastAsia="zh-CN"/>
              </w:rPr>
            </w:pPr>
            <w:r>
              <w:rPr>
                <w:rFonts w:hint="eastAsia"/>
                <w:b/>
                <w:bCs/>
                <w:kern w:val="2"/>
                <w:sz w:val="24"/>
                <w:szCs w:val="24"/>
                <w:highlight w:val="none"/>
                <w:lang w:val="en-US" w:eastAsia="zh-CN"/>
              </w:rPr>
              <w:t>水平衡</w:t>
            </w:r>
          </w:p>
          <w:p w14:paraId="3C5387BD">
            <w:pPr>
              <w:pStyle w:val="2"/>
              <w:widowControl w:val="0"/>
              <w:snapToGrid/>
              <w:spacing w:before="0" w:after="0" w:line="480" w:lineRule="exact"/>
              <w:ind w:right="0" w:firstLine="480" w:firstLineChars="200"/>
              <w:rPr>
                <w:rFonts w:hint="eastAsia"/>
                <w:sz w:val="24"/>
                <w:lang w:val="en-US" w:eastAsia="zh-CN"/>
              </w:rPr>
            </w:pPr>
            <w:r>
              <w:rPr>
                <w:rFonts w:hint="eastAsia"/>
                <w:sz w:val="24"/>
                <w:lang w:val="en-US" w:eastAsia="zh-CN"/>
              </w:rPr>
              <w:t>本项目水平衡见图2-1。</w:t>
            </w:r>
          </w:p>
          <w:p w14:paraId="3A25B477">
            <w:pPr>
              <w:pStyle w:val="3"/>
              <w:widowControl w:val="0"/>
              <w:numPr>
                <w:ilvl w:val="0"/>
                <w:numId w:val="0"/>
              </w:numPr>
              <w:spacing w:line="360" w:lineRule="auto"/>
              <w:jc w:val="center"/>
              <w:rPr>
                <w:rFonts w:hint="default"/>
                <w:lang w:val="en-US" w:eastAsia="zh-CN"/>
              </w:rPr>
            </w:pPr>
            <w:r>
              <w:rPr>
                <w:rFonts w:hint="default"/>
                <w:lang w:val="en-US" w:eastAsia="zh-CN"/>
              </w:rPr>
              <w:drawing>
                <wp:inline distT="0" distB="0" distL="114300" distR="114300">
                  <wp:extent cx="3964305" cy="3100070"/>
                  <wp:effectExtent l="0" t="0" r="0" b="0"/>
                  <wp:docPr id="4" name="ECB019B1-382A-4266-B25C-5B523AA43C14-1" descr="C:/Users/Administrator/AppData/Local/Temp/wps.ZaFFA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ZaFFAJwps"/>
                          <pic:cNvPicPr>
                            <a:picLocks noChangeAspect="1"/>
                          </pic:cNvPicPr>
                        </pic:nvPicPr>
                        <pic:blipFill>
                          <a:blip r:embed="rId14"/>
                          <a:srcRect l="6041" t="3486" r="1797" b="2259"/>
                          <a:stretch>
                            <a:fillRect/>
                          </a:stretch>
                        </pic:blipFill>
                        <pic:spPr>
                          <a:xfrm>
                            <a:off x="0" y="0"/>
                            <a:ext cx="3964305" cy="3100070"/>
                          </a:xfrm>
                          <a:prstGeom prst="rect">
                            <a:avLst/>
                          </a:prstGeom>
                        </pic:spPr>
                      </pic:pic>
                    </a:graphicData>
                  </a:graphic>
                </wp:inline>
              </w:drawing>
            </w:r>
          </w:p>
          <w:p w14:paraId="219D86A6">
            <w:pPr>
              <w:spacing w:line="240" w:lineRule="auto"/>
              <w:jc w:val="center"/>
              <w:rPr>
                <w:rFonts w:hint="default"/>
                <w:b/>
                <w:bCs/>
                <w:sz w:val="21"/>
                <w:szCs w:val="21"/>
                <w:lang w:val="en-US" w:eastAsia="zh-CN"/>
              </w:rPr>
            </w:pPr>
            <w:r>
              <w:rPr>
                <w:rFonts w:hint="eastAsia"/>
                <w:b/>
                <w:bCs/>
                <w:sz w:val="21"/>
                <w:szCs w:val="21"/>
                <w:lang w:val="en-US" w:eastAsia="zh-CN"/>
              </w:rPr>
              <w:t>图2-1  本项目水平衡图（单位：m</w:t>
            </w:r>
            <w:r>
              <w:rPr>
                <w:rFonts w:hint="eastAsia"/>
                <w:b/>
                <w:bCs/>
                <w:sz w:val="21"/>
                <w:szCs w:val="21"/>
                <w:vertAlign w:val="superscript"/>
                <w:lang w:val="en-US" w:eastAsia="zh-CN"/>
              </w:rPr>
              <w:t>3</w:t>
            </w:r>
            <w:r>
              <w:rPr>
                <w:rFonts w:hint="eastAsia"/>
                <w:b/>
                <w:bCs/>
                <w:sz w:val="21"/>
                <w:szCs w:val="21"/>
                <w:lang w:val="en-US" w:eastAsia="zh-CN"/>
              </w:rPr>
              <w:t>）</w:t>
            </w:r>
          </w:p>
          <w:p w14:paraId="19F9D22A">
            <w:pPr>
              <w:pStyle w:val="2"/>
              <w:widowControl w:val="0"/>
              <w:snapToGrid/>
              <w:spacing w:before="0" w:after="0" w:line="480" w:lineRule="exact"/>
              <w:ind w:right="0" w:firstLine="482" w:firstLineChars="200"/>
              <w:rPr>
                <w:b/>
                <w:bCs/>
                <w:kern w:val="2"/>
                <w:sz w:val="24"/>
                <w:szCs w:val="24"/>
                <w:highlight w:val="none"/>
              </w:rPr>
            </w:pPr>
            <w:r>
              <w:rPr>
                <w:rFonts w:hint="eastAsia"/>
                <w:b/>
                <w:bCs/>
                <w:kern w:val="2"/>
                <w:sz w:val="24"/>
                <w:szCs w:val="24"/>
                <w:highlight w:val="none"/>
                <w:lang w:val="en-US" w:eastAsia="zh-CN"/>
              </w:rPr>
              <w:t>10、</w:t>
            </w:r>
            <w:r>
              <w:rPr>
                <w:b/>
                <w:bCs/>
                <w:kern w:val="2"/>
                <w:sz w:val="24"/>
                <w:szCs w:val="24"/>
                <w:highlight w:val="none"/>
              </w:rPr>
              <w:t>平面布局</w:t>
            </w:r>
          </w:p>
          <w:p w14:paraId="16CE001E">
            <w:pPr>
              <w:pStyle w:val="2"/>
              <w:widowControl w:val="0"/>
              <w:snapToGrid/>
              <w:spacing w:before="0" w:after="0" w:line="480" w:lineRule="exact"/>
              <w:ind w:right="0" w:firstLine="480" w:firstLineChars="200"/>
              <w:rPr>
                <w:kern w:val="2"/>
                <w:sz w:val="24"/>
                <w:szCs w:val="24"/>
              </w:rPr>
            </w:pPr>
            <w:r>
              <w:rPr>
                <w:sz w:val="24"/>
              </w:rPr>
              <w:t>本项目位于</w:t>
            </w:r>
            <w:r>
              <w:rPr>
                <w:rFonts w:hint="eastAsia"/>
                <w:sz w:val="24"/>
                <w:lang w:eastAsia="zh-CN"/>
              </w:rPr>
              <w:t>常州经济开发区横山桥镇新安村委新芙路78号</w:t>
            </w:r>
            <w:r>
              <w:rPr>
                <w:sz w:val="24"/>
              </w:rPr>
              <w:t>，</w:t>
            </w:r>
            <w:r>
              <w:rPr>
                <w:rFonts w:hint="eastAsia"/>
                <w:sz w:val="24"/>
                <w:lang w:val="en-US" w:eastAsia="zh-CN"/>
              </w:rPr>
              <w:t>本项目</w:t>
            </w:r>
            <w:r>
              <w:rPr>
                <w:sz w:val="24"/>
              </w:rPr>
              <w:t>建筑主要包括</w:t>
            </w:r>
            <w:r>
              <w:rPr>
                <w:rFonts w:hint="eastAsia"/>
                <w:sz w:val="24"/>
                <w:lang w:val="en-US" w:eastAsia="zh-CN"/>
              </w:rPr>
              <w:t>生产车间和办公楼</w:t>
            </w:r>
            <w:r>
              <w:rPr>
                <w:sz w:val="24"/>
              </w:rPr>
              <w:t>。</w:t>
            </w:r>
            <w:r>
              <w:rPr>
                <w:rFonts w:hint="eastAsia"/>
                <w:sz w:val="24"/>
                <w:lang w:val="en-US" w:eastAsia="zh-CN"/>
              </w:rPr>
              <w:t>铸造区位于车间西侧，机加工区位于车间东侧，原料堆场位于车间西北侧，成品堆场位于车间东南侧，</w:t>
            </w:r>
            <w:r>
              <w:rPr>
                <w:rFonts w:hint="default" w:ascii="Times New Roman" w:hAnsi="Times New Roman" w:eastAsia="仿宋" w:cs="Times New Roman"/>
                <w:color w:val="auto"/>
                <w:spacing w:val="-2"/>
                <w:sz w:val="24"/>
                <w:szCs w:val="24"/>
                <w:highlight w:val="none"/>
                <w:lang w:val="en-US" w:eastAsia="zh-CN"/>
              </w:rPr>
              <w:t>车间建筑物整体布置满足生产管理需要</w:t>
            </w:r>
            <w:r>
              <w:rPr>
                <w:rFonts w:hint="eastAsia" w:cs="Times New Roman"/>
                <w:color w:val="auto"/>
                <w:spacing w:val="-2"/>
                <w:sz w:val="24"/>
                <w:szCs w:val="24"/>
                <w:highlight w:val="none"/>
                <w:lang w:val="en-US" w:eastAsia="zh-CN"/>
              </w:rPr>
              <w:t>。车间</w:t>
            </w:r>
            <w:r>
              <w:rPr>
                <w:kern w:val="2"/>
                <w:sz w:val="24"/>
                <w:szCs w:val="24"/>
              </w:rPr>
              <w:t>平面布置图见附图</w:t>
            </w:r>
            <w:r>
              <w:rPr>
                <w:rFonts w:hint="eastAsia"/>
                <w:kern w:val="2"/>
                <w:sz w:val="24"/>
                <w:szCs w:val="24"/>
                <w:lang w:val="en-US" w:eastAsia="zh-CN"/>
              </w:rPr>
              <w:t>4</w:t>
            </w:r>
            <w:r>
              <w:rPr>
                <w:kern w:val="2"/>
                <w:sz w:val="24"/>
                <w:szCs w:val="24"/>
              </w:rPr>
              <w:t>。</w:t>
            </w:r>
          </w:p>
          <w:p w14:paraId="1C9FEF2B">
            <w:pPr>
              <w:pStyle w:val="3"/>
              <w:widowControl w:val="0"/>
              <w:numPr>
                <w:ilvl w:val="0"/>
                <w:numId w:val="0"/>
              </w:numPr>
              <w:spacing w:line="360" w:lineRule="auto"/>
              <w:jc w:val="both"/>
              <w:rPr>
                <w:kern w:val="2"/>
                <w:sz w:val="24"/>
                <w:szCs w:val="24"/>
              </w:rPr>
            </w:pPr>
          </w:p>
          <w:p w14:paraId="39AA0E36">
            <w:pPr>
              <w:pStyle w:val="3"/>
              <w:widowControl w:val="0"/>
              <w:numPr>
                <w:ilvl w:val="0"/>
                <w:numId w:val="0"/>
              </w:numPr>
              <w:spacing w:line="360" w:lineRule="auto"/>
              <w:jc w:val="both"/>
              <w:rPr>
                <w:kern w:val="2"/>
                <w:sz w:val="24"/>
                <w:szCs w:val="24"/>
              </w:rPr>
            </w:pPr>
          </w:p>
          <w:p w14:paraId="62E0DD63">
            <w:pPr>
              <w:pStyle w:val="3"/>
              <w:widowControl w:val="0"/>
              <w:numPr>
                <w:ilvl w:val="0"/>
                <w:numId w:val="0"/>
              </w:numPr>
              <w:spacing w:line="360" w:lineRule="auto"/>
              <w:jc w:val="both"/>
              <w:rPr>
                <w:kern w:val="2"/>
                <w:sz w:val="24"/>
                <w:szCs w:val="24"/>
              </w:rPr>
            </w:pPr>
          </w:p>
          <w:p w14:paraId="1D312E72">
            <w:pPr>
              <w:pStyle w:val="3"/>
              <w:widowControl w:val="0"/>
              <w:numPr>
                <w:ilvl w:val="0"/>
                <w:numId w:val="0"/>
              </w:numPr>
              <w:spacing w:line="360" w:lineRule="auto"/>
              <w:jc w:val="both"/>
              <w:rPr>
                <w:kern w:val="2"/>
                <w:sz w:val="24"/>
                <w:szCs w:val="24"/>
              </w:rPr>
            </w:pPr>
          </w:p>
          <w:p w14:paraId="0ADC9A6C">
            <w:pPr>
              <w:pStyle w:val="3"/>
              <w:widowControl w:val="0"/>
              <w:numPr>
                <w:ilvl w:val="0"/>
                <w:numId w:val="0"/>
              </w:numPr>
              <w:spacing w:line="360" w:lineRule="auto"/>
              <w:jc w:val="both"/>
              <w:rPr>
                <w:kern w:val="2"/>
                <w:sz w:val="24"/>
                <w:szCs w:val="24"/>
              </w:rPr>
            </w:pPr>
          </w:p>
          <w:p w14:paraId="109D207C">
            <w:pPr>
              <w:pStyle w:val="3"/>
              <w:widowControl w:val="0"/>
              <w:numPr>
                <w:ilvl w:val="0"/>
                <w:numId w:val="0"/>
              </w:numPr>
              <w:spacing w:line="360" w:lineRule="auto"/>
              <w:jc w:val="both"/>
              <w:rPr>
                <w:kern w:val="2"/>
                <w:sz w:val="24"/>
                <w:szCs w:val="24"/>
              </w:rPr>
            </w:pPr>
          </w:p>
          <w:p w14:paraId="17A278D7">
            <w:pPr>
              <w:pStyle w:val="3"/>
              <w:widowControl w:val="0"/>
              <w:numPr>
                <w:ilvl w:val="0"/>
                <w:numId w:val="0"/>
              </w:numPr>
              <w:spacing w:line="360" w:lineRule="auto"/>
              <w:jc w:val="both"/>
              <w:rPr>
                <w:kern w:val="2"/>
                <w:sz w:val="24"/>
                <w:szCs w:val="24"/>
              </w:rPr>
            </w:pPr>
          </w:p>
          <w:p w14:paraId="6A503B56">
            <w:pPr>
              <w:pStyle w:val="3"/>
              <w:widowControl w:val="0"/>
              <w:numPr>
                <w:ilvl w:val="0"/>
                <w:numId w:val="0"/>
              </w:numPr>
              <w:spacing w:line="360" w:lineRule="auto"/>
              <w:jc w:val="both"/>
              <w:rPr>
                <w:kern w:val="2"/>
                <w:sz w:val="24"/>
                <w:szCs w:val="24"/>
              </w:rPr>
            </w:pPr>
          </w:p>
          <w:p w14:paraId="3746F1DC">
            <w:pPr>
              <w:pStyle w:val="3"/>
              <w:widowControl w:val="0"/>
              <w:numPr>
                <w:ilvl w:val="0"/>
                <w:numId w:val="0"/>
              </w:numPr>
              <w:spacing w:line="360" w:lineRule="auto"/>
              <w:jc w:val="both"/>
              <w:rPr>
                <w:kern w:val="2"/>
                <w:sz w:val="24"/>
                <w:szCs w:val="24"/>
              </w:rPr>
            </w:pPr>
          </w:p>
          <w:p w14:paraId="47644CF5">
            <w:pPr>
              <w:pStyle w:val="3"/>
              <w:widowControl w:val="0"/>
              <w:numPr>
                <w:ilvl w:val="0"/>
                <w:numId w:val="0"/>
              </w:numPr>
              <w:spacing w:line="360" w:lineRule="auto"/>
              <w:jc w:val="both"/>
              <w:rPr>
                <w:rFonts w:hint="eastAsia"/>
                <w:kern w:val="2"/>
                <w:sz w:val="24"/>
                <w:szCs w:val="24"/>
              </w:rPr>
            </w:pPr>
          </w:p>
        </w:tc>
      </w:tr>
      <w:tr w14:paraId="75517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38" w:hRule="atLeast"/>
          <w:jc w:val="center"/>
        </w:trPr>
        <w:tc>
          <w:tcPr>
            <w:tcW w:w="705" w:type="dxa"/>
            <w:vAlign w:val="center"/>
          </w:tcPr>
          <w:p w14:paraId="075B7E66">
            <w:pPr>
              <w:pStyle w:val="16"/>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工艺流程和产排污环节</w:t>
            </w:r>
          </w:p>
        </w:tc>
        <w:tc>
          <w:tcPr>
            <w:tcW w:w="8487" w:type="dxa"/>
          </w:tcPr>
          <w:p w14:paraId="2350E652">
            <w:pPr>
              <w:spacing w:line="450" w:lineRule="exact"/>
              <w:ind w:firstLine="480" w:firstLineChars="200"/>
              <w:rPr>
                <w:rFonts w:hint="default" w:ascii="Times New Roman" w:hAnsi="Times New Roman" w:eastAsia="仿宋" w:cs="Times New Roman"/>
              </w:rPr>
            </w:pPr>
            <w:r>
              <w:rPr>
                <w:rFonts w:hint="eastAsia" w:cs="Times New Roman"/>
                <w:lang w:eastAsia="zh-CN"/>
              </w:rPr>
              <w:t>常州润峰电机配件有限公司</w:t>
            </w:r>
            <w:r>
              <w:rPr>
                <w:rFonts w:hint="default" w:ascii="Times New Roman" w:hAnsi="Times New Roman" w:eastAsia="仿宋" w:cs="Times New Roman"/>
              </w:rPr>
              <w:t>产品为</w:t>
            </w:r>
            <w:r>
              <w:rPr>
                <w:rFonts w:hint="eastAsia" w:cs="Times New Roman"/>
                <w:lang w:val="en-US" w:eastAsia="zh-CN"/>
              </w:rPr>
              <w:t>铝制零部件</w:t>
            </w:r>
            <w:r>
              <w:rPr>
                <w:rFonts w:hint="default" w:ascii="Times New Roman" w:hAnsi="Times New Roman" w:eastAsia="仿宋" w:cs="Times New Roman"/>
                <w:lang w:val="en-US" w:eastAsia="zh-CN"/>
              </w:rPr>
              <w:t>（</w:t>
            </w:r>
            <w:r>
              <w:rPr>
                <w:rFonts w:hint="eastAsia" w:cs="Times New Roman"/>
                <w:sz w:val="24"/>
                <w:szCs w:val="24"/>
                <w:lang w:val="en-US" w:eastAsia="zh-CN"/>
              </w:rPr>
              <w:t>电机配件、新能源汽车配件、医疗器械配件、石化设备配件</w:t>
            </w:r>
            <w:r>
              <w:rPr>
                <w:rFonts w:hint="default" w:ascii="Times New Roman" w:hAnsi="Times New Roman" w:eastAsia="仿宋" w:cs="Times New Roman"/>
                <w:lang w:val="en-US" w:eastAsia="zh-CN"/>
              </w:rPr>
              <w:t>）</w:t>
            </w:r>
            <w:r>
              <w:rPr>
                <w:rFonts w:hint="default" w:ascii="Times New Roman" w:hAnsi="Times New Roman" w:eastAsia="仿宋" w:cs="Times New Roman"/>
              </w:rPr>
              <w:t>，</w:t>
            </w:r>
            <w:r>
              <w:rPr>
                <w:rFonts w:hint="eastAsia" w:cs="Times New Roman"/>
                <w:lang w:val="en-US" w:eastAsia="zh-CN"/>
              </w:rPr>
              <w:t>4</w:t>
            </w:r>
            <w:r>
              <w:rPr>
                <w:rFonts w:hint="default" w:ascii="Times New Roman" w:hAnsi="Times New Roman" w:eastAsia="仿宋" w:cs="Times New Roman"/>
                <w:lang w:val="en-US" w:eastAsia="zh-CN"/>
              </w:rPr>
              <w:t>种</w:t>
            </w:r>
            <w:r>
              <w:rPr>
                <w:rFonts w:hint="eastAsia" w:cs="Times New Roman"/>
                <w:lang w:val="en-US" w:eastAsia="zh-CN"/>
              </w:rPr>
              <w:t>铝制零部件</w:t>
            </w:r>
            <w:r>
              <w:rPr>
                <w:rFonts w:hint="default" w:ascii="Times New Roman" w:hAnsi="Times New Roman" w:eastAsia="仿宋" w:cs="Times New Roman"/>
                <w:lang w:val="en-US" w:eastAsia="zh-CN"/>
              </w:rPr>
              <w:t>生产工艺相同，</w:t>
            </w:r>
            <w:r>
              <w:rPr>
                <w:rFonts w:hint="default" w:ascii="Times New Roman" w:hAnsi="Times New Roman" w:eastAsia="仿宋" w:cs="Times New Roman"/>
              </w:rPr>
              <w:t>项目建成后形成</w:t>
            </w:r>
            <w:r>
              <w:rPr>
                <w:rFonts w:hint="default" w:ascii="Times New Roman" w:hAnsi="Times New Roman" w:eastAsia="仿宋" w:cs="Times New Roman"/>
                <w:sz w:val="24"/>
                <w:szCs w:val="24"/>
                <w:lang w:eastAsia="zh-CN"/>
              </w:rPr>
              <w:t>年产</w:t>
            </w:r>
            <w:r>
              <w:rPr>
                <w:rFonts w:hint="eastAsia" w:cs="Times New Roman"/>
                <w:lang w:val="en-US" w:eastAsia="zh-CN"/>
              </w:rPr>
              <w:t>铝制零部件</w:t>
            </w:r>
            <w:r>
              <w:rPr>
                <w:rFonts w:hint="eastAsia" w:cs="Times New Roman"/>
                <w:sz w:val="24"/>
                <w:szCs w:val="24"/>
                <w:lang w:val="en-US" w:eastAsia="zh-CN"/>
              </w:rPr>
              <w:t>1500万件</w:t>
            </w:r>
            <w:r>
              <w:rPr>
                <w:rFonts w:hint="default" w:ascii="Times New Roman" w:hAnsi="Times New Roman" w:eastAsia="仿宋" w:cs="Times New Roman"/>
              </w:rPr>
              <w:t>的生产能力。具体生产工艺如下：</w:t>
            </w:r>
          </w:p>
          <w:p w14:paraId="31EB7AFF">
            <w:pPr>
              <w:spacing w:line="240" w:lineRule="auto"/>
              <w:jc w:val="center"/>
            </w:pPr>
            <w:r>
              <w:drawing>
                <wp:inline distT="0" distB="0" distL="114300" distR="114300">
                  <wp:extent cx="3534410" cy="3288030"/>
                  <wp:effectExtent l="0" t="0" r="5715" b="0"/>
                  <wp:docPr id="7" name="ECB019B1-382A-4266-B25C-5B523AA43C14-3" descr="C:/Users/Administrator/AppData/Local/Temp/wps.wAcYP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3" descr="C:/Users/Administrator/AppData/Local/Temp/wps.wAcYPTwps"/>
                          <pic:cNvPicPr>
                            <a:picLocks noChangeAspect="1"/>
                          </pic:cNvPicPr>
                        </pic:nvPicPr>
                        <pic:blipFill>
                          <a:blip r:embed="rId15"/>
                          <a:srcRect l="2806" t="5015" r="3858" b="5039"/>
                          <a:stretch>
                            <a:fillRect/>
                          </a:stretch>
                        </pic:blipFill>
                        <pic:spPr>
                          <a:xfrm>
                            <a:off x="0" y="0"/>
                            <a:ext cx="3534410" cy="3288030"/>
                          </a:xfrm>
                          <a:prstGeom prst="rect">
                            <a:avLst/>
                          </a:prstGeom>
                        </pic:spPr>
                      </pic:pic>
                    </a:graphicData>
                  </a:graphic>
                </wp:inline>
              </w:drawing>
            </w:r>
          </w:p>
          <w:p w14:paraId="01D71C1F">
            <w:pPr>
              <w:spacing w:line="240" w:lineRule="auto"/>
              <w:jc w:val="center"/>
              <w:rPr>
                <w:b/>
                <w:bCs/>
                <w:sz w:val="21"/>
                <w:szCs w:val="21"/>
              </w:rPr>
            </w:pPr>
            <w:r>
              <w:rPr>
                <w:b/>
                <w:bCs/>
                <w:sz w:val="21"/>
                <w:szCs w:val="21"/>
              </w:rPr>
              <w:t>图2-</w:t>
            </w:r>
            <w:r>
              <w:rPr>
                <w:rFonts w:hint="eastAsia"/>
                <w:b/>
                <w:bCs/>
                <w:sz w:val="21"/>
                <w:szCs w:val="21"/>
                <w:lang w:val="en-US" w:eastAsia="zh-CN"/>
              </w:rPr>
              <w:t>2</w:t>
            </w:r>
            <w:r>
              <w:rPr>
                <w:b/>
                <w:bCs/>
                <w:sz w:val="21"/>
                <w:szCs w:val="21"/>
              </w:rPr>
              <w:t xml:space="preserve">  </w:t>
            </w:r>
            <w:r>
              <w:rPr>
                <w:rFonts w:hint="eastAsia"/>
                <w:b/>
                <w:bCs/>
                <w:sz w:val="21"/>
                <w:szCs w:val="21"/>
                <w:lang w:val="en-US" w:eastAsia="zh-CN"/>
              </w:rPr>
              <w:t>铝制零部件</w:t>
            </w:r>
            <w:r>
              <w:rPr>
                <w:b/>
                <w:bCs/>
                <w:sz w:val="21"/>
                <w:szCs w:val="21"/>
              </w:rPr>
              <w:t>生产工艺流程图</w:t>
            </w:r>
          </w:p>
          <w:p w14:paraId="71DC4DB3">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bCs/>
              </w:rPr>
            </w:pPr>
            <w:r>
              <w:rPr>
                <w:b/>
                <w:bCs/>
              </w:rPr>
              <w:t>工艺流程及产污环节说明：</w:t>
            </w:r>
          </w:p>
          <w:p w14:paraId="590EE808">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lang w:eastAsia="zh-CN"/>
              </w:rPr>
            </w:pPr>
            <w:r>
              <w:rPr>
                <w:rFonts w:hint="eastAsia"/>
                <w:b/>
                <w:bCs/>
                <w:lang w:eastAsia="zh-CN"/>
              </w:rPr>
              <w:t>熔化：</w:t>
            </w:r>
            <w:r>
              <w:rPr>
                <w:rFonts w:hint="eastAsia"/>
                <w:lang w:eastAsia="zh-CN"/>
              </w:rPr>
              <w:t>根据客户需求，将外购的成品铝合金锭、回用的边角料</w:t>
            </w:r>
            <w:r>
              <w:rPr>
                <w:rFonts w:hint="eastAsia"/>
                <w:lang w:val="en-US" w:eastAsia="zh-CN"/>
              </w:rPr>
              <w:t>和不合格品</w:t>
            </w:r>
            <w:r>
              <w:rPr>
                <w:rFonts w:hint="eastAsia"/>
                <w:lang w:eastAsia="zh-CN"/>
              </w:rPr>
              <w:t>人工投加至压铸机配套的熔化炉中进行加热熔化。熔化炉采用天然气加热，熔化区和全封闭保温区，可根据生产需求完成熔化和保温2个功能（熔化时设置温度约为700℃，完成熔化后自动进入保温状态，温度降至约650℃~680℃）。此工段产生G1天然气燃烧尾气、G2熔化烟气和S1炉渣。</w:t>
            </w:r>
          </w:p>
          <w:p w14:paraId="6C9A05C4">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lang w:eastAsia="zh-CN"/>
              </w:rPr>
            </w:pPr>
            <w:r>
              <w:rPr>
                <w:rFonts w:hint="eastAsia"/>
                <w:b/>
                <w:bCs/>
                <w:lang w:eastAsia="zh-CN"/>
              </w:rPr>
              <w:t>压铸：</w:t>
            </w:r>
            <w:r>
              <w:rPr>
                <w:rFonts w:hint="eastAsia"/>
                <w:lang w:eastAsia="zh-CN"/>
              </w:rPr>
              <w:t>在压铸前通过压铸机自带的伺服喷雾机对金属模具内部喷涂一层水性脱模剂，</w:t>
            </w:r>
            <w:r>
              <w:rPr>
                <w:rFonts w:hint="eastAsia"/>
                <w:lang w:val="en-US" w:eastAsia="zh-CN"/>
              </w:rPr>
              <w:t>将水与脱模剂按1:120比例进行调配，</w:t>
            </w:r>
            <w:r>
              <w:rPr>
                <w:rFonts w:hint="eastAsia"/>
                <w:lang w:eastAsia="zh-CN"/>
              </w:rPr>
              <w:t>通过机器臂将铝液从燃气熔化炉中舀至压铸机压射室，在液压系统作用下，铝液通过压铸机注入金属模具型腔内；</w:t>
            </w:r>
            <w:r>
              <w:rPr>
                <w:rFonts w:hint="eastAsia"/>
                <w:lang w:val="en-US" w:eastAsia="zh-CN"/>
              </w:rPr>
              <w:t>润滑颗粒在压缩空气推动下，经运油管道高速吹入旋涡下油器，颗粒在离心力作用下沿下油腔室内壁高速旋转，当压缩气体停止，颗粒在重力作用下落入压铸机料管与冲头接触。因压铸机压射料缸处于高温状态，润滑颗粒会汽化，从而在冲头和压射料缸内壁附着并形成均匀的润滑膜，降低冲头与压室之间的摩擦系数，减少摩擦力和能量损耗。</w:t>
            </w:r>
            <w:r>
              <w:rPr>
                <w:rFonts w:hint="eastAsia"/>
                <w:lang w:eastAsia="zh-CN"/>
              </w:rPr>
              <w:t>铝液通过冷却循环系统间接冷却成型后自然脱模，得到铸件粗坯。压铸机和模具利用自来水进行</w:t>
            </w:r>
            <w:r>
              <w:rPr>
                <w:rFonts w:hint="eastAsia"/>
                <w:lang w:val="en-US" w:eastAsia="zh-CN"/>
              </w:rPr>
              <w:t>间接</w:t>
            </w:r>
            <w:r>
              <w:rPr>
                <w:rFonts w:hint="eastAsia"/>
                <w:lang w:eastAsia="zh-CN"/>
              </w:rPr>
              <w:t>水冷却，冷却水循环使用，定期添加。该过程产生G3压铸废气</w:t>
            </w:r>
            <w:r>
              <w:rPr>
                <w:rFonts w:hint="eastAsia"/>
                <w:lang w:val="en-US" w:eastAsia="zh-CN"/>
              </w:rPr>
              <w:t>和S2废脱模剂</w:t>
            </w:r>
            <w:r>
              <w:rPr>
                <w:rFonts w:hint="eastAsia"/>
                <w:lang w:eastAsia="zh-CN"/>
              </w:rPr>
              <w:t>。</w:t>
            </w:r>
          </w:p>
          <w:p w14:paraId="3215715B">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lang w:eastAsia="zh-CN"/>
              </w:rPr>
            </w:pPr>
            <w:r>
              <w:rPr>
                <w:rFonts w:hint="eastAsia"/>
                <w:b/>
                <w:bCs/>
                <w:lang w:eastAsia="zh-CN"/>
              </w:rPr>
              <w:t>机加工：</w:t>
            </w:r>
            <w:r>
              <w:rPr>
                <w:rFonts w:hint="eastAsia"/>
                <w:lang w:eastAsia="zh-CN"/>
              </w:rPr>
              <w:t>按照图纸设计要求，利用车床、自动攻钻两用机等设备，对铝铸件粗坯进行钻孔、车加工等，</w:t>
            </w:r>
            <w:r>
              <w:rPr>
                <w:rFonts w:hint="eastAsia"/>
                <w:lang w:val="en-US" w:eastAsia="zh-CN"/>
              </w:rPr>
              <w:t>此过程不使用切削液、磨削液等液体物料</w:t>
            </w:r>
            <w:r>
              <w:rPr>
                <w:rFonts w:hint="eastAsia"/>
                <w:lang w:eastAsia="zh-CN"/>
              </w:rPr>
              <w:t>。此工段有S</w:t>
            </w:r>
            <w:r>
              <w:rPr>
                <w:rFonts w:hint="eastAsia"/>
                <w:lang w:val="en-US" w:eastAsia="zh-CN"/>
              </w:rPr>
              <w:t>3</w:t>
            </w:r>
            <w:r>
              <w:rPr>
                <w:rFonts w:hint="eastAsia"/>
                <w:lang w:eastAsia="zh-CN"/>
              </w:rPr>
              <w:t>废边角料产生。</w:t>
            </w:r>
          </w:p>
          <w:p w14:paraId="6B6793EC">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auto"/>
              <w:rPr>
                <w:rFonts w:hint="eastAsia"/>
                <w:lang w:eastAsia="zh-CN"/>
              </w:rPr>
            </w:pPr>
            <w:r>
              <w:rPr>
                <w:rFonts w:hint="eastAsia"/>
                <w:b/>
                <w:bCs/>
                <w:lang w:eastAsia="zh-CN"/>
              </w:rPr>
              <w:t>检验：</w:t>
            </w:r>
            <w:r>
              <w:rPr>
                <w:rFonts w:hint="eastAsia"/>
                <w:lang w:eastAsia="zh-CN"/>
              </w:rPr>
              <w:t>对机加工件进行</w:t>
            </w:r>
            <w:r>
              <w:rPr>
                <w:rFonts w:hint="eastAsia"/>
                <w:lang w:val="en-US" w:eastAsia="zh-CN"/>
              </w:rPr>
              <w:t>人工</w:t>
            </w:r>
            <w:r>
              <w:rPr>
                <w:rFonts w:hint="eastAsia"/>
                <w:lang w:eastAsia="zh-CN"/>
              </w:rPr>
              <w:t>检测，找出气孔、收缩、裂纹等外观缺陷的不合格机加工件。该过程产生S</w:t>
            </w:r>
            <w:r>
              <w:rPr>
                <w:rFonts w:hint="eastAsia"/>
                <w:lang w:val="en-US" w:eastAsia="zh-CN"/>
              </w:rPr>
              <w:t>4</w:t>
            </w:r>
            <w:r>
              <w:rPr>
                <w:rFonts w:hint="eastAsia"/>
                <w:lang w:eastAsia="zh-CN"/>
              </w:rPr>
              <w:t>不合格品。</w:t>
            </w:r>
          </w:p>
          <w:p w14:paraId="62BFC4E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b w:val="0"/>
                <w:bCs w:val="0"/>
                <w:lang w:val="en-US" w:eastAsia="zh-CN"/>
              </w:rPr>
            </w:pPr>
            <w:r>
              <w:rPr>
                <w:rFonts w:hint="eastAsia"/>
                <w:b w:val="0"/>
                <w:bCs w:val="0"/>
                <w:lang w:val="en-US" w:eastAsia="zh-CN"/>
              </w:rPr>
              <w:t>本项目熔化、机加工产生的边角料和不合格品回用于熔化工段。</w:t>
            </w:r>
          </w:p>
          <w:p w14:paraId="43A09BD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b w:val="0"/>
                <w:bCs w:val="0"/>
                <w:lang w:val="en-US" w:eastAsia="zh-CN"/>
              </w:rPr>
            </w:pPr>
            <w:r>
              <w:rPr>
                <w:rFonts w:hint="eastAsia"/>
                <w:b w:val="0"/>
                <w:bCs w:val="0"/>
                <w:lang w:val="en-US" w:eastAsia="zh-CN"/>
              </w:rPr>
              <w:t>本项目地面清洁方式采用干式清洁，每天作业后，由工人清扫地面。</w:t>
            </w:r>
          </w:p>
          <w:p w14:paraId="2D68E9A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b w:val="0"/>
                <w:bCs w:val="0"/>
                <w:lang w:val="en-US" w:eastAsia="zh-CN"/>
              </w:rPr>
            </w:pPr>
            <w:r>
              <w:rPr>
                <w:rFonts w:hint="default"/>
                <w:b w:val="0"/>
                <w:bCs w:val="0"/>
                <w:lang w:val="en-US" w:eastAsia="zh-CN"/>
              </w:rPr>
              <w:t>本项目产污环节见表2-</w:t>
            </w:r>
            <w:r>
              <w:rPr>
                <w:rFonts w:hint="eastAsia"/>
                <w:b w:val="0"/>
                <w:bCs w:val="0"/>
                <w:lang w:val="en-US" w:eastAsia="zh-CN"/>
              </w:rPr>
              <w:t>11</w:t>
            </w:r>
            <w:r>
              <w:rPr>
                <w:rFonts w:hint="default"/>
                <w:b w:val="0"/>
                <w:bCs w:val="0"/>
                <w:lang w:val="en-US" w:eastAsia="zh-CN"/>
              </w:rPr>
              <w:t>。</w:t>
            </w:r>
          </w:p>
          <w:p w14:paraId="7598761B">
            <w:pPr>
              <w:snapToGrid w:val="0"/>
              <w:spacing w:line="240" w:lineRule="auto"/>
              <w:jc w:val="center"/>
              <w:rPr>
                <w:rFonts w:hint="default"/>
                <w:b/>
                <w:sz w:val="21"/>
                <w:szCs w:val="21"/>
                <w:lang w:val="en-US" w:eastAsia="zh-CN"/>
              </w:rPr>
            </w:pPr>
            <w:r>
              <w:rPr>
                <w:rFonts w:hint="default"/>
                <w:b/>
                <w:sz w:val="21"/>
                <w:szCs w:val="21"/>
                <w:lang w:val="en-US" w:eastAsia="zh-CN"/>
              </w:rPr>
              <w:t>表2-</w:t>
            </w:r>
            <w:r>
              <w:rPr>
                <w:rFonts w:hint="eastAsia"/>
                <w:b/>
                <w:sz w:val="21"/>
                <w:szCs w:val="21"/>
                <w:lang w:val="en-US" w:eastAsia="zh-CN"/>
              </w:rPr>
              <w:t>11</w:t>
            </w:r>
            <w:r>
              <w:rPr>
                <w:rFonts w:hint="default"/>
                <w:b/>
                <w:sz w:val="21"/>
                <w:szCs w:val="21"/>
                <w:lang w:val="en-US" w:eastAsia="zh-CN"/>
              </w:rPr>
              <w:t xml:space="preserve">  产污环节一览表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735"/>
              <w:gridCol w:w="1876"/>
              <w:gridCol w:w="2833"/>
              <w:gridCol w:w="2086"/>
            </w:tblGrid>
            <w:tr w14:paraId="3E7FB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5B7A3B3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序号</w:t>
                  </w:r>
                </w:p>
              </w:tc>
              <w:tc>
                <w:tcPr>
                  <w:tcW w:w="1578" w:type="pct"/>
                  <w:gridSpan w:val="2"/>
                  <w:noWrap w:val="0"/>
                  <w:vAlign w:val="center"/>
                </w:tcPr>
                <w:p w14:paraId="01D1E1E2">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编号</w:t>
                  </w:r>
                </w:p>
              </w:tc>
              <w:tc>
                <w:tcPr>
                  <w:tcW w:w="1712" w:type="pct"/>
                  <w:noWrap w:val="0"/>
                  <w:vAlign w:val="center"/>
                </w:tcPr>
                <w:p w14:paraId="2DD3302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污染因子</w:t>
                  </w:r>
                </w:p>
              </w:tc>
              <w:tc>
                <w:tcPr>
                  <w:tcW w:w="1261" w:type="pct"/>
                  <w:noWrap w:val="0"/>
                  <w:vAlign w:val="center"/>
                </w:tcPr>
                <w:p w14:paraId="5EF706C9">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bCs/>
                      <w:kern w:val="2"/>
                      <w:sz w:val="21"/>
                      <w:szCs w:val="21"/>
                      <w:highlight w:val="none"/>
                      <w:vertAlign w:val="baseline"/>
                      <w:lang w:val="en-US" w:eastAsia="zh-CN"/>
                    </w:rPr>
                  </w:pPr>
                  <w:r>
                    <w:rPr>
                      <w:rFonts w:hint="default" w:ascii="Times New Roman" w:hAnsi="Times New Roman" w:eastAsia="仿宋" w:cs="Times New Roman"/>
                      <w:b/>
                      <w:bCs/>
                      <w:kern w:val="2"/>
                      <w:sz w:val="21"/>
                      <w:szCs w:val="21"/>
                      <w:highlight w:val="none"/>
                      <w:vertAlign w:val="baseline"/>
                      <w:lang w:val="en-US" w:eastAsia="zh-CN"/>
                    </w:rPr>
                    <w:t>产生环节</w:t>
                  </w:r>
                </w:p>
              </w:tc>
            </w:tr>
            <w:tr w14:paraId="69F63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4BC9D1C7">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ascii="Times New Roman" w:hAnsi="Times New Roman" w:cs="Times New Roman"/>
                      <w:b w:val="0"/>
                      <w:bCs w:val="0"/>
                      <w:kern w:val="0"/>
                      <w:sz w:val="21"/>
                      <w:szCs w:val="21"/>
                    </w:rPr>
                    <w:t>1</w:t>
                  </w:r>
                </w:p>
              </w:tc>
              <w:tc>
                <w:tcPr>
                  <w:tcW w:w="444" w:type="pct"/>
                  <w:vMerge w:val="restart"/>
                  <w:noWrap w:val="0"/>
                  <w:vAlign w:val="center"/>
                </w:tcPr>
                <w:p w14:paraId="51FA89D7">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废气</w:t>
                  </w:r>
                </w:p>
              </w:tc>
              <w:tc>
                <w:tcPr>
                  <w:tcW w:w="1134" w:type="pct"/>
                  <w:noWrap w:val="0"/>
                  <w:vAlign w:val="center"/>
                </w:tcPr>
                <w:p w14:paraId="24EE3C3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G1</w:t>
                  </w:r>
                </w:p>
              </w:tc>
              <w:tc>
                <w:tcPr>
                  <w:tcW w:w="1712" w:type="pct"/>
                  <w:noWrap w:val="0"/>
                  <w:vAlign w:val="center"/>
                </w:tcPr>
                <w:p w14:paraId="0CF65BE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颗粒物、二氧化硫、氮氧化物</w:t>
                  </w:r>
                </w:p>
              </w:tc>
              <w:tc>
                <w:tcPr>
                  <w:tcW w:w="1261" w:type="pct"/>
                  <w:noWrap w:val="0"/>
                  <w:vAlign w:val="center"/>
                </w:tcPr>
                <w:p w14:paraId="287E2D06">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天然气燃烧</w:t>
                  </w:r>
                </w:p>
              </w:tc>
            </w:tr>
            <w:tr w14:paraId="10D07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7D5A3378">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rPr>
                    <w:t>2</w:t>
                  </w:r>
                </w:p>
              </w:tc>
              <w:tc>
                <w:tcPr>
                  <w:tcW w:w="444" w:type="pct"/>
                  <w:vMerge w:val="continue"/>
                  <w:noWrap w:val="0"/>
                  <w:vAlign w:val="center"/>
                </w:tcPr>
                <w:p w14:paraId="11819C21">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2C912A8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G2</w:t>
                  </w:r>
                </w:p>
              </w:tc>
              <w:tc>
                <w:tcPr>
                  <w:tcW w:w="1712" w:type="pct"/>
                  <w:noWrap w:val="0"/>
                  <w:vAlign w:val="center"/>
                </w:tcPr>
                <w:p w14:paraId="14403F1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颗粒物</w:t>
                  </w:r>
                </w:p>
              </w:tc>
              <w:tc>
                <w:tcPr>
                  <w:tcW w:w="1261" w:type="pct"/>
                  <w:noWrap w:val="0"/>
                  <w:vAlign w:val="center"/>
                </w:tcPr>
                <w:p w14:paraId="71782CE2">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熔化</w:t>
                  </w:r>
                </w:p>
              </w:tc>
            </w:tr>
            <w:tr w14:paraId="22FD4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468316B4">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rPr>
                    <w:t>3</w:t>
                  </w:r>
                </w:p>
              </w:tc>
              <w:tc>
                <w:tcPr>
                  <w:tcW w:w="444" w:type="pct"/>
                  <w:vMerge w:val="continue"/>
                  <w:noWrap w:val="0"/>
                  <w:vAlign w:val="center"/>
                </w:tcPr>
                <w:p w14:paraId="5DF630D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6D0089C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G3</w:t>
                  </w:r>
                </w:p>
              </w:tc>
              <w:tc>
                <w:tcPr>
                  <w:tcW w:w="1712" w:type="pct"/>
                  <w:noWrap w:val="0"/>
                  <w:vAlign w:val="center"/>
                </w:tcPr>
                <w:p w14:paraId="0A5ED41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颗粒物、非甲烷总烃</w:t>
                  </w:r>
                </w:p>
              </w:tc>
              <w:tc>
                <w:tcPr>
                  <w:tcW w:w="1261" w:type="pct"/>
                  <w:noWrap w:val="0"/>
                  <w:vAlign w:val="center"/>
                </w:tcPr>
                <w:p w14:paraId="6D372C6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压铸</w:t>
                  </w:r>
                </w:p>
              </w:tc>
            </w:tr>
            <w:tr w14:paraId="1C8DE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5C298C3C">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rPr>
                    <w:t>4</w:t>
                  </w:r>
                </w:p>
              </w:tc>
              <w:tc>
                <w:tcPr>
                  <w:tcW w:w="444" w:type="pct"/>
                  <w:noWrap w:val="0"/>
                  <w:vAlign w:val="center"/>
                </w:tcPr>
                <w:p w14:paraId="7E44928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废水</w:t>
                  </w:r>
                </w:p>
              </w:tc>
              <w:tc>
                <w:tcPr>
                  <w:tcW w:w="1134" w:type="pct"/>
                  <w:noWrap w:val="0"/>
                  <w:vAlign w:val="center"/>
                </w:tcPr>
                <w:p w14:paraId="059B76B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w:t>
                  </w:r>
                </w:p>
              </w:tc>
              <w:tc>
                <w:tcPr>
                  <w:tcW w:w="1712" w:type="pct"/>
                  <w:noWrap w:val="0"/>
                  <w:vAlign w:val="center"/>
                </w:tcPr>
                <w:p w14:paraId="41792BBB">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COD、SS、NH</w:t>
                  </w:r>
                  <w:r>
                    <w:rPr>
                      <w:rFonts w:hint="default" w:ascii="Times New Roman" w:hAnsi="Times New Roman" w:eastAsia="仿宋" w:cs="Times New Roman"/>
                      <w:b w:val="0"/>
                      <w:bCs w:val="0"/>
                      <w:kern w:val="2"/>
                      <w:sz w:val="21"/>
                      <w:szCs w:val="21"/>
                      <w:highlight w:val="none"/>
                      <w:vertAlign w:val="subscript"/>
                      <w:lang w:val="en-US" w:eastAsia="zh-CN"/>
                    </w:rPr>
                    <w:t>3</w:t>
                  </w:r>
                  <w:r>
                    <w:rPr>
                      <w:rFonts w:hint="default" w:ascii="Times New Roman" w:hAnsi="Times New Roman" w:eastAsia="仿宋" w:cs="Times New Roman"/>
                      <w:b w:val="0"/>
                      <w:bCs w:val="0"/>
                      <w:kern w:val="2"/>
                      <w:sz w:val="21"/>
                      <w:szCs w:val="21"/>
                      <w:highlight w:val="none"/>
                      <w:vertAlign w:val="baseline"/>
                      <w:lang w:val="en-US" w:eastAsia="zh-CN"/>
                    </w:rPr>
                    <w:t>-N、TP、TN</w:t>
                  </w:r>
                </w:p>
              </w:tc>
              <w:tc>
                <w:tcPr>
                  <w:tcW w:w="1261" w:type="pct"/>
                  <w:noWrap w:val="0"/>
                  <w:vAlign w:val="center"/>
                </w:tcPr>
                <w:p w14:paraId="27E97082">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生活污水</w:t>
                  </w:r>
                </w:p>
              </w:tc>
            </w:tr>
            <w:tr w14:paraId="33362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62CE81DF">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5</w:t>
                  </w:r>
                </w:p>
              </w:tc>
              <w:tc>
                <w:tcPr>
                  <w:tcW w:w="444" w:type="pct"/>
                  <w:noWrap w:val="0"/>
                  <w:vAlign w:val="center"/>
                </w:tcPr>
                <w:p w14:paraId="67BFA574">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噪声</w:t>
                  </w:r>
                </w:p>
              </w:tc>
              <w:tc>
                <w:tcPr>
                  <w:tcW w:w="1134" w:type="pct"/>
                  <w:noWrap w:val="0"/>
                  <w:vAlign w:val="center"/>
                </w:tcPr>
                <w:p w14:paraId="1659D7E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w:t>
                  </w:r>
                </w:p>
              </w:tc>
              <w:tc>
                <w:tcPr>
                  <w:tcW w:w="1712" w:type="pct"/>
                  <w:noWrap w:val="0"/>
                  <w:vAlign w:val="center"/>
                </w:tcPr>
                <w:p w14:paraId="199A14B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噪声</w:t>
                  </w:r>
                </w:p>
              </w:tc>
              <w:tc>
                <w:tcPr>
                  <w:tcW w:w="1261" w:type="pct"/>
                  <w:noWrap w:val="0"/>
                  <w:vAlign w:val="center"/>
                </w:tcPr>
                <w:p w14:paraId="46065299">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熔化、</w:t>
                  </w:r>
                  <w:r>
                    <w:rPr>
                      <w:rFonts w:hint="default" w:ascii="Times New Roman" w:hAnsi="Times New Roman" w:eastAsia="仿宋" w:cs="Times New Roman"/>
                      <w:b w:val="0"/>
                      <w:bCs w:val="0"/>
                      <w:kern w:val="2"/>
                      <w:sz w:val="21"/>
                      <w:szCs w:val="21"/>
                      <w:highlight w:val="none"/>
                      <w:vertAlign w:val="baseline"/>
                      <w:lang w:val="en-US" w:eastAsia="zh-CN"/>
                    </w:rPr>
                    <w:t>压铸、机加工</w:t>
                  </w:r>
                </w:p>
              </w:tc>
            </w:tr>
            <w:tr w14:paraId="1EA51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4BD81F2E">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6</w:t>
                  </w:r>
                </w:p>
              </w:tc>
              <w:tc>
                <w:tcPr>
                  <w:tcW w:w="444" w:type="pct"/>
                  <w:vMerge w:val="restart"/>
                  <w:noWrap w:val="0"/>
                  <w:vAlign w:val="center"/>
                </w:tcPr>
                <w:p w14:paraId="060F1AE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固废</w:t>
                  </w:r>
                </w:p>
              </w:tc>
              <w:tc>
                <w:tcPr>
                  <w:tcW w:w="1134" w:type="pct"/>
                  <w:noWrap w:val="0"/>
                  <w:vAlign w:val="center"/>
                </w:tcPr>
                <w:p w14:paraId="1DED37E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S1</w:t>
                  </w:r>
                </w:p>
              </w:tc>
              <w:tc>
                <w:tcPr>
                  <w:tcW w:w="1712" w:type="pct"/>
                  <w:noWrap w:val="0"/>
                  <w:vAlign w:val="center"/>
                </w:tcPr>
                <w:p w14:paraId="4DE012AE">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炉渣</w:t>
                  </w:r>
                </w:p>
              </w:tc>
              <w:tc>
                <w:tcPr>
                  <w:tcW w:w="1261" w:type="pct"/>
                  <w:noWrap w:val="0"/>
                  <w:vAlign w:val="center"/>
                </w:tcPr>
                <w:p w14:paraId="3C53C561">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熔化</w:t>
                  </w:r>
                  <w:r>
                    <w:rPr>
                      <w:rFonts w:hint="eastAsia" w:cs="Times New Roman"/>
                      <w:b w:val="0"/>
                      <w:bCs w:val="0"/>
                      <w:kern w:val="2"/>
                      <w:sz w:val="21"/>
                      <w:szCs w:val="21"/>
                      <w:highlight w:val="none"/>
                      <w:vertAlign w:val="baseline"/>
                      <w:lang w:val="en-US" w:eastAsia="zh-CN"/>
                    </w:rPr>
                    <w:t>、废气处理</w:t>
                  </w:r>
                </w:p>
              </w:tc>
            </w:tr>
            <w:tr w14:paraId="05405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614261A4">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7</w:t>
                  </w:r>
                </w:p>
              </w:tc>
              <w:tc>
                <w:tcPr>
                  <w:tcW w:w="444" w:type="pct"/>
                  <w:vMerge w:val="continue"/>
                  <w:noWrap w:val="0"/>
                  <w:vAlign w:val="center"/>
                </w:tcPr>
                <w:p w14:paraId="488DD1E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2D76F35D">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S2</w:t>
                  </w:r>
                </w:p>
              </w:tc>
              <w:tc>
                <w:tcPr>
                  <w:tcW w:w="1712" w:type="pct"/>
                  <w:noWrap w:val="0"/>
                  <w:vAlign w:val="center"/>
                </w:tcPr>
                <w:p w14:paraId="292731B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废脱模剂</w:t>
                  </w:r>
                </w:p>
              </w:tc>
              <w:tc>
                <w:tcPr>
                  <w:tcW w:w="1261" w:type="pct"/>
                  <w:noWrap w:val="0"/>
                  <w:vAlign w:val="center"/>
                </w:tcPr>
                <w:p w14:paraId="2159352B">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压铸</w:t>
                  </w:r>
                </w:p>
              </w:tc>
            </w:tr>
            <w:tr w14:paraId="05D4A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581E4903">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8</w:t>
                  </w:r>
                </w:p>
              </w:tc>
              <w:tc>
                <w:tcPr>
                  <w:tcW w:w="444" w:type="pct"/>
                  <w:vMerge w:val="continue"/>
                  <w:noWrap w:val="0"/>
                  <w:vAlign w:val="center"/>
                </w:tcPr>
                <w:p w14:paraId="1485B46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590B366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S3</w:t>
                  </w:r>
                </w:p>
              </w:tc>
              <w:tc>
                <w:tcPr>
                  <w:tcW w:w="1712" w:type="pct"/>
                  <w:noWrap w:val="0"/>
                  <w:vAlign w:val="center"/>
                </w:tcPr>
                <w:p w14:paraId="5D4400FB">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边角料</w:t>
                  </w:r>
                </w:p>
              </w:tc>
              <w:tc>
                <w:tcPr>
                  <w:tcW w:w="1261" w:type="pct"/>
                  <w:noWrap w:val="0"/>
                  <w:vAlign w:val="center"/>
                </w:tcPr>
                <w:p w14:paraId="788E984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机加工</w:t>
                  </w:r>
                </w:p>
              </w:tc>
            </w:tr>
            <w:tr w14:paraId="3AEBD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6785E114">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9</w:t>
                  </w:r>
                </w:p>
              </w:tc>
              <w:tc>
                <w:tcPr>
                  <w:tcW w:w="444" w:type="pct"/>
                  <w:vMerge w:val="continue"/>
                  <w:noWrap w:val="0"/>
                  <w:vAlign w:val="center"/>
                </w:tcPr>
                <w:p w14:paraId="43304B55">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5DE27EB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S4</w:t>
                  </w:r>
                </w:p>
              </w:tc>
              <w:tc>
                <w:tcPr>
                  <w:tcW w:w="1712" w:type="pct"/>
                  <w:noWrap w:val="0"/>
                  <w:vAlign w:val="center"/>
                </w:tcPr>
                <w:p w14:paraId="4103059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不合格品</w:t>
                  </w:r>
                </w:p>
              </w:tc>
              <w:tc>
                <w:tcPr>
                  <w:tcW w:w="1261" w:type="pct"/>
                  <w:noWrap w:val="0"/>
                  <w:vAlign w:val="center"/>
                </w:tcPr>
                <w:p w14:paraId="4BEA883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检验</w:t>
                  </w:r>
                </w:p>
              </w:tc>
            </w:tr>
            <w:tr w14:paraId="1C48E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7910F5E4">
                  <w:pPr>
                    <w:spacing w:line="240" w:lineRule="auto"/>
                    <w:jc w:val="center"/>
                    <w:rPr>
                      <w:rFonts w:hint="default" w:ascii="Times New Roman" w:hAnsi="Times New Roman" w:eastAsia="仿宋" w:cs="Times New Roman"/>
                      <w:b w:val="0"/>
                      <w:bCs w:val="0"/>
                      <w:kern w:val="0"/>
                      <w:sz w:val="21"/>
                      <w:szCs w:val="21"/>
                      <w:lang w:val="en-US" w:eastAsia="zh-CN" w:bidi="ar-SA"/>
                    </w:rPr>
                  </w:pPr>
                  <w:r>
                    <w:rPr>
                      <w:rFonts w:hint="eastAsia" w:cs="Times New Roman"/>
                      <w:b w:val="0"/>
                      <w:bCs w:val="0"/>
                      <w:kern w:val="0"/>
                      <w:sz w:val="21"/>
                      <w:szCs w:val="21"/>
                      <w:lang w:val="en-US" w:eastAsia="zh-CN"/>
                    </w:rPr>
                    <w:t>10</w:t>
                  </w:r>
                </w:p>
              </w:tc>
              <w:tc>
                <w:tcPr>
                  <w:tcW w:w="444" w:type="pct"/>
                  <w:vMerge w:val="continue"/>
                  <w:noWrap w:val="0"/>
                  <w:vAlign w:val="center"/>
                </w:tcPr>
                <w:p w14:paraId="33C1ADC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750646F6">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w:t>
                  </w:r>
                  <w:r>
                    <w:rPr>
                      <w:rFonts w:hint="eastAsia" w:cs="Times New Roman"/>
                      <w:b w:val="0"/>
                      <w:bCs w:val="0"/>
                      <w:kern w:val="2"/>
                      <w:sz w:val="21"/>
                      <w:szCs w:val="21"/>
                      <w:highlight w:val="none"/>
                      <w:vertAlign w:val="baseline"/>
                      <w:lang w:val="en-US" w:eastAsia="zh-CN"/>
                    </w:rPr>
                    <w:t>5</w:t>
                  </w:r>
                </w:p>
              </w:tc>
              <w:tc>
                <w:tcPr>
                  <w:tcW w:w="1712" w:type="pct"/>
                  <w:noWrap w:val="0"/>
                  <w:vAlign w:val="center"/>
                </w:tcPr>
                <w:p w14:paraId="486B2527">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废包装桶</w:t>
                  </w:r>
                </w:p>
              </w:tc>
              <w:tc>
                <w:tcPr>
                  <w:tcW w:w="1261" w:type="pct"/>
                  <w:noWrap w:val="0"/>
                  <w:vAlign w:val="center"/>
                </w:tcPr>
                <w:p w14:paraId="39E4D77B">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原料使用</w:t>
                  </w:r>
                </w:p>
              </w:tc>
            </w:tr>
            <w:tr w14:paraId="1178F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shd w:val="clear" w:color="auto" w:fill="auto"/>
                  <w:noWrap w:val="0"/>
                  <w:vAlign w:val="center"/>
                </w:tcPr>
                <w:p w14:paraId="494D8B1B">
                  <w:pPr>
                    <w:spacing w:line="240" w:lineRule="auto"/>
                    <w:jc w:val="center"/>
                    <w:rPr>
                      <w:rFonts w:hint="default"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11</w:t>
                  </w:r>
                </w:p>
              </w:tc>
              <w:tc>
                <w:tcPr>
                  <w:tcW w:w="444" w:type="pct"/>
                  <w:vMerge w:val="continue"/>
                  <w:noWrap w:val="0"/>
                  <w:vAlign w:val="center"/>
                </w:tcPr>
                <w:p w14:paraId="0D158CE9">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15E6D04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w:t>
                  </w:r>
                  <w:r>
                    <w:rPr>
                      <w:rFonts w:hint="eastAsia" w:cs="Times New Roman"/>
                      <w:b w:val="0"/>
                      <w:bCs w:val="0"/>
                      <w:kern w:val="2"/>
                      <w:sz w:val="21"/>
                      <w:szCs w:val="21"/>
                      <w:highlight w:val="none"/>
                      <w:vertAlign w:val="baseline"/>
                      <w:lang w:val="en-US" w:eastAsia="zh-CN"/>
                    </w:rPr>
                    <w:t>6</w:t>
                  </w:r>
                </w:p>
              </w:tc>
              <w:tc>
                <w:tcPr>
                  <w:tcW w:w="1712" w:type="pct"/>
                  <w:noWrap w:val="0"/>
                  <w:vAlign w:val="center"/>
                </w:tcPr>
                <w:p w14:paraId="6EA2DA46">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0"/>
                      <w:sz w:val="21"/>
                      <w:szCs w:val="21"/>
                      <w:lang w:val="en-US" w:eastAsia="zh-CN"/>
                    </w:rPr>
                    <w:t>废过滤材料</w:t>
                  </w:r>
                </w:p>
              </w:tc>
              <w:tc>
                <w:tcPr>
                  <w:tcW w:w="1261" w:type="pct"/>
                  <w:noWrap w:val="0"/>
                  <w:vAlign w:val="center"/>
                </w:tcPr>
                <w:p w14:paraId="34336A46">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0"/>
                      <w:sz w:val="21"/>
                      <w:szCs w:val="21"/>
                      <w:lang w:val="en-US" w:eastAsia="zh-CN"/>
                    </w:rPr>
                    <w:t>压铸、废气处理</w:t>
                  </w:r>
                </w:p>
              </w:tc>
            </w:tr>
            <w:tr w14:paraId="28EC4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27CC2BA1">
                  <w:pPr>
                    <w:spacing w:line="240" w:lineRule="auto"/>
                    <w:jc w:val="center"/>
                    <w:rPr>
                      <w:rFonts w:hint="default" w:ascii="Times New Roman" w:hAnsi="Times New Roman"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1</w:t>
                  </w:r>
                  <w:r>
                    <w:rPr>
                      <w:rFonts w:hint="eastAsia" w:ascii="Times New Roman" w:hAnsi="Times New Roman" w:cs="Times New Roman"/>
                      <w:b w:val="0"/>
                      <w:bCs w:val="0"/>
                      <w:kern w:val="0"/>
                      <w:sz w:val="21"/>
                      <w:szCs w:val="21"/>
                      <w:lang w:val="en-US" w:eastAsia="zh-CN"/>
                    </w:rPr>
                    <w:t>2</w:t>
                  </w:r>
                </w:p>
              </w:tc>
              <w:tc>
                <w:tcPr>
                  <w:tcW w:w="444" w:type="pct"/>
                  <w:vMerge w:val="continue"/>
                  <w:noWrap w:val="0"/>
                  <w:vAlign w:val="center"/>
                </w:tcPr>
                <w:p w14:paraId="205824C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4B801E6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w:t>
                  </w:r>
                  <w:r>
                    <w:rPr>
                      <w:rFonts w:hint="eastAsia" w:cs="Times New Roman"/>
                      <w:b w:val="0"/>
                      <w:bCs w:val="0"/>
                      <w:kern w:val="2"/>
                      <w:sz w:val="21"/>
                      <w:szCs w:val="21"/>
                      <w:highlight w:val="none"/>
                      <w:vertAlign w:val="baseline"/>
                      <w:lang w:val="en-US" w:eastAsia="zh-CN"/>
                    </w:rPr>
                    <w:t>7</w:t>
                  </w:r>
                </w:p>
              </w:tc>
              <w:tc>
                <w:tcPr>
                  <w:tcW w:w="1712" w:type="pct"/>
                  <w:noWrap w:val="0"/>
                  <w:vAlign w:val="center"/>
                </w:tcPr>
                <w:p w14:paraId="673B26B5">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0"/>
                      <w:sz w:val="21"/>
                      <w:szCs w:val="21"/>
                      <w:lang w:val="en-US" w:eastAsia="zh-CN"/>
                    </w:rPr>
                    <w:t>废脱模剂</w:t>
                  </w:r>
                </w:p>
              </w:tc>
              <w:tc>
                <w:tcPr>
                  <w:tcW w:w="1261" w:type="pct"/>
                  <w:noWrap w:val="0"/>
                  <w:vAlign w:val="center"/>
                </w:tcPr>
                <w:p w14:paraId="0C9201DA">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0"/>
                      <w:sz w:val="21"/>
                      <w:szCs w:val="21"/>
                      <w:lang w:val="en-US" w:eastAsia="zh-CN"/>
                    </w:rPr>
                    <w:t>压铸</w:t>
                  </w:r>
                </w:p>
              </w:tc>
            </w:tr>
            <w:tr w14:paraId="6DE63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1A7E7840">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1</w:t>
                  </w:r>
                  <w:r>
                    <w:rPr>
                      <w:rFonts w:hint="eastAsia" w:cs="Times New Roman"/>
                      <w:b w:val="0"/>
                      <w:bCs w:val="0"/>
                      <w:kern w:val="2"/>
                      <w:sz w:val="21"/>
                      <w:szCs w:val="21"/>
                      <w:highlight w:val="none"/>
                      <w:vertAlign w:val="baseline"/>
                      <w:lang w:val="en-US" w:eastAsia="zh-CN"/>
                    </w:rPr>
                    <w:t>3</w:t>
                  </w:r>
                </w:p>
              </w:tc>
              <w:tc>
                <w:tcPr>
                  <w:tcW w:w="444" w:type="pct"/>
                  <w:vMerge w:val="continue"/>
                  <w:noWrap w:val="0"/>
                  <w:vAlign w:val="center"/>
                </w:tcPr>
                <w:p w14:paraId="136C4AD5">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24ED47C0">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w:t>
                  </w:r>
                  <w:r>
                    <w:rPr>
                      <w:rFonts w:hint="eastAsia" w:cs="Times New Roman"/>
                      <w:b w:val="0"/>
                      <w:bCs w:val="0"/>
                      <w:kern w:val="2"/>
                      <w:sz w:val="21"/>
                      <w:szCs w:val="21"/>
                      <w:highlight w:val="none"/>
                      <w:vertAlign w:val="baseline"/>
                      <w:lang w:val="en-US" w:eastAsia="zh-CN"/>
                    </w:rPr>
                    <w:t>8</w:t>
                  </w:r>
                </w:p>
              </w:tc>
              <w:tc>
                <w:tcPr>
                  <w:tcW w:w="1712" w:type="pct"/>
                  <w:noWrap w:val="0"/>
                  <w:vAlign w:val="center"/>
                </w:tcPr>
                <w:p w14:paraId="31427D85">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喷淋废液</w:t>
                  </w:r>
                </w:p>
              </w:tc>
              <w:tc>
                <w:tcPr>
                  <w:tcW w:w="1261" w:type="pct"/>
                  <w:noWrap w:val="0"/>
                  <w:vAlign w:val="center"/>
                </w:tcPr>
                <w:p w14:paraId="27D86796">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废气处理</w:t>
                  </w:r>
                </w:p>
              </w:tc>
            </w:tr>
            <w:tr w14:paraId="31705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17EE051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1</w:t>
                  </w:r>
                  <w:r>
                    <w:rPr>
                      <w:rFonts w:hint="eastAsia" w:cs="Times New Roman"/>
                      <w:b w:val="0"/>
                      <w:bCs w:val="0"/>
                      <w:kern w:val="2"/>
                      <w:sz w:val="21"/>
                      <w:szCs w:val="21"/>
                      <w:highlight w:val="none"/>
                      <w:vertAlign w:val="baseline"/>
                      <w:lang w:val="en-US" w:eastAsia="zh-CN"/>
                    </w:rPr>
                    <w:t>4</w:t>
                  </w:r>
                </w:p>
              </w:tc>
              <w:tc>
                <w:tcPr>
                  <w:tcW w:w="444" w:type="pct"/>
                  <w:vMerge w:val="continue"/>
                  <w:noWrap w:val="0"/>
                  <w:vAlign w:val="center"/>
                </w:tcPr>
                <w:p w14:paraId="71079888">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15C9D7B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w:t>
                  </w:r>
                  <w:r>
                    <w:rPr>
                      <w:rFonts w:hint="eastAsia" w:cs="Times New Roman"/>
                      <w:b w:val="0"/>
                      <w:bCs w:val="0"/>
                      <w:kern w:val="2"/>
                      <w:sz w:val="21"/>
                      <w:szCs w:val="21"/>
                      <w:highlight w:val="none"/>
                      <w:vertAlign w:val="baseline"/>
                      <w:lang w:val="en-US" w:eastAsia="zh-CN"/>
                    </w:rPr>
                    <w:t>9</w:t>
                  </w:r>
                </w:p>
              </w:tc>
              <w:tc>
                <w:tcPr>
                  <w:tcW w:w="1712" w:type="pct"/>
                  <w:noWrap w:val="0"/>
                  <w:vAlign w:val="center"/>
                </w:tcPr>
                <w:p w14:paraId="4881C36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废活性炭</w:t>
                  </w:r>
                </w:p>
              </w:tc>
              <w:tc>
                <w:tcPr>
                  <w:tcW w:w="1261" w:type="pct"/>
                  <w:noWrap w:val="0"/>
                  <w:vAlign w:val="center"/>
                </w:tcPr>
                <w:p w14:paraId="32ED91A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废气处理</w:t>
                  </w:r>
                </w:p>
              </w:tc>
            </w:tr>
            <w:tr w14:paraId="0485C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77C0A5EA">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15</w:t>
                  </w:r>
                </w:p>
              </w:tc>
              <w:tc>
                <w:tcPr>
                  <w:tcW w:w="444" w:type="pct"/>
                  <w:vMerge w:val="continue"/>
                  <w:noWrap w:val="0"/>
                  <w:vAlign w:val="center"/>
                </w:tcPr>
                <w:p w14:paraId="5E182673">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4115E800">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S1</w:t>
                  </w:r>
                  <w:r>
                    <w:rPr>
                      <w:rFonts w:hint="eastAsia" w:cs="Times New Roman"/>
                      <w:b w:val="0"/>
                      <w:bCs w:val="0"/>
                      <w:kern w:val="2"/>
                      <w:sz w:val="21"/>
                      <w:szCs w:val="21"/>
                      <w:highlight w:val="none"/>
                      <w:vertAlign w:val="baseline"/>
                      <w:lang w:val="en-US" w:eastAsia="zh-CN"/>
                    </w:rPr>
                    <w:t>0</w:t>
                  </w:r>
                </w:p>
              </w:tc>
              <w:tc>
                <w:tcPr>
                  <w:tcW w:w="1712" w:type="pct"/>
                  <w:noWrap w:val="0"/>
                  <w:vAlign w:val="center"/>
                </w:tcPr>
                <w:p w14:paraId="021B6F4A">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废机油</w:t>
                  </w:r>
                </w:p>
              </w:tc>
              <w:tc>
                <w:tcPr>
                  <w:tcW w:w="1261" w:type="pct"/>
                  <w:noWrap w:val="0"/>
                  <w:vAlign w:val="center"/>
                </w:tcPr>
                <w:p w14:paraId="1E43C626">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设备维护</w:t>
                  </w:r>
                </w:p>
              </w:tc>
            </w:tr>
            <w:tr w14:paraId="6F48C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001750F1">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16</w:t>
                  </w:r>
                </w:p>
              </w:tc>
              <w:tc>
                <w:tcPr>
                  <w:tcW w:w="444" w:type="pct"/>
                  <w:vMerge w:val="continue"/>
                  <w:noWrap w:val="0"/>
                  <w:vAlign w:val="center"/>
                </w:tcPr>
                <w:p w14:paraId="6585B81D">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6281546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S1</w:t>
                  </w:r>
                  <w:r>
                    <w:rPr>
                      <w:rFonts w:hint="eastAsia" w:cs="Times New Roman"/>
                      <w:b w:val="0"/>
                      <w:bCs w:val="0"/>
                      <w:kern w:val="2"/>
                      <w:sz w:val="21"/>
                      <w:szCs w:val="21"/>
                      <w:highlight w:val="none"/>
                      <w:vertAlign w:val="baseline"/>
                      <w:lang w:val="en-US" w:eastAsia="zh-CN"/>
                    </w:rPr>
                    <w:t>1</w:t>
                  </w:r>
                </w:p>
              </w:tc>
              <w:tc>
                <w:tcPr>
                  <w:tcW w:w="1712" w:type="pct"/>
                  <w:noWrap w:val="0"/>
                  <w:vAlign w:val="center"/>
                </w:tcPr>
                <w:p w14:paraId="2E7AAA72">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含油劳保用品</w:t>
                  </w:r>
                </w:p>
              </w:tc>
              <w:tc>
                <w:tcPr>
                  <w:tcW w:w="1261" w:type="pct"/>
                  <w:noWrap w:val="0"/>
                  <w:vAlign w:val="center"/>
                </w:tcPr>
                <w:p w14:paraId="45AA4E05">
                  <w:pPr>
                    <w:spacing w:line="240" w:lineRule="auto"/>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ascii="Times New Roman" w:hAnsi="Times New Roman" w:cs="Times New Roman"/>
                      <w:b w:val="0"/>
                      <w:bCs w:val="0"/>
                      <w:kern w:val="0"/>
                      <w:sz w:val="21"/>
                      <w:szCs w:val="21"/>
                    </w:rPr>
                    <w:t>设备维护</w:t>
                  </w:r>
                </w:p>
              </w:tc>
            </w:tr>
            <w:tr w14:paraId="12944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noWrap w:val="0"/>
                  <w:vAlign w:val="center"/>
                </w:tcPr>
                <w:p w14:paraId="16E621CC">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eastAsia" w:cs="Times New Roman"/>
                      <w:b w:val="0"/>
                      <w:bCs w:val="0"/>
                      <w:kern w:val="2"/>
                      <w:sz w:val="21"/>
                      <w:szCs w:val="21"/>
                      <w:highlight w:val="none"/>
                      <w:vertAlign w:val="baseline"/>
                      <w:lang w:val="en-US" w:eastAsia="zh-CN"/>
                    </w:rPr>
                    <w:t>17</w:t>
                  </w:r>
                </w:p>
              </w:tc>
              <w:tc>
                <w:tcPr>
                  <w:tcW w:w="444" w:type="pct"/>
                  <w:vMerge w:val="continue"/>
                  <w:noWrap w:val="0"/>
                  <w:vAlign w:val="center"/>
                </w:tcPr>
                <w:p w14:paraId="64DD676E">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p>
              </w:tc>
              <w:tc>
                <w:tcPr>
                  <w:tcW w:w="1134" w:type="pct"/>
                  <w:noWrap w:val="0"/>
                  <w:vAlign w:val="center"/>
                </w:tcPr>
                <w:p w14:paraId="73B5EBB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S1</w:t>
                  </w:r>
                  <w:r>
                    <w:rPr>
                      <w:rFonts w:hint="eastAsia" w:cs="Times New Roman"/>
                      <w:b w:val="0"/>
                      <w:bCs w:val="0"/>
                      <w:kern w:val="2"/>
                      <w:sz w:val="21"/>
                      <w:szCs w:val="21"/>
                      <w:highlight w:val="none"/>
                      <w:vertAlign w:val="baseline"/>
                      <w:lang w:val="en-US" w:eastAsia="zh-CN"/>
                    </w:rPr>
                    <w:t>2</w:t>
                  </w:r>
                </w:p>
              </w:tc>
              <w:tc>
                <w:tcPr>
                  <w:tcW w:w="1712" w:type="pct"/>
                  <w:noWrap w:val="0"/>
                  <w:vAlign w:val="center"/>
                </w:tcPr>
                <w:p w14:paraId="600F92F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生活垃圾</w:t>
                  </w:r>
                </w:p>
              </w:tc>
              <w:tc>
                <w:tcPr>
                  <w:tcW w:w="1261" w:type="pct"/>
                  <w:noWrap w:val="0"/>
                  <w:vAlign w:val="center"/>
                </w:tcPr>
                <w:p w14:paraId="2034F9DF">
                  <w:pPr>
                    <w:pStyle w:val="3"/>
                    <w:widowControl w:val="0"/>
                    <w:numPr>
                      <w:ilvl w:val="0"/>
                      <w:numId w:val="0"/>
                    </w:numPr>
                    <w:spacing w:line="240" w:lineRule="auto"/>
                    <w:ind w:left="0" w:leftChars="0" w:firstLine="0" w:firstLineChars="0"/>
                    <w:jc w:val="center"/>
                    <w:rPr>
                      <w:rFonts w:hint="default" w:ascii="Times New Roman" w:hAnsi="Times New Roman" w:eastAsia="仿宋" w:cs="Times New Roman"/>
                      <w:b w:val="0"/>
                      <w:bCs w:val="0"/>
                      <w:kern w:val="2"/>
                      <w:sz w:val="21"/>
                      <w:szCs w:val="21"/>
                      <w:highlight w:val="none"/>
                      <w:vertAlign w:val="baseline"/>
                      <w:lang w:val="en-US" w:eastAsia="zh-CN"/>
                    </w:rPr>
                  </w:pPr>
                  <w:r>
                    <w:rPr>
                      <w:rFonts w:hint="default" w:ascii="Times New Roman" w:hAnsi="Times New Roman" w:eastAsia="仿宋" w:cs="Times New Roman"/>
                      <w:b w:val="0"/>
                      <w:bCs w:val="0"/>
                      <w:kern w:val="2"/>
                      <w:sz w:val="21"/>
                      <w:szCs w:val="21"/>
                      <w:highlight w:val="none"/>
                      <w:vertAlign w:val="baseline"/>
                      <w:lang w:val="en-US" w:eastAsia="zh-CN"/>
                    </w:rPr>
                    <w:t>员工生活</w:t>
                  </w:r>
                </w:p>
              </w:tc>
            </w:tr>
          </w:tbl>
          <w:p w14:paraId="0A037743">
            <w:pPr>
              <w:pStyle w:val="2"/>
              <w:rPr>
                <w:rFonts w:hint="default"/>
                <w:b w:val="0"/>
                <w:bCs w:val="0"/>
                <w:lang w:val="en-US" w:eastAsia="zh-CN"/>
              </w:rPr>
            </w:pPr>
          </w:p>
          <w:p w14:paraId="137C1590">
            <w:pPr>
              <w:pStyle w:val="3"/>
              <w:widowControl w:val="0"/>
              <w:numPr>
                <w:ilvl w:val="0"/>
                <w:numId w:val="0"/>
              </w:numPr>
              <w:spacing w:line="360" w:lineRule="auto"/>
              <w:jc w:val="both"/>
              <w:rPr>
                <w:rFonts w:hint="default"/>
                <w:b w:val="0"/>
                <w:bCs w:val="0"/>
                <w:lang w:val="en-US" w:eastAsia="zh-CN"/>
              </w:rPr>
            </w:pPr>
          </w:p>
          <w:p w14:paraId="37A83473">
            <w:pPr>
              <w:pStyle w:val="3"/>
              <w:widowControl w:val="0"/>
              <w:numPr>
                <w:ilvl w:val="0"/>
                <w:numId w:val="0"/>
              </w:numPr>
              <w:spacing w:line="360" w:lineRule="auto"/>
              <w:jc w:val="both"/>
              <w:rPr>
                <w:rFonts w:hint="default"/>
                <w:b w:val="0"/>
                <w:bCs w:val="0"/>
                <w:lang w:val="en-US" w:eastAsia="zh-CN"/>
              </w:rPr>
            </w:pPr>
          </w:p>
          <w:p w14:paraId="0AD81926">
            <w:pPr>
              <w:pStyle w:val="3"/>
              <w:widowControl w:val="0"/>
              <w:numPr>
                <w:ilvl w:val="0"/>
                <w:numId w:val="0"/>
              </w:numPr>
              <w:spacing w:line="360" w:lineRule="auto"/>
              <w:jc w:val="both"/>
              <w:rPr>
                <w:rFonts w:hint="default"/>
                <w:b w:val="0"/>
                <w:bCs w:val="0"/>
                <w:lang w:val="en-US" w:eastAsia="zh-CN"/>
              </w:rPr>
            </w:pPr>
          </w:p>
          <w:p w14:paraId="433D5B9C">
            <w:pPr>
              <w:pStyle w:val="2"/>
            </w:pPr>
          </w:p>
        </w:tc>
      </w:tr>
      <w:tr w14:paraId="2701C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610AD3A4">
            <w:pPr>
              <w:pStyle w:val="16"/>
              <w:adjustRightInd w:val="0"/>
              <w:snapToGrid w:val="0"/>
              <w:spacing w:before="0" w:beforeAutospacing="0" w:after="0" w:afterAutospacing="0"/>
              <w:jc w:val="center"/>
              <w:rPr>
                <w:rFonts w:ascii="Times New Roman" w:hAnsi="Times New Roman"/>
                <w:sz w:val="21"/>
                <w:szCs w:val="21"/>
                <w:highlight w:val="none"/>
              </w:rPr>
            </w:pPr>
            <w:r>
              <w:rPr>
                <w:rFonts w:ascii="Times New Roman" w:hAnsi="Times New Roman"/>
                <w:bCs/>
                <w:kern w:val="2"/>
                <w:szCs w:val="24"/>
                <w:highlight w:val="none"/>
              </w:rPr>
              <w:t>与项目有关的原有环境污染问题</w:t>
            </w:r>
          </w:p>
        </w:tc>
        <w:tc>
          <w:tcPr>
            <w:tcW w:w="8487" w:type="dxa"/>
          </w:tcPr>
          <w:p w14:paraId="019EF063">
            <w:pPr>
              <w:pStyle w:val="3"/>
              <w:numPr>
                <w:ilvl w:val="0"/>
                <w:numId w:val="0"/>
              </w:numPr>
              <w:spacing w:line="480" w:lineRule="exact"/>
              <w:ind w:firstLine="480" w:firstLineChars="200"/>
              <w:rPr>
                <w:rFonts w:hint="eastAsia" w:ascii="Times New Roman" w:hAnsi="Times New Roman" w:eastAsia="仿宋" w:cs="Times New Roman"/>
                <w:b w:val="0"/>
                <w:bCs w:val="0"/>
                <w:sz w:val="24"/>
                <w:szCs w:val="24"/>
                <w:lang w:val="en-US" w:eastAsia="zh-CN"/>
              </w:rPr>
            </w:pPr>
            <w:r>
              <w:rPr>
                <w:rFonts w:hint="eastAsia" w:cs="Times New Roman"/>
                <w:b w:val="0"/>
                <w:bCs w:val="0"/>
                <w:sz w:val="24"/>
                <w:szCs w:val="24"/>
                <w:lang w:val="en-US" w:eastAsia="zh-CN"/>
              </w:rPr>
              <w:t>1.</w:t>
            </w:r>
            <w:r>
              <w:rPr>
                <w:rFonts w:hint="eastAsia" w:ascii="Times New Roman" w:hAnsi="Times New Roman" w:eastAsia="仿宋" w:cs="Times New Roman"/>
                <w:b w:val="0"/>
                <w:bCs w:val="0"/>
                <w:sz w:val="24"/>
                <w:szCs w:val="24"/>
                <w:lang w:val="en-US" w:eastAsia="zh-CN"/>
              </w:rPr>
              <w:t>所在地原有项目情况</w:t>
            </w:r>
          </w:p>
          <w:p w14:paraId="1305A510">
            <w:pPr>
              <w:pStyle w:val="3"/>
              <w:numPr>
                <w:ilvl w:val="0"/>
                <w:numId w:val="0"/>
              </w:numPr>
              <w:spacing w:line="480" w:lineRule="exact"/>
              <w:ind w:firstLine="480" w:firstLineChars="200"/>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本项目所在地</w:t>
            </w:r>
            <w:r>
              <w:rPr>
                <w:rFonts w:hint="eastAsia" w:cs="Times New Roman"/>
                <w:b w:val="0"/>
                <w:bCs w:val="0"/>
                <w:sz w:val="24"/>
                <w:szCs w:val="24"/>
                <w:lang w:val="en-US" w:eastAsia="zh-CN"/>
              </w:rPr>
              <w:t>厂房为陈燕莉拍卖所得，民事裁定书详见附件5。</w:t>
            </w:r>
            <w:r>
              <w:rPr>
                <w:rFonts w:hint="eastAsia" w:ascii="Times New Roman" w:hAnsi="Times New Roman" w:cs="Times New Roman"/>
                <w:b w:val="0"/>
                <w:bCs w:val="0"/>
                <w:sz w:val="24"/>
                <w:szCs w:val="24"/>
                <w:lang w:val="en-US" w:eastAsia="zh-CN"/>
              </w:rPr>
              <w:t>本项目所在地原为</w:t>
            </w:r>
            <w:r>
              <w:rPr>
                <w:rFonts w:hint="default" w:ascii="Times New Roman" w:hAnsi="Times New Roman" w:cs="Times New Roman"/>
                <w:b w:val="0"/>
                <w:bCs w:val="0"/>
                <w:sz w:val="24"/>
                <w:szCs w:val="24"/>
                <w:lang w:val="en-US" w:eastAsia="zh-CN"/>
              </w:rPr>
              <w:fldChar w:fldCharType="begin"/>
            </w:r>
            <w:r>
              <w:rPr>
                <w:rFonts w:hint="default" w:ascii="Times New Roman" w:hAnsi="Times New Roman" w:cs="Times New Roman"/>
                <w:b w:val="0"/>
                <w:bCs w:val="0"/>
                <w:sz w:val="24"/>
                <w:szCs w:val="24"/>
                <w:lang w:val="en-US" w:eastAsia="zh-CN"/>
              </w:rPr>
              <w:instrText xml:space="preserve"> HYPERLINK "https://aiqicha.baidu.com/detail/compinfo?pid=xlTM-TogKuTwZxhi*n3m9ahbwse-3iRwVAmd&amp;pd=aen&amp;from=ps&amp;query=%E5%B8%B8%E5%B7%9E%E5%B8%82%E6%96%B0%E5%AE%89%E6%B0%B4%E5%88%A9%E5%B7%A5%E7%A8%8B%E6%9C%89%E9%99%90%E5%85%AC%E5%8F%B8" \t "https://www.baidu.com/_blank" </w:instrText>
            </w:r>
            <w:r>
              <w:rPr>
                <w:rFonts w:hint="default" w:ascii="Times New Roman" w:hAnsi="Times New Roman" w:cs="Times New Roman"/>
                <w:b w:val="0"/>
                <w:bCs w:val="0"/>
                <w:sz w:val="24"/>
                <w:szCs w:val="24"/>
                <w:lang w:val="en-US" w:eastAsia="zh-CN"/>
              </w:rPr>
              <w:fldChar w:fldCharType="separate"/>
            </w:r>
            <w:r>
              <w:rPr>
                <w:rFonts w:hint="default" w:ascii="Times New Roman" w:hAnsi="Times New Roman" w:cs="Times New Roman"/>
                <w:b w:val="0"/>
                <w:bCs w:val="0"/>
                <w:sz w:val="24"/>
                <w:szCs w:val="24"/>
                <w:lang w:val="en-US" w:eastAsia="zh-CN"/>
              </w:rPr>
              <w:t>常州市新安水利工程有限公司</w:t>
            </w:r>
            <w:r>
              <w:rPr>
                <w:rFonts w:hint="default" w:ascii="Times New Roman" w:hAnsi="Times New Roman" w:cs="Times New Roman"/>
                <w:b w:val="0"/>
                <w:bCs w:val="0"/>
                <w:sz w:val="24"/>
                <w:szCs w:val="24"/>
                <w:lang w:val="en-US" w:eastAsia="zh-CN"/>
              </w:rPr>
              <w:fldChar w:fldCharType="end"/>
            </w:r>
            <w:r>
              <w:rPr>
                <w:rFonts w:hint="eastAsia" w:ascii="Times New Roman" w:hAnsi="Times New Roman" w:cs="Times New Roman"/>
                <w:b w:val="0"/>
                <w:bCs w:val="0"/>
                <w:sz w:val="24"/>
                <w:szCs w:val="24"/>
                <w:lang w:val="en-US" w:eastAsia="zh-CN"/>
              </w:rPr>
              <w:t>，法人陈云龙，与房东陈燕莉为父</w:t>
            </w:r>
            <w:r>
              <w:rPr>
                <w:rFonts w:hint="eastAsia" w:cs="Times New Roman"/>
                <w:b w:val="0"/>
                <w:bCs w:val="0"/>
                <w:sz w:val="24"/>
                <w:szCs w:val="24"/>
                <w:lang w:val="en-US" w:eastAsia="zh-CN"/>
              </w:rPr>
              <w:t>女</w:t>
            </w:r>
            <w:r>
              <w:rPr>
                <w:rFonts w:hint="eastAsia" w:ascii="Times New Roman" w:hAnsi="Times New Roman" w:cs="Times New Roman"/>
                <w:b w:val="0"/>
                <w:bCs w:val="0"/>
                <w:sz w:val="24"/>
                <w:szCs w:val="24"/>
                <w:lang w:val="en-US" w:eastAsia="zh-CN"/>
              </w:rPr>
              <w:t>关系，</w:t>
            </w:r>
            <w:r>
              <w:rPr>
                <w:rFonts w:hint="default" w:ascii="Times New Roman" w:hAnsi="Times New Roman" w:cs="Times New Roman"/>
                <w:b w:val="0"/>
                <w:bCs w:val="0"/>
                <w:sz w:val="24"/>
                <w:szCs w:val="24"/>
                <w:lang w:val="en-US" w:eastAsia="zh-CN"/>
              </w:rPr>
              <w:t>公司</w:t>
            </w:r>
            <w:r>
              <w:rPr>
                <w:rFonts w:hint="eastAsia" w:ascii="Times New Roman" w:hAnsi="Times New Roman" w:cs="Times New Roman"/>
                <w:b w:val="0"/>
                <w:bCs w:val="0"/>
                <w:sz w:val="24"/>
                <w:szCs w:val="24"/>
                <w:lang w:val="en-US" w:eastAsia="zh-CN"/>
              </w:rPr>
              <w:t>成立于1992年，经营范围为一般结构的水利防洪抗洪设施工程施工，房屋建筑，本项目租用车间原用于建筑材料堆存，无历史遗留问题。</w:t>
            </w:r>
            <w:r>
              <w:rPr>
                <w:rFonts w:hint="default" w:ascii="Times New Roman" w:hAnsi="Times New Roman" w:cs="Times New Roman"/>
                <w:b w:val="0"/>
                <w:bCs w:val="0"/>
                <w:sz w:val="24"/>
                <w:szCs w:val="24"/>
                <w:lang w:val="en-US" w:eastAsia="zh-CN"/>
              </w:rPr>
              <w:fldChar w:fldCharType="begin"/>
            </w:r>
            <w:r>
              <w:rPr>
                <w:rFonts w:hint="default" w:ascii="Times New Roman" w:hAnsi="Times New Roman" w:cs="Times New Roman"/>
                <w:b w:val="0"/>
                <w:bCs w:val="0"/>
                <w:sz w:val="24"/>
                <w:szCs w:val="24"/>
                <w:lang w:val="en-US" w:eastAsia="zh-CN"/>
              </w:rPr>
              <w:instrText xml:space="preserve"> HYPERLINK "https://aiqicha.baidu.com/detail/compinfo?pid=xlTM-TogKuTwZxhi*n3m9ahbwse-3iRwVAmd&amp;pd=aen&amp;from=ps&amp;query=%E5%B8%B8%E5%B7%9E%E5%B8%82%E6%96%B0%E5%AE%89%E6%B0%B4%E5%88%A9%E5%B7%A5%E7%A8%8B%E6%9C%89%E9%99%90%E5%85%AC%E5%8F%B8" \t "https://www.baidu.com/_blank" </w:instrText>
            </w:r>
            <w:r>
              <w:rPr>
                <w:rFonts w:hint="default" w:ascii="Times New Roman" w:hAnsi="Times New Roman" w:cs="Times New Roman"/>
                <w:b w:val="0"/>
                <w:bCs w:val="0"/>
                <w:sz w:val="24"/>
                <w:szCs w:val="24"/>
                <w:lang w:val="en-US" w:eastAsia="zh-CN"/>
              </w:rPr>
              <w:fldChar w:fldCharType="separate"/>
            </w:r>
            <w:r>
              <w:rPr>
                <w:rFonts w:hint="default" w:ascii="Times New Roman" w:hAnsi="Times New Roman" w:cs="Times New Roman"/>
                <w:b w:val="0"/>
                <w:bCs w:val="0"/>
                <w:sz w:val="24"/>
                <w:szCs w:val="24"/>
                <w:lang w:val="en-US" w:eastAsia="zh-CN"/>
              </w:rPr>
              <w:t>常州市新安水利工程有限公司</w:t>
            </w:r>
            <w:r>
              <w:rPr>
                <w:rFonts w:hint="default" w:ascii="Times New Roman" w:hAnsi="Times New Roman" w:cs="Times New Roman"/>
                <w:b w:val="0"/>
                <w:bCs w:val="0"/>
                <w:sz w:val="24"/>
                <w:szCs w:val="24"/>
                <w:lang w:val="en-US" w:eastAsia="zh-CN"/>
              </w:rPr>
              <w:fldChar w:fldCharType="end"/>
            </w:r>
            <w:r>
              <w:rPr>
                <w:rFonts w:hint="eastAsia" w:cs="Times New Roman"/>
                <w:b w:val="0"/>
                <w:bCs w:val="0"/>
                <w:sz w:val="24"/>
                <w:szCs w:val="24"/>
                <w:lang w:val="en-US" w:eastAsia="zh-CN"/>
              </w:rPr>
              <w:t>现不从事生产活动。</w:t>
            </w:r>
          </w:p>
          <w:p w14:paraId="1A5AF1FF">
            <w:pPr>
              <w:pStyle w:val="3"/>
              <w:numPr>
                <w:ilvl w:val="0"/>
                <w:numId w:val="0"/>
              </w:numPr>
              <w:spacing w:line="480" w:lineRule="exact"/>
              <w:ind w:firstLine="480" w:firstLineChars="200"/>
              <w:rPr>
                <w:rFonts w:hint="default" w:cs="Times New Roman"/>
                <w:b w:val="0"/>
                <w:bCs w:val="0"/>
                <w:sz w:val="24"/>
                <w:szCs w:val="24"/>
                <w:lang w:val="en-US" w:eastAsia="zh-CN"/>
              </w:rPr>
            </w:pPr>
            <w:r>
              <w:rPr>
                <w:rFonts w:hint="eastAsia" w:cs="Times New Roman"/>
                <w:b w:val="0"/>
                <w:bCs w:val="0"/>
                <w:sz w:val="24"/>
                <w:szCs w:val="24"/>
                <w:lang w:val="en-US" w:eastAsia="zh-CN"/>
              </w:rPr>
              <w:t>2.依托情况</w:t>
            </w:r>
          </w:p>
          <w:p w14:paraId="68536159">
            <w:pPr>
              <w:pStyle w:val="3"/>
              <w:numPr>
                <w:ilvl w:val="0"/>
                <w:numId w:val="0"/>
              </w:numPr>
              <w:spacing w:line="480" w:lineRule="exact"/>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本项目厂区房东已设有1个生活污水接管口和1个雨水排放口，本项目不再新设排放口，依托房东现有生活污水接管口和雨水排放口。</w:t>
            </w:r>
          </w:p>
          <w:p w14:paraId="49C855D5">
            <w:pPr>
              <w:pStyle w:val="3"/>
              <w:numPr>
                <w:ilvl w:val="0"/>
                <w:numId w:val="0"/>
              </w:numPr>
              <w:spacing w:line="480" w:lineRule="exact"/>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3.“厂中厂”情况</w:t>
            </w:r>
          </w:p>
          <w:p w14:paraId="0EBF9BF6">
            <w:pPr>
              <w:pStyle w:val="3"/>
              <w:numPr>
                <w:ilvl w:val="0"/>
                <w:numId w:val="0"/>
              </w:numPr>
              <w:spacing w:line="480" w:lineRule="exact"/>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根据关于印发《常州经开区“厂中厂”综合治理工作方案》的通知，本项目属于“厂中厂”，与其他厂房完全隔断，已通过工业厂房租赁联合评估，详见附件4。本项目为新建项目，租用陈燕莉拍卖所得厂房2000m</w:t>
            </w:r>
            <w:r>
              <w:rPr>
                <w:rFonts w:hint="eastAsia" w:cs="Times New Roman"/>
                <w:b w:val="0"/>
                <w:bCs w:val="0"/>
                <w:sz w:val="24"/>
                <w:szCs w:val="24"/>
                <w:vertAlign w:val="superscript"/>
                <w:lang w:val="en-US" w:eastAsia="zh-CN"/>
              </w:rPr>
              <w:t>2</w:t>
            </w:r>
            <w:r>
              <w:rPr>
                <w:rFonts w:hint="eastAsia" w:cs="Times New Roman"/>
                <w:b w:val="0"/>
                <w:bCs w:val="0"/>
                <w:sz w:val="24"/>
                <w:szCs w:val="24"/>
                <w:lang w:val="en-US" w:eastAsia="zh-CN"/>
              </w:rPr>
              <w:t>，原用于</w:t>
            </w:r>
            <w:r>
              <w:rPr>
                <w:rFonts w:hint="default" w:cs="Times New Roman"/>
                <w:b w:val="0"/>
                <w:bCs w:val="0"/>
                <w:sz w:val="24"/>
                <w:szCs w:val="24"/>
                <w:lang w:val="en-US" w:eastAsia="zh-CN"/>
              </w:rPr>
              <w:fldChar w:fldCharType="begin"/>
            </w:r>
            <w:r>
              <w:rPr>
                <w:rFonts w:hint="default" w:cs="Times New Roman"/>
                <w:b w:val="0"/>
                <w:bCs w:val="0"/>
                <w:sz w:val="24"/>
                <w:szCs w:val="24"/>
                <w:lang w:val="en-US" w:eastAsia="zh-CN"/>
              </w:rPr>
              <w:instrText xml:space="preserve"> HYPERLINK "https://aiqicha.baidu.com/detail/compinfo?pid=xlTM-TogKuTwZxhi*n3m9ahbwse-3iRwVAmd&amp;pd=aen&amp;from=ps&amp;query=%E5%B8%B8%E5%B7%9E%E5%B8%82%E6%96%B0%E5%AE%89%E6%B0%B4%E5%88%A9%E5%B7%A5%E7%A8%8B%E6%9C%89%E9%99%90%E5%85%AC%E5%8F%B8" \t "https://www.baidu.com/_blank" </w:instrText>
            </w:r>
            <w:r>
              <w:rPr>
                <w:rFonts w:hint="default" w:cs="Times New Roman"/>
                <w:b w:val="0"/>
                <w:bCs w:val="0"/>
                <w:sz w:val="24"/>
                <w:szCs w:val="24"/>
                <w:lang w:val="en-US" w:eastAsia="zh-CN"/>
              </w:rPr>
              <w:fldChar w:fldCharType="separate"/>
            </w:r>
            <w:r>
              <w:rPr>
                <w:rFonts w:hint="default" w:cs="Times New Roman"/>
                <w:b w:val="0"/>
                <w:bCs w:val="0"/>
                <w:sz w:val="24"/>
                <w:szCs w:val="24"/>
                <w:lang w:val="en-US" w:eastAsia="zh-CN"/>
              </w:rPr>
              <w:t>常州市新安水利工程有限公司</w:t>
            </w:r>
            <w:r>
              <w:rPr>
                <w:rFonts w:hint="default" w:cs="Times New Roman"/>
                <w:b w:val="0"/>
                <w:bCs w:val="0"/>
                <w:sz w:val="24"/>
                <w:szCs w:val="24"/>
                <w:lang w:val="en-US" w:eastAsia="zh-CN"/>
              </w:rPr>
              <w:fldChar w:fldCharType="end"/>
            </w:r>
            <w:r>
              <w:rPr>
                <w:rFonts w:hint="eastAsia" w:cs="Times New Roman"/>
                <w:b w:val="0"/>
                <w:bCs w:val="0"/>
                <w:sz w:val="24"/>
                <w:szCs w:val="24"/>
                <w:lang w:val="en-US" w:eastAsia="zh-CN"/>
              </w:rPr>
              <w:t>建筑材料堆存，无历史遗留问题。</w:t>
            </w:r>
          </w:p>
          <w:p w14:paraId="7B2589AC">
            <w:pPr>
              <w:pStyle w:val="3"/>
              <w:numPr>
                <w:ilvl w:val="0"/>
                <w:numId w:val="0"/>
              </w:numPr>
              <w:spacing w:line="480" w:lineRule="exact"/>
              <w:ind w:firstLine="480" w:firstLineChars="200"/>
              <w:rPr>
                <w:rFonts w:hint="eastAsia" w:cs="Times New Roman"/>
                <w:b w:val="0"/>
                <w:bCs w:val="0"/>
                <w:sz w:val="24"/>
                <w:szCs w:val="24"/>
                <w:lang w:val="en-US" w:eastAsia="zh-CN"/>
              </w:rPr>
            </w:pPr>
          </w:p>
          <w:p w14:paraId="3FCC837C">
            <w:pPr>
              <w:pStyle w:val="3"/>
              <w:numPr>
                <w:ilvl w:val="0"/>
                <w:numId w:val="0"/>
              </w:numPr>
              <w:spacing w:line="480" w:lineRule="exact"/>
              <w:ind w:firstLine="480" w:firstLineChars="200"/>
              <w:rPr>
                <w:rFonts w:hint="eastAsia" w:cs="Times New Roman"/>
                <w:b w:val="0"/>
                <w:bCs w:val="0"/>
                <w:sz w:val="24"/>
                <w:szCs w:val="24"/>
                <w:lang w:val="en-US" w:eastAsia="zh-CN"/>
              </w:rPr>
            </w:pPr>
          </w:p>
          <w:p w14:paraId="7CD8B066">
            <w:pPr>
              <w:pStyle w:val="3"/>
              <w:numPr>
                <w:ilvl w:val="0"/>
                <w:numId w:val="0"/>
              </w:numPr>
              <w:spacing w:line="480" w:lineRule="exact"/>
              <w:ind w:firstLine="480" w:firstLineChars="200"/>
              <w:rPr>
                <w:rFonts w:hint="eastAsia" w:cs="Times New Roman"/>
                <w:b w:val="0"/>
                <w:bCs w:val="0"/>
                <w:sz w:val="24"/>
                <w:szCs w:val="24"/>
                <w:lang w:val="en-US" w:eastAsia="zh-CN"/>
              </w:rPr>
            </w:pPr>
          </w:p>
          <w:p w14:paraId="0B949250">
            <w:pPr>
              <w:pStyle w:val="3"/>
              <w:numPr>
                <w:ilvl w:val="0"/>
                <w:numId w:val="0"/>
              </w:numPr>
              <w:spacing w:line="480" w:lineRule="exact"/>
              <w:ind w:firstLine="480" w:firstLineChars="200"/>
              <w:rPr>
                <w:rFonts w:hint="eastAsia" w:cs="Times New Roman"/>
                <w:b w:val="0"/>
                <w:bCs w:val="0"/>
                <w:sz w:val="24"/>
                <w:szCs w:val="24"/>
                <w:lang w:val="en-US" w:eastAsia="zh-CN"/>
              </w:rPr>
            </w:pPr>
          </w:p>
          <w:p w14:paraId="027E7055">
            <w:pPr>
              <w:pStyle w:val="3"/>
              <w:numPr>
                <w:ilvl w:val="0"/>
                <w:numId w:val="0"/>
              </w:numPr>
              <w:spacing w:line="480" w:lineRule="exact"/>
              <w:ind w:firstLine="480" w:firstLineChars="200"/>
              <w:rPr>
                <w:rFonts w:hint="eastAsia" w:cs="Times New Roman"/>
                <w:b w:val="0"/>
                <w:bCs w:val="0"/>
                <w:sz w:val="24"/>
                <w:szCs w:val="24"/>
                <w:lang w:val="en-US" w:eastAsia="zh-CN"/>
              </w:rPr>
            </w:pPr>
          </w:p>
          <w:p w14:paraId="5E29FFE4">
            <w:pPr>
              <w:pStyle w:val="3"/>
              <w:numPr>
                <w:ilvl w:val="0"/>
                <w:numId w:val="0"/>
              </w:numPr>
              <w:spacing w:line="480" w:lineRule="exact"/>
              <w:ind w:firstLine="480" w:firstLineChars="200"/>
              <w:rPr>
                <w:rFonts w:hint="eastAsia" w:cs="Times New Roman"/>
                <w:b w:val="0"/>
                <w:bCs w:val="0"/>
                <w:sz w:val="24"/>
                <w:szCs w:val="24"/>
                <w:lang w:val="en-US" w:eastAsia="zh-CN"/>
              </w:rPr>
            </w:pPr>
          </w:p>
          <w:p w14:paraId="6E00AA42">
            <w:pPr>
              <w:pStyle w:val="3"/>
              <w:numPr>
                <w:ilvl w:val="0"/>
                <w:numId w:val="0"/>
              </w:numPr>
              <w:spacing w:line="480" w:lineRule="exact"/>
              <w:ind w:firstLine="480" w:firstLineChars="200"/>
              <w:rPr>
                <w:rFonts w:hint="eastAsia" w:cs="Times New Roman"/>
                <w:b w:val="0"/>
                <w:bCs w:val="0"/>
                <w:sz w:val="24"/>
                <w:szCs w:val="24"/>
                <w:lang w:val="en-US" w:eastAsia="zh-CN"/>
              </w:rPr>
            </w:pPr>
          </w:p>
          <w:p w14:paraId="0F55E7D3">
            <w:pPr>
              <w:pStyle w:val="3"/>
              <w:numPr>
                <w:ilvl w:val="0"/>
                <w:numId w:val="0"/>
              </w:numPr>
              <w:spacing w:line="480" w:lineRule="exact"/>
              <w:rPr>
                <w:rFonts w:hint="default" w:cs="Times New Roman"/>
                <w:b w:val="0"/>
                <w:bCs w:val="0"/>
                <w:sz w:val="24"/>
                <w:szCs w:val="24"/>
                <w:lang w:val="en-US" w:eastAsia="zh-CN"/>
              </w:rPr>
            </w:pPr>
          </w:p>
          <w:p w14:paraId="6569F975">
            <w:pPr>
              <w:pStyle w:val="3"/>
              <w:numPr>
                <w:ilvl w:val="0"/>
                <w:numId w:val="0"/>
              </w:numPr>
              <w:spacing w:line="480" w:lineRule="exact"/>
              <w:ind w:firstLine="480" w:firstLineChars="200"/>
              <w:rPr>
                <w:rFonts w:hint="eastAsia" w:cs="Times New Roman"/>
                <w:b w:val="0"/>
                <w:bCs w:val="0"/>
                <w:sz w:val="24"/>
                <w:szCs w:val="24"/>
                <w:lang w:val="en-US" w:eastAsia="zh-CN"/>
              </w:rPr>
            </w:pPr>
          </w:p>
          <w:p w14:paraId="457C1E68">
            <w:pPr>
              <w:pStyle w:val="3"/>
              <w:numPr>
                <w:ilvl w:val="0"/>
                <w:numId w:val="0"/>
              </w:numPr>
              <w:spacing w:line="480" w:lineRule="exact"/>
              <w:ind w:firstLine="480" w:firstLineChars="200"/>
              <w:rPr>
                <w:rFonts w:hint="eastAsia" w:cs="Times New Roman"/>
                <w:b w:val="0"/>
                <w:bCs w:val="0"/>
                <w:sz w:val="24"/>
                <w:szCs w:val="24"/>
                <w:lang w:val="en-US" w:eastAsia="zh-CN"/>
              </w:rPr>
            </w:pPr>
          </w:p>
          <w:p w14:paraId="311A2801">
            <w:pPr>
              <w:pStyle w:val="3"/>
              <w:numPr>
                <w:ilvl w:val="0"/>
                <w:numId w:val="0"/>
              </w:numPr>
              <w:spacing w:line="480" w:lineRule="exact"/>
              <w:ind w:firstLine="480" w:firstLineChars="200"/>
              <w:rPr>
                <w:rFonts w:hint="eastAsia" w:cs="Times New Roman"/>
                <w:b w:val="0"/>
                <w:bCs w:val="0"/>
                <w:sz w:val="24"/>
                <w:szCs w:val="24"/>
                <w:lang w:val="en-US" w:eastAsia="zh-CN"/>
              </w:rPr>
            </w:pPr>
          </w:p>
          <w:p w14:paraId="2853A73C">
            <w:pPr>
              <w:pStyle w:val="3"/>
              <w:numPr>
                <w:ilvl w:val="0"/>
                <w:numId w:val="0"/>
              </w:numPr>
              <w:spacing w:line="480" w:lineRule="exact"/>
              <w:rPr>
                <w:rFonts w:hint="eastAsia" w:cs="Times New Roman"/>
                <w:b w:val="0"/>
                <w:bCs w:val="0"/>
                <w:sz w:val="24"/>
                <w:szCs w:val="24"/>
                <w:lang w:val="en-US" w:eastAsia="zh-CN"/>
              </w:rPr>
            </w:pPr>
          </w:p>
          <w:p w14:paraId="6F8FF1BF">
            <w:pPr>
              <w:pStyle w:val="3"/>
              <w:numPr>
                <w:ilvl w:val="0"/>
                <w:numId w:val="0"/>
              </w:numPr>
              <w:spacing w:line="480" w:lineRule="exact"/>
              <w:rPr>
                <w:rFonts w:hint="eastAsia" w:cs="Times New Roman"/>
                <w:b w:val="0"/>
                <w:bCs w:val="0"/>
                <w:sz w:val="24"/>
                <w:szCs w:val="24"/>
                <w:lang w:val="en-US" w:eastAsia="zh-CN"/>
              </w:rPr>
            </w:pPr>
          </w:p>
        </w:tc>
      </w:tr>
    </w:tbl>
    <w:p w14:paraId="750FE30E">
      <w:pPr>
        <w:pStyle w:val="16"/>
        <w:spacing w:before="0" w:beforeAutospacing="0" w:after="0" w:afterAutospacing="0"/>
        <w:jc w:val="center"/>
        <w:rPr>
          <w:rFonts w:ascii="Times New Roman" w:hAnsi="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7319961">
      <w:pPr>
        <w:pStyle w:val="16"/>
        <w:spacing w:before="0" w:beforeAutospacing="0" w:after="0" w:afterAutospacing="0" w:line="240" w:lineRule="auto"/>
        <w:jc w:val="center"/>
        <w:outlineLvl w:val="0"/>
        <w:rPr>
          <w:rFonts w:ascii="Times New Roman" w:hAnsi="Times New Roman"/>
          <w:snapToGrid w:val="0"/>
          <w:sz w:val="30"/>
          <w:szCs w:val="30"/>
          <w:vertAlign w:val="baseline"/>
        </w:rPr>
      </w:pPr>
      <w:r>
        <w:rPr>
          <w:rFonts w:ascii="Times New Roman" w:hAnsi="Times New Roman"/>
          <w:snapToGrid w:val="0"/>
          <w:sz w:val="30"/>
          <w:szCs w:val="30"/>
        </w:rPr>
        <w:t>三、区域环境质量现状、环境保护目标及评价标准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640"/>
      </w:tblGrid>
      <w:tr w14:paraId="7970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clear" w:color="auto" w:fill="auto"/>
            <w:vAlign w:val="center"/>
          </w:tcPr>
          <w:p w14:paraId="4D6E0CD1">
            <w:pPr>
              <w:adjustRightInd w:val="0"/>
              <w:snapToGrid w:val="0"/>
              <w:jc w:val="center"/>
              <w:rPr>
                <w:kern w:val="0"/>
              </w:rPr>
            </w:pPr>
            <w:r>
              <w:rPr>
                <w:kern w:val="0"/>
              </w:rPr>
              <w:t>区域</w:t>
            </w:r>
          </w:p>
          <w:p w14:paraId="2FF96A14">
            <w:pPr>
              <w:adjustRightInd w:val="0"/>
              <w:snapToGrid w:val="0"/>
              <w:jc w:val="center"/>
              <w:rPr>
                <w:kern w:val="0"/>
              </w:rPr>
            </w:pPr>
            <w:r>
              <w:rPr>
                <w:kern w:val="0"/>
              </w:rPr>
              <w:t>环境</w:t>
            </w:r>
          </w:p>
          <w:p w14:paraId="2622CBB9">
            <w:pPr>
              <w:adjustRightInd w:val="0"/>
              <w:snapToGrid w:val="0"/>
              <w:jc w:val="center"/>
              <w:rPr>
                <w:kern w:val="0"/>
              </w:rPr>
            </w:pPr>
            <w:r>
              <w:rPr>
                <w:kern w:val="0"/>
              </w:rPr>
              <w:t>质量</w:t>
            </w:r>
          </w:p>
          <w:p w14:paraId="3F5FC417">
            <w:pPr>
              <w:adjustRightInd w:val="0"/>
              <w:snapToGrid w:val="0"/>
              <w:jc w:val="center"/>
              <w:rPr>
                <w:rFonts w:ascii="Times New Roman" w:hAnsi="Times New Roman" w:eastAsia="仿宋" w:cs="Times New Roman"/>
                <w:kern w:val="0"/>
                <w:sz w:val="24"/>
                <w:szCs w:val="21"/>
                <w:lang w:val="en-US" w:eastAsia="zh-CN" w:bidi="ar-SA"/>
              </w:rPr>
            </w:pPr>
            <w:r>
              <w:rPr>
                <w:kern w:val="0"/>
              </w:rPr>
              <w:t>现状</w:t>
            </w:r>
          </w:p>
        </w:tc>
        <w:tc>
          <w:tcPr>
            <w:tcW w:w="8640" w:type="dxa"/>
            <w:shd w:val="clear" w:color="auto" w:fill="auto"/>
            <w:vAlign w:val="center"/>
          </w:tcPr>
          <w:p w14:paraId="3E98BF32">
            <w:pPr>
              <w:spacing w:line="480" w:lineRule="exact"/>
              <w:ind w:firstLine="482" w:firstLineChars="200"/>
              <w:jc w:val="left"/>
              <w:rPr>
                <w:b/>
                <w:bCs/>
              </w:rPr>
            </w:pPr>
            <w:r>
              <w:rPr>
                <w:b/>
                <w:bCs/>
              </w:rPr>
              <w:t>1、空气环境质量现状</w:t>
            </w:r>
          </w:p>
          <w:p w14:paraId="587FF44E">
            <w:pPr>
              <w:spacing w:line="480" w:lineRule="exact"/>
              <w:ind w:firstLine="480" w:firstLineChars="200"/>
              <w:jc w:val="left"/>
            </w:pPr>
            <w:r>
              <w:t>（1）项目所在区域达标情况判断</w:t>
            </w:r>
          </w:p>
          <w:p w14:paraId="5FFC2601">
            <w:pPr>
              <w:spacing w:line="480" w:lineRule="exact"/>
              <w:ind w:firstLine="480" w:firstLineChars="200"/>
            </w:pPr>
            <w:r>
              <w:t>根据《环境影响评价技术导则 大气环境》（HJ2.2-2018），项目所在区域达标情况判定优先采用国家或地方生态环境主管部门公开发布的环境质量报告或环境质量报告书中的数据或结论。</w:t>
            </w:r>
          </w:p>
          <w:p w14:paraId="4BE9A8F8">
            <w:pPr>
              <w:spacing w:line="480" w:lineRule="exact"/>
              <w:ind w:firstLine="480" w:firstLineChars="200"/>
            </w:pPr>
            <w:r>
              <w:t>本次评价选取202</w:t>
            </w:r>
            <w:r>
              <w:rPr>
                <w:rFonts w:hint="eastAsia"/>
                <w:lang w:val="en-US" w:eastAsia="zh-CN"/>
              </w:rPr>
              <w:t>4</w:t>
            </w:r>
            <w:r>
              <w:t>年作为评价基准年，根据《202</w:t>
            </w:r>
            <w:r>
              <w:rPr>
                <w:rFonts w:hint="eastAsia"/>
                <w:lang w:val="en-US" w:eastAsia="zh-CN"/>
              </w:rPr>
              <w:t>4</w:t>
            </w:r>
            <w:r>
              <w:t>常州市生态环境状况公报》，常州市区大气基本污染物环境质量现状见表3-1。</w:t>
            </w:r>
          </w:p>
          <w:p w14:paraId="45E8182F">
            <w:pPr>
              <w:spacing w:line="240" w:lineRule="auto"/>
              <w:jc w:val="center"/>
              <w:rPr>
                <w:b/>
                <w:sz w:val="21"/>
                <w:szCs w:val="18"/>
              </w:rPr>
            </w:pPr>
            <w:r>
              <w:rPr>
                <w:b/>
                <w:sz w:val="21"/>
                <w:szCs w:val="18"/>
              </w:rPr>
              <w:t xml:space="preserve">表3-1 </w:t>
            </w:r>
            <w:r>
              <w:rPr>
                <w:rFonts w:hint="eastAsia"/>
                <w:b/>
                <w:sz w:val="21"/>
                <w:szCs w:val="18"/>
              </w:rPr>
              <w:t xml:space="preserve"> </w:t>
            </w:r>
            <w:r>
              <w:rPr>
                <w:b/>
                <w:sz w:val="21"/>
                <w:szCs w:val="18"/>
              </w:rPr>
              <w:t>常州市区大气基本污染物环境质量现状</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555"/>
              <w:gridCol w:w="1919"/>
              <w:gridCol w:w="1220"/>
              <w:gridCol w:w="925"/>
              <w:gridCol w:w="936"/>
            </w:tblGrid>
            <w:tr w14:paraId="7264C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6E454DA6">
                  <w:pPr>
                    <w:spacing w:line="280" w:lineRule="exact"/>
                    <w:jc w:val="center"/>
                    <w:rPr>
                      <w:b/>
                      <w:bCs/>
                      <w:sz w:val="21"/>
                      <w:szCs w:val="21"/>
                    </w:rPr>
                  </w:pPr>
                  <w:r>
                    <w:rPr>
                      <w:b/>
                      <w:bCs/>
                      <w:sz w:val="21"/>
                      <w:szCs w:val="21"/>
                    </w:rPr>
                    <w:t>污染物</w:t>
                  </w:r>
                </w:p>
              </w:tc>
              <w:tc>
                <w:tcPr>
                  <w:tcW w:w="1517" w:type="pct"/>
                  <w:vAlign w:val="center"/>
                </w:tcPr>
                <w:p w14:paraId="35E83901">
                  <w:pPr>
                    <w:spacing w:line="280" w:lineRule="exact"/>
                    <w:jc w:val="center"/>
                    <w:rPr>
                      <w:b/>
                      <w:bCs/>
                      <w:sz w:val="21"/>
                      <w:szCs w:val="21"/>
                    </w:rPr>
                  </w:pPr>
                  <w:r>
                    <w:rPr>
                      <w:b/>
                      <w:bCs/>
                      <w:sz w:val="21"/>
                      <w:szCs w:val="21"/>
                    </w:rPr>
                    <w:t>评价指标</w:t>
                  </w:r>
                </w:p>
              </w:tc>
              <w:tc>
                <w:tcPr>
                  <w:tcW w:w="1139" w:type="pct"/>
                  <w:vAlign w:val="center"/>
                </w:tcPr>
                <w:p w14:paraId="47B794E4">
                  <w:pPr>
                    <w:spacing w:line="280" w:lineRule="exact"/>
                    <w:jc w:val="center"/>
                    <w:rPr>
                      <w:b/>
                      <w:bCs/>
                      <w:sz w:val="21"/>
                      <w:szCs w:val="21"/>
                    </w:rPr>
                  </w:pPr>
                  <w:r>
                    <w:rPr>
                      <w:b/>
                      <w:bCs/>
                      <w:sz w:val="21"/>
                      <w:szCs w:val="21"/>
                    </w:rPr>
                    <w:t>现状浓度</w:t>
                  </w:r>
                </w:p>
                <w:p w14:paraId="1400F941">
                  <w:pPr>
                    <w:spacing w:line="280" w:lineRule="exact"/>
                    <w:jc w:val="center"/>
                    <w:rPr>
                      <w:b/>
                      <w:bCs/>
                      <w:sz w:val="21"/>
                      <w:szCs w:val="21"/>
                    </w:rPr>
                  </w:pPr>
                  <w:r>
                    <w:rPr>
                      <w:b/>
                      <w:bCs/>
                      <w:sz w:val="21"/>
                      <w:szCs w:val="21"/>
                    </w:rPr>
                    <w:t>（μg/m</w:t>
                  </w:r>
                  <w:r>
                    <w:rPr>
                      <w:b/>
                      <w:bCs/>
                      <w:sz w:val="21"/>
                      <w:szCs w:val="21"/>
                      <w:vertAlign w:val="superscript"/>
                    </w:rPr>
                    <w:t>3</w:t>
                  </w:r>
                  <w:r>
                    <w:rPr>
                      <w:b/>
                      <w:bCs/>
                      <w:sz w:val="21"/>
                      <w:szCs w:val="21"/>
                    </w:rPr>
                    <w:t>）</w:t>
                  </w:r>
                </w:p>
              </w:tc>
              <w:tc>
                <w:tcPr>
                  <w:tcW w:w="724" w:type="pct"/>
                  <w:vAlign w:val="center"/>
                </w:tcPr>
                <w:p w14:paraId="1C96B935">
                  <w:pPr>
                    <w:spacing w:line="280" w:lineRule="exact"/>
                    <w:jc w:val="center"/>
                    <w:rPr>
                      <w:b/>
                      <w:bCs/>
                      <w:sz w:val="21"/>
                      <w:szCs w:val="21"/>
                    </w:rPr>
                  </w:pPr>
                  <w:r>
                    <w:rPr>
                      <w:b/>
                      <w:bCs/>
                      <w:sz w:val="21"/>
                      <w:szCs w:val="21"/>
                    </w:rPr>
                    <w:t>标准值（μg/m</w:t>
                  </w:r>
                  <w:r>
                    <w:rPr>
                      <w:b/>
                      <w:bCs/>
                      <w:sz w:val="21"/>
                      <w:szCs w:val="21"/>
                      <w:vertAlign w:val="superscript"/>
                    </w:rPr>
                    <w:t>3</w:t>
                  </w:r>
                  <w:r>
                    <w:rPr>
                      <w:b/>
                      <w:bCs/>
                      <w:sz w:val="21"/>
                      <w:szCs w:val="21"/>
                    </w:rPr>
                    <w:t>）</w:t>
                  </w:r>
                </w:p>
              </w:tc>
              <w:tc>
                <w:tcPr>
                  <w:tcW w:w="549" w:type="pct"/>
                  <w:vAlign w:val="center"/>
                </w:tcPr>
                <w:p w14:paraId="404FA8B6">
                  <w:pPr>
                    <w:spacing w:line="280" w:lineRule="exact"/>
                    <w:jc w:val="center"/>
                    <w:rPr>
                      <w:b/>
                      <w:bCs/>
                      <w:sz w:val="21"/>
                      <w:szCs w:val="21"/>
                    </w:rPr>
                  </w:pPr>
                  <w:r>
                    <w:rPr>
                      <w:b/>
                      <w:bCs/>
                      <w:sz w:val="21"/>
                      <w:szCs w:val="21"/>
                    </w:rPr>
                    <w:t>达标率%</w:t>
                  </w:r>
                </w:p>
              </w:tc>
              <w:tc>
                <w:tcPr>
                  <w:tcW w:w="555" w:type="pct"/>
                  <w:vAlign w:val="center"/>
                </w:tcPr>
                <w:p w14:paraId="568DF101">
                  <w:pPr>
                    <w:spacing w:line="280" w:lineRule="exact"/>
                    <w:jc w:val="center"/>
                    <w:rPr>
                      <w:b/>
                      <w:bCs/>
                      <w:sz w:val="21"/>
                      <w:szCs w:val="21"/>
                    </w:rPr>
                  </w:pPr>
                  <w:r>
                    <w:rPr>
                      <w:b/>
                      <w:bCs/>
                      <w:sz w:val="21"/>
                      <w:szCs w:val="21"/>
                    </w:rPr>
                    <w:t>达标</w:t>
                  </w:r>
                </w:p>
                <w:p w14:paraId="0634CD18">
                  <w:pPr>
                    <w:spacing w:line="280" w:lineRule="exact"/>
                    <w:jc w:val="center"/>
                    <w:rPr>
                      <w:b/>
                      <w:bCs/>
                      <w:sz w:val="21"/>
                      <w:szCs w:val="21"/>
                    </w:rPr>
                  </w:pPr>
                  <w:r>
                    <w:rPr>
                      <w:b/>
                      <w:bCs/>
                      <w:sz w:val="21"/>
                      <w:szCs w:val="21"/>
                    </w:rPr>
                    <w:t>情况</w:t>
                  </w:r>
                </w:p>
              </w:tc>
            </w:tr>
            <w:tr w14:paraId="22318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restart"/>
                  <w:vAlign w:val="center"/>
                </w:tcPr>
                <w:p w14:paraId="4F778A73">
                  <w:pPr>
                    <w:spacing w:line="280" w:lineRule="exact"/>
                    <w:jc w:val="center"/>
                    <w:rPr>
                      <w:sz w:val="21"/>
                      <w:szCs w:val="21"/>
                    </w:rPr>
                  </w:pPr>
                  <w:r>
                    <w:rPr>
                      <w:sz w:val="21"/>
                      <w:szCs w:val="21"/>
                    </w:rPr>
                    <w:t>SO</w:t>
                  </w:r>
                  <w:r>
                    <w:rPr>
                      <w:sz w:val="21"/>
                      <w:szCs w:val="21"/>
                      <w:vertAlign w:val="subscript"/>
                    </w:rPr>
                    <w:t>2</w:t>
                  </w:r>
                </w:p>
              </w:tc>
              <w:tc>
                <w:tcPr>
                  <w:tcW w:w="1517" w:type="pct"/>
                  <w:vAlign w:val="center"/>
                </w:tcPr>
                <w:p w14:paraId="51D3EFD4">
                  <w:pPr>
                    <w:spacing w:line="280" w:lineRule="exact"/>
                    <w:jc w:val="center"/>
                    <w:rPr>
                      <w:sz w:val="21"/>
                      <w:szCs w:val="21"/>
                    </w:rPr>
                  </w:pPr>
                  <w:r>
                    <w:rPr>
                      <w:sz w:val="21"/>
                      <w:szCs w:val="21"/>
                    </w:rPr>
                    <w:t>年平均质量浓度</w:t>
                  </w:r>
                </w:p>
              </w:tc>
              <w:tc>
                <w:tcPr>
                  <w:tcW w:w="1139" w:type="pct"/>
                  <w:vAlign w:val="center"/>
                </w:tcPr>
                <w:p w14:paraId="1EF65969">
                  <w:pPr>
                    <w:spacing w:line="280" w:lineRule="exact"/>
                    <w:jc w:val="center"/>
                    <w:rPr>
                      <w:sz w:val="21"/>
                      <w:szCs w:val="21"/>
                    </w:rPr>
                  </w:pPr>
                  <w:r>
                    <w:rPr>
                      <w:sz w:val="21"/>
                      <w:szCs w:val="21"/>
                    </w:rPr>
                    <w:t>8</w:t>
                  </w:r>
                </w:p>
              </w:tc>
              <w:tc>
                <w:tcPr>
                  <w:tcW w:w="724" w:type="pct"/>
                  <w:vAlign w:val="center"/>
                </w:tcPr>
                <w:p w14:paraId="1B4F1A34">
                  <w:pPr>
                    <w:spacing w:line="280" w:lineRule="exact"/>
                    <w:jc w:val="center"/>
                    <w:rPr>
                      <w:sz w:val="21"/>
                      <w:szCs w:val="21"/>
                    </w:rPr>
                  </w:pPr>
                  <w:r>
                    <w:rPr>
                      <w:sz w:val="21"/>
                      <w:szCs w:val="21"/>
                    </w:rPr>
                    <w:t>60</w:t>
                  </w:r>
                </w:p>
              </w:tc>
              <w:tc>
                <w:tcPr>
                  <w:tcW w:w="549" w:type="pct"/>
                  <w:vAlign w:val="center"/>
                </w:tcPr>
                <w:p w14:paraId="143F2DD9">
                  <w:pPr>
                    <w:spacing w:line="280" w:lineRule="exact"/>
                    <w:jc w:val="center"/>
                    <w:rPr>
                      <w:sz w:val="21"/>
                      <w:szCs w:val="21"/>
                    </w:rPr>
                  </w:pPr>
                  <w:r>
                    <w:rPr>
                      <w:sz w:val="21"/>
                      <w:szCs w:val="21"/>
                    </w:rPr>
                    <w:t>100</w:t>
                  </w:r>
                </w:p>
              </w:tc>
              <w:tc>
                <w:tcPr>
                  <w:tcW w:w="555" w:type="pct"/>
                  <w:vMerge w:val="restart"/>
                  <w:vAlign w:val="center"/>
                </w:tcPr>
                <w:p w14:paraId="187997A6">
                  <w:pPr>
                    <w:spacing w:line="280" w:lineRule="exact"/>
                    <w:jc w:val="center"/>
                    <w:rPr>
                      <w:sz w:val="21"/>
                      <w:szCs w:val="21"/>
                    </w:rPr>
                  </w:pPr>
                  <w:r>
                    <w:rPr>
                      <w:sz w:val="21"/>
                      <w:szCs w:val="21"/>
                    </w:rPr>
                    <w:t>达标</w:t>
                  </w:r>
                </w:p>
              </w:tc>
            </w:tr>
            <w:tr w14:paraId="61BA6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continue"/>
                  <w:vAlign w:val="center"/>
                </w:tcPr>
                <w:p w14:paraId="120B670C">
                  <w:pPr>
                    <w:spacing w:line="280" w:lineRule="exact"/>
                    <w:jc w:val="center"/>
                    <w:rPr>
                      <w:sz w:val="21"/>
                      <w:szCs w:val="21"/>
                    </w:rPr>
                  </w:pPr>
                </w:p>
              </w:tc>
              <w:tc>
                <w:tcPr>
                  <w:tcW w:w="1517" w:type="pct"/>
                  <w:vAlign w:val="center"/>
                </w:tcPr>
                <w:p w14:paraId="42D279EC">
                  <w:pPr>
                    <w:spacing w:line="280" w:lineRule="exact"/>
                    <w:jc w:val="center"/>
                    <w:rPr>
                      <w:sz w:val="21"/>
                      <w:szCs w:val="21"/>
                    </w:rPr>
                  </w:pPr>
                  <w:r>
                    <w:rPr>
                      <w:sz w:val="21"/>
                      <w:szCs w:val="21"/>
                    </w:rPr>
                    <w:t>日平均质量浓度</w:t>
                  </w:r>
                </w:p>
              </w:tc>
              <w:tc>
                <w:tcPr>
                  <w:tcW w:w="1139" w:type="pct"/>
                  <w:vAlign w:val="center"/>
                </w:tcPr>
                <w:p w14:paraId="7EEFC787">
                  <w:pPr>
                    <w:spacing w:line="280" w:lineRule="exact"/>
                    <w:jc w:val="center"/>
                    <w:rPr>
                      <w:rFonts w:hint="default" w:eastAsia="仿宋"/>
                      <w:sz w:val="21"/>
                      <w:szCs w:val="21"/>
                      <w:lang w:val="en-US" w:eastAsia="zh-CN"/>
                    </w:rPr>
                  </w:pPr>
                  <w:r>
                    <w:rPr>
                      <w:rFonts w:hint="eastAsia"/>
                      <w:sz w:val="21"/>
                      <w:szCs w:val="21"/>
                      <w:lang w:val="en-US" w:eastAsia="zh-CN"/>
                    </w:rPr>
                    <w:t>5~15</w:t>
                  </w:r>
                </w:p>
              </w:tc>
              <w:tc>
                <w:tcPr>
                  <w:tcW w:w="724" w:type="pct"/>
                  <w:vAlign w:val="center"/>
                </w:tcPr>
                <w:p w14:paraId="168D36AF">
                  <w:pPr>
                    <w:spacing w:line="280" w:lineRule="exact"/>
                    <w:jc w:val="center"/>
                    <w:rPr>
                      <w:sz w:val="21"/>
                      <w:szCs w:val="21"/>
                    </w:rPr>
                  </w:pPr>
                  <w:r>
                    <w:rPr>
                      <w:sz w:val="21"/>
                      <w:szCs w:val="21"/>
                    </w:rPr>
                    <w:t>150</w:t>
                  </w:r>
                </w:p>
              </w:tc>
              <w:tc>
                <w:tcPr>
                  <w:tcW w:w="549" w:type="pct"/>
                  <w:vAlign w:val="center"/>
                </w:tcPr>
                <w:p w14:paraId="2258878A">
                  <w:pPr>
                    <w:spacing w:line="280" w:lineRule="exact"/>
                    <w:jc w:val="center"/>
                    <w:rPr>
                      <w:sz w:val="21"/>
                      <w:szCs w:val="21"/>
                    </w:rPr>
                  </w:pPr>
                  <w:r>
                    <w:rPr>
                      <w:sz w:val="21"/>
                      <w:szCs w:val="21"/>
                    </w:rPr>
                    <w:t>100</w:t>
                  </w:r>
                </w:p>
              </w:tc>
              <w:tc>
                <w:tcPr>
                  <w:tcW w:w="555" w:type="pct"/>
                  <w:vMerge w:val="continue"/>
                  <w:vAlign w:val="center"/>
                </w:tcPr>
                <w:p w14:paraId="6C1E361C">
                  <w:pPr>
                    <w:spacing w:line="280" w:lineRule="exact"/>
                    <w:jc w:val="center"/>
                    <w:rPr>
                      <w:sz w:val="21"/>
                      <w:szCs w:val="21"/>
                    </w:rPr>
                  </w:pPr>
                </w:p>
              </w:tc>
            </w:tr>
            <w:tr w14:paraId="54716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restart"/>
                  <w:vAlign w:val="center"/>
                </w:tcPr>
                <w:p w14:paraId="6540A5C4">
                  <w:pPr>
                    <w:spacing w:line="280" w:lineRule="exact"/>
                    <w:jc w:val="center"/>
                    <w:rPr>
                      <w:sz w:val="21"/>
                      <w:szCs w:val="21"/>
                    </w:rPr>
                  </w:pPr>
                  <w:r>
                    <w:rPr>
                      <w:sz w:val="21"/>
                      <w:szCs w:val="21"/>
                    </w:rPr>
                    <w:t>NO</w:t>
                  </w:r>
                  <w:r>
                    <w:rPr>
                      <w:sz w:val="21"/>
                      <w:szCs w:val="21"/>
                      <w:vertAlign w:val="subscript"/>
                    </w:rPr>
                    <w:t>2</w:t>
                  </w:r>
                </w:p>
              </w:tc>
              <w:tc>
                <w:tcPr>
                  <w:tcW w:w="1517" w:type="pct"/>
                  <w:vAlign w:val="center"/>
                </w:tcPr>
                <w:p w14:paraId="77593EE1">
                  <w:pPr>
                    <w:spacing w:line="280" w:lineRule="exact"/>
                    <w:jc w:val="center"/>
                    <w:rPr>
                      <w:sz w:val="21"/>
                      <w:szCs w:val="21"/>
                    </w:rPr>
                  </w:pPr>
                  <w:r>
                    <w:rPr>
                      <w:sz w:val="21"/>
                      <w:szCs w:val="21"/>
                    </w:rPr>
                    <w:t>年平均质量浓度</w:t>
                  </w:r>
                </w:p>
              </w:tc>
              <w:tc>
                <w:tcPr>
                  <w:tcW w:w="1139" w:type="pct"/>
                  <w:vAlign w:val="center"/>
                </w:tcPr>
                <w:p w14:paraId="5FC65D8D">
                  <w:pPr>
                    <w:spacing w:line="280" w:lineRule="exact"/>
                    <w:jc w:val="center"/>
                    <w:rPr>
                      <w:rFonts w:hint="default" w:eastAsia="仿宋"/>
                      <w:sz w:val="21"/>
                      <w:szCs w:val="21"/>
                      <w:lang w:val="en-US" w:eastAsia="zh-CN"/>
                    </w:rPr>
                  </w:pPr>
                  <w:r>
                    <w:rPr>
                      <w:rFonts w:hint="eastAsia"/>
                      <w:sz w:val="21"/>
                      <w:szCs w:val="21"/>
                      <w:lang w:val="en-US" w:eastAsia="zh-CN"/>
                    </w:rPr>
                    <w:t>26</w:t>
                  </w:r>
                </w:p>
              </w:tc>
              <w:tc>
                <w:tcPr>
                  <w:tcW w:w="724" w:type="pct"/>
                  <w:vAlign w:val="center"/>
                </w:tcPr>
                <w:p w14:paraId="54C818CB">
                  <w:pPr>
                    <w:spacing w:line="280" w:lineRule="exact"/>
                    <w:jc w:val="center"/>
                    <w:rPr>
                      <w:sz w:val="21"/>
                      <w:szCs w:val="21"/>
                    </w:rPr>
                  </w:pPr>
                  <w:r>
                    <w:rPr>
                      <w:sz w:val="21"/>
                      <w:szCs w:val="21"/>
                    </w:rPr>
                    <w:t>40</w:t>
                  </w:r>
                </w:p>
              </w:tc>
              <w:tc>
                <w:tcPr>
                  <w:tcW w:w="549" w:type="pct"/>
                  <w:vAlign w:val="center"/>
                </w:tcPr>
                <w:p w14:paraId="33189D55">
                  <w:pPr>
                    <w:spacing w:line="280" w:lineRule="exact"/>
                    <w:jc w:val="center"/>
                    <w:rPr>
                      <w:sz w:val="21"/>
                      <w:szCs w:val="21"/>
                    </w:rPr>
                  </w:pPr>
                  <w:r>
                    <w:rPr>
                      <w:sz w:val="21"/>
                      <w:szCs w:val="21"/>
                    </w:rPr>
                    <w:t>100</w:t>
                  </w:r>
                </w:p>
              </w:tc>
              <w:tc>
                <w:tcPr>
                  <w:tcW w:w="555" w:type="pct"/>
                  <w:vMerge w:val="restart"/>
                  <w:vAlign w:val="center"/>
                </w:tcPr>
                <w:p w14:paraId="6F3ED9DF">
                  <w:pPr>
                    <w:spacing w:line="280" w:lineRule="exact"/>
                    <w:jc w:val="center"/>
                    <w:rPr>
                      <w:sz w:val="21"/>
                      <w:szCs w:val="21"/>
                    </w:rPr>
                  </w:pPr>
                  <w:r>
                    <w:rPr>
                      <w:sz w:val="21"/>
                      <w:szCs w:val="21"/>
                    </w:rPr>
                    <w:t>达标</w:t>
                  </w:r>
                </w:p>
              </w:tc>
            </w:tr>
            <w:tr w14:paraId="2C361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continue"/>
                  <w:vAlign w:val="center"/>
                </w:tcPr>
                <w:p w14:paraId="002211DE">
                  <w:pPr>
                    <w:spacing w:line="280" w:lineRule="exact"/>
                    <w:jc w:val="center"/>
                    <w:rPr>
                      <w:sz w:val="21"/>
                      <w:szCs w:val="21"/>
                    </w:rPr>
                  </w:pPr>
                </w:p>
              </w:tc>
              <w:tc>
                <w:tcPr>
                  <w:tcW w:w="1517" w:type="pct"/>
                  <w:vAlign w:val="center"/>
                </w:tcPr>
                <w:p w14:paraId="6E21C122">
                  <w:pPr>
                    <w:spacing w:line="280" w:lineRule="exact"/>
                    <w:jc w:val="center"/>
                    <w:rPr>
                      <w:sz w:val="21"/>
                      <w:szCs w:val="21"/>
                    </w:rPr>
                  </w:pPr>
                  <w:r>
                    <w:rPr>
                      <w:sz w:val="21"/>
                      <w:szCs w:val="21"/>
                    </w:rPr>
                    <w:t>日平均质量浓度</w:t>
                  </w:r>
                </w:p>
              </w:tc>
              <w:tc>
                <w:tcPr>
                  <w:tcW w:w="1139" w:type="pct"/>
                  <w:vAlign w:val="center"/>
                </w:tcPr>
                <w:p w14:paraId="0A663A32">
                  <w:pPr>
                    <w:spacing w:line="280" w:lineRule="exact"/>
                    <w:jc w:val="center"/>
                    <w:rPr>
                      <w:rFonts w:hint="default" w:eastAsia="仿宋"/>
                      <w:sz w:val="21"/>
                      <w:szCs w:val="21"/>
                      <w:lang w:val="en-US" w:eastAsia="zh-CN"/>
                    </w:rPr>
                  </w:pPr>
                  <w:r>
                    <w:rPr>
                      <w:rFonts w:hint="eastAsia"/>
                      <w:sz w:val="21"/>
                      <w:szCs w:val="21"/>
                      <w:lang w:val="en-US" w:eastAsia="zh-CN"/>
                    </w:rPr>
                    <w:t>5~92</w:t>
                  </w:r>
                </w:p>
              </w:tc>
              <w:tc>
                <w:tcPr>
                  <w:tcW w:w="724" w:type="pct"/>
                  <w:vAlign w:val="center"/>
                </w:tcPr>
                <w:p w14:paraId="37C4FF13">
                  <w:pPr>
                    <w:spacing w:line="280" w:lineRule="exact"/>
                    <w:jc w:val="center"/>
                    <w:rPr>
                      <w:sz w:val="21"/>
                      <w:szCs w:val="21"/>
                    </w:rPr>
                  </w:pPr>
                  <w:r>
                    <w:rPr>
                      <w:sz w:val="21"/>
                      <w:szCs w:val="21"/>
                    </w:rPr>
                    <w:t>80</w:t>
                  </w:r>
                </w:p>
              </w:tc>
              <w:tc>
                <w:tcPr>
                  <w:tcW w:w="549" w:type="pct"/>
                  <w:vAlign w:val="center"/>
                </w:tcPr>
                <w:p w14:paraId="696399D8">
                  <w:pPr>
                    <w:spacing w:line="280" w:lineRule="exact"/>
                    <w:jc w:val="center"/>
                    <w:rPr>
                      <w:rFonts w:hint="default" w:eastAsia="仿宋"/>
                      <w:sz w:val="21"/>
                      <w:szCs w:val="21"/>
                      <w:lang w:val="en-US" w:eastAsia="zh-CN"/>
                    </w:rPr>
                  </w:pPr>
                  <w:r>
                    <w:rPr>
                      <w:rFonts w:hint="eastAsia"/>
                      <w:sz w:val="21"/>
                      <w:szCs w:val="21"/>
                      <w:lang w:val="en-US" w:eastAsia="zh-CN"/>
                    </w:rPr>
                    <w:t>99.2</w:t>
                  </w:r>
                </w:p>
              </w:tc>
              <w:tc>
                <w:tcPr>
                  <w:tcW w:w="555" w:type="pct"/>
                  <w:vMerge w:val="continue"/>
                  <w:vAlign w:val="center"/>
                </w:tcPr>
                <w:p w14:paraId="65BA2F17">
                  <w:pPr>
                    <w:spacing w:line="280" w:lineRule="exact"/>
                    <w:jc w:val="center"/>
                    <w:rPr>
                      <w:sz w:val="21"/>
                      <w:szCs w:val="21"/>
                    </w:rPr>
                  </w:pPr>
                </w:p>
              </w:tc>
            </w:tr>
            <w:tr w14:paraId="04E2F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6822FAA3">
                  <w:pPr>
                    <w:spacing w:line="280" w:lineRule="exact"/>
                    <w:jc w:val="center"/>
                    <w:rPr>
                      <w:sz w:val="21"/>
                      <w:szCs w:val="21"/>
                    </w:rPr>
                  </w:pPr>
                  <w:r>
                    <w:rPr>
                      <w:sz w:val="21"/>
                      <w:szCs w:val="21"/>
                    </w:rPr>
                    <w:t>CO</w:t>
                  </w:r>
                </w:p>
              </w:tc>
              <w:tc>
                <w:tcPr>
                  <w:tcW w:w="1517" w:type="pct"/>
                  <w:vAlign w:val="center"/>
                </w:tcPr>
                <w:p w14:paraId="3761145E">
                  <w:pPr>
                    <w:spacing w:line="280" w:lineRule="exact"/>
                    <w:jc w:val="center"/>
                    <w:rPr>
                      <w:sz w:val="21"/>
                      <w:szCs w:val="21"/>
                    </w:rPr>
                  </w:pPr>
                  <w:r>
                    <w:rPr>
                      <w:sz w:val="21"/>
                      <w:szCs w:val="21"/>
                    </w:rPr>
                    <w:t>百分位数日平均质量浓度</w:t>
                  </w:r>
                </w:p>
              </w:tc>
              <w:tc>
                <w:tcPr>
                  <w:tcW w:w="1139" w:type="pct"/>
                  <w:vAlign w:val="center"/>
                </w:tcPr>
                <w:p w14:paraId="2F6EDD0E">
                  <w:pPr>
                    <w:spacing w:line="280" w:lineRule="exact"/>
                    <w:jc w:val="center"/>
                    <w:rPr>
                      <w:sz w:val="21"/>
                      <w:szCs w:val="21"/>
                    </w:rPr>
                  </w:pPr>
                  <w:r>
                    <w:rPr>
                      <w:sz w:val="21"/>
                      <w:szCs w:val="21"/>
                    </w:rPr>
                    <w:t>1100</w:t>
                  </w:r>
                </w:p>
                <w:p w14:paraId="00ED901A">
                  <w:pPr>
                    <w:spacing w:line="280" w:lineRule="exact"/>
                    <w:jc w:val="center"/>
                    <w:rPr>
                      <w:sz w:val="21"/>
                      <w:szCs w:val="21"/>
                    </w:rPr>
                  </w:pPr>
                  <w:r>
                    <w:rPr>
                      <w:sz w:val="21"/>
                      <w:szCs w:val="21"/>
                    </w:rPr>
                    <w:t>（第95百分位数）</w:t>
                  </w:r>
                </w:p>
              </w:tc>
              <w:tc>
                <w:tcPr>
                  <w:tcW w:w="724" w:type="pct"/>
                  <w:vAlign w:val="center"/>
                </w:tcPr>
                <w:p w14:paraId="6E93E26E">
                  <w:pPr>
                    <w:spacing w:line="280" w:lineRule="exact"/>
                    <w:jc w:val="center"/>
                    <w:rPr>
                      <w:sz w:val="21"/>
                      <w:szCs w:val="21"/>
                    </w:rPr>
                  </w:pPr>
                  <w:r>
                    <w:rPr>
                      <w:sz w:val="21"/>
                      <w:szCs w:val="21"/>
                    </w:rPr>
                    <w:t>4000</w:t>
                  </w:r>
                </w:p>
              </w:tc>
              <w:tc>
                <w:tcPr>
                  <w:tcW w:w="549" w:type="pct"/>
                  <w:vAlign w:val="center"/>
                </w:tcPr>
                <w:p w14:paraId="74288B5B">
                  <w:pPr>
                    <w:spacing w:line="280" w:lineRule="exact"/>
                    <w:jc w:val="center"/>
                    <w:rPr>
                      <w:sz w:val="21"/>
                      <w:szCs w:val="21"/>
                    </w:rPr>
                  </w:pPr>
                  <w:r>
                    <w:rPr>
                      <w:sz w:val="21"/>
                      <w:szCs w:val="21"/>
                    </w:rPr>
                    <w:t>100</w:t>
                  </w:r>
                </w:p>
              </w:tc>
              <w:tc>
                <w:tcPr>
                  <w:tcW w:w="555" w:type="pct"/>
                  <w:vAlign w:val="center"/>
                </w:tcPr>
                <w:p w14:paraId="676BABAF">
                  <w:pPr>
                    <w:spacing w:line="280" w:lineRule="exact"/>
                    <w:jc w:val="center"/>
                    <w:rPr>
                      <w:sz w:val="21"/>
                      <w:szCs w:val="21"/>
                    </w:rPr>
                  </w:pPr>
                  <w:r>
                    <w:rPr>
                      <w:sz w:val="21"/>
                      <w:szCs w:val="21"/>
                    </w:rPr>
                    <w:t>达标</w:t>
                  </w:r>
                </w:p>
              </w:tc>
            </w:tr>
            <w:tr w14:paraId="38425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285EFE38">
                  <w:pPr>
                    <w:spacing w:line="280" w:lineRule="exact"/>
                    <w:jc w:val="center"/>
                    <w:rPr>
                      <w:sz w:val="21"/>
                      <w:szCs w:val="21"/>
                    </w:rPr>
                  </w:pPr>
                  <w:r>
                    <w:rPr>
                      <w:sz w:val="21"/>
                      <w:szCs w:val="21"/>
                    </w:rPr>
                    <w:t>O</w:t>
                  </w:r>
                  <w:r>
                    <w:rPr>
                      <w:sz w:val="21"/>
                      <w:szCs w:val="21"/>
                      <w:vertAlign w:val="subscript"/>
                    </w:rPr>
                    <w:t>3</w:t>
                  </w:r>
                </w:p>
              </w:tc>
              <w:tc>
                <w:tcPr>
                  <w:tcW w:w="1517" w:type="pct"/>
                  <w:vAlign w:val="center"/>
                </w:tcPr>
                <w:p w14:paraId="30E11367">
                  <w:pPr>
                    <w:spacing w:line="280" w:lineRule="exact"/>
                    <w:jc w:val="center"/>
                    <w:rPr>
                      <w:spacing w:val="-6"/>
                      <w:sz w:val="21"/>
                      <w:szCs w:val="21"/>
                    </w:rPr>
                  </w:pPr>
                  <w:r>
                    <w:rPr>
                      <w:spacing w:val="-6"/>
                      <w:sz w:val="21"/>
                      <w:szCs w:val="21"/>
                    </w:rPr>
                    <w:t>百分位数8h平均质量浓度</w:t>
                  </w:r>
                </w:p>
              </w:tc>
              <w:tc>
                <w:tcPr>
                  <w:tcW w:w="1139" w:type="pct"/>
                  <w:vAlign w:val="center"/>
                </w:tcPr>
                <w:p w14:paraId="56222659">
                  <w:pPr>
                    <w:spacing w:line="280" w:lineRule="exact"/>
                    <w:jc w:val="center"/>
                    <w:rPr>
                      <w:rFonts w:hint="default" w:eastAsia="仿宋"/>
                      <w:sz w:val="21"/>
                      <w:szCs w:val="21"/>
                      <w:lang w:val="en-US" w:eastAsia="zh-CN"/>
                    </w:rPr>
                  </w:pPr>
                  <w:r>
                    <w:rPr>
                      <w:sz w:val="21"/>
                      <w:szCs w:val="21"/>
                    </w:rPr>
                    <w:t>1</w:t>
                  </w:r>
                  <w:r>
                    <w:rPr>
                      <w:rFonts w:hint="eastAsia"/>
                      <w:sz w:val="21"/>
                      <w:szCs w:val="21"/>
                      <w:lang w:val="en-US" w:eastAsia="zh-CN"/>
                    </w:rPr>
                    <w:t>68</w:t>
                  </w:r>
                </w:p>
                <w:p w14:paraId="7A6AF1C8">
                  <w:pPr>
                    <w:spacing w:line="280" w:lineRule="exact"/>
                    <w:jc w:val="center"/>
                    <w:rPr>
                      <w:sz w:val="21"/>
                      <w:szCs w:val="21"/>
                    </w:rPr>
                  </w:pPr>
                  <w:r>
                    <w:rPr>
                      <w:sz w:val="21"/>
                      <w:szCs w:val="21"/>
                    </w:rPr>
                    <w:t>（第90百分位数）</w:t>
                  </w:r>
                </w:p>
              </w:tc>
              <w:tc>
                <w:tcPr>
                  <w:tcW w:w="724" w:type="pct"/>
                  <w:vAlign w:val="center"/>
                </w:tcPr>
                <w:p w14:paraId="636FCFAD">
                  <w:pPr>
                    <w:spacing w:line="280" w:lineRule="exact"/>
                    <w:jc w:val="center"/>
                    <w:rPr>
                      <w:sz w:val="21"/>
                      <w:szCs w:val="21"/>
                    </w:rPr>
                  </w:pPr>
                  <w:r>
                    <w:rPr>
                      <w:sz w:val="21"/>
                      <w:szCs w:val="21"/>
                    </w:rPr>
                    <w:t>160</w:t>
                  </w:r>
                </w:p>
              </w:tc>
              <w:tc>
                <w:tcPr>
                  <w:tcW w:w="549" w:type="pct"/>
                  <w:vAlign w:val="center"/>
                </w:tcPr>
                <w:p w14:paraId="25AAC9EE">
                  <w:pPr>
                    <w:spacing w:line="280" w:lineRule="exact"/>
                    <w:jc w:val="center"/>
                    <w:rPr>
                      <w:rFonts w:hint="default" w:eastAsia="仿宋"/>
                      <w:sz w:val="21"/>
                      <w:szCs w:val="21"/>
                      <w:lang w:val="en-US" w:eastAsia="zh-CN"/>
                    </w:rPr>
                  </w:pPr>
                  <w:r>
                    <w:rPr>
                      <w:sz w:val="21"/>
                      <w:szCs w:val="21"/>
                    </w:rPr>
                    <w:t>8</w:t>
                  </w:r>
                  <w:r>
                    <w:rPr>
                      <w:rFonts w:hint="eastAsia"/>
                      <w:sz w:val="21"/>
                      <w:szCs w:val="21"/>
                      <w:lang w:val="en-US" w:eastAsia="zh-CN"/>
                    </w:rPr>
                    <w:t>6.3</w:t>
                  </w:r>
                </w:p>
              </w:tc>
              <w:tc>
                <w:tcPr>
                  <w:tcW w:w="555" w:type="pct"/>
                  <w:vAlign w:val="center"/>
                </w:tcPr>
                <w:p w14:paraId="6052A656">
                  <w:pPr>
                    <w:spacing w:line="280" w:lineRule="exact"/>
                    <w:jc w:val="center"/>
                    <w:rPr>
                      <w:sz w:val="21"/>
                      <w:szCs w:val="21"/>
                    </w:rPr>
                  </w:pPr>
                  <w:r>
                    <w:rPr>
                      <w:sz w:val="21"/>
                      <w:szCs w:val="21"/>
                    </w:rPr>
                    <w:t>不达标</w:t>
                  </w:r>
                </w:p>
              </w:tc>
            </w:tr>
            <w:tr w14:paraId="7F1A6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restart"/>
                  <w:vAlign w:val="center"/>
                </w:tcPr>
                <w:p w14:paraId="28B8B8FF">
                  <w:pPr>
                    <w:spacing w:line="280" w:lineRule="exact"/>
                    <w:jc w:val="center"/>
                    <w:rPr>
                      <w:sz w:val="21"/>
                      <w:szCs w:val="21"/>
                    </w:rPr>
                  </w:pPr>
                  <w:r>
                    <w:rPr>
                      <w:sz w:val="21"/>
                      <w:szCs w:val="21"/>
                    </w:rPr>
                    <w:t>PM</w:t>
                  </w:r>
                  <w:r>
                    <w:rPr>
                      <w:sz w:val="21"/>
                      <w:szCs w:val="21"/>
                      <w:vertAlign w:val="subscript"/>
                    </w:rPr>
                    <w:t>10</w:t>
                  </w:r>
                </w:p>
              </w:tc>
              <w:tc>
                <w:tcPr>
                  <w:tcW w:w="1517" w:type="pct"/>
                  <w:vAlign w:val="center"/>
                </w:tcPr>
                <w:p w14:paraId="132C0075">
                  <w:pPr>
                    <w:spacing w:line="280" w:lineRule="exact"/>
                    <w:jc w:val="center"/>
                    <w:rPr>
                      <w:sz w:val="21"/>
                      <w:szCs w:val="21"/>
                    </w:rPr>
                  </w:pPr>
                  <w:r>
                    <w:rPr>
                      <w:sz w:val="21"/>
                      <w:szCs w:val="21"/>
                    </w:rPr>
                    <w:t>年平均质量浓度</w:t>
                  </w:r>
                </w:p>
              </w:tc>
              <w:tc>
                <w:tcPr>
                  <w:tcW w:w="1139" w:type="pct"/>
                  <w:vAlign w:val="center"/>
                </w:tcPr>
                <w:p w14:paraId="3A8045B3">
                  <w:pPr>
                    <w:spacing w:line="280" w:lineRule="exact"/>
                    <w:jc w:val="center"/>
                    <w:rPr>
                      <w:rFonts w:hint="eastAsia" w:eastAsia="仿宋"/>
                      <w:sz w:val="21"/>
                      <w:szCs w:val="21"/>
                      <w:lang w:eastAsia="zh-CN"/>
                    </w:rPr>
                  </w:pPr>
                  <w:r>
                    <w:rPr>
                      <w:sz w:val="21"/>
                      <w:szCs w:val="21"/>
                    </w:rPr>
                    <w:t>5</w:t>
                  </w:r>
                  <w:r>
                    <w:rPr>
                      <w:rFonts w:hint="eastAsia"/>
                      <w:sz w:val="21"/>
                      <w:szCs w:val="21"/>
                      <w:lang w:val="en-US" w:eastAsia="zh-CN"/>
                    </w:rPr>
                    <w:t>2</w:t>
                  </w:r>
                </w:p>
              </w:tc>
              <w:tc>
                <w:tcPr>
                  <w:tcW w:w="724" w:type="pct"/>
                  <w:vAlign w:val="center"/>
                </w:tcPr>
                <w:p w14:paraId="5249AFF4">
                  <w:pPr>
                    <w:spacing w:line="280" w:lineRule="exact"/>
                    <w:jc w:val="center"/>
                    <w:rPr>
                      <w:sz w:val="21"/>
                      <w:szCs w:val="21"/>
                    </w:rPr>
                  </w:pPr>
                  <w:r>
                    <w:rPr>
                      <w:sz w:val="21"/>
                      <w:szCs w:val="21"/>
                    </w:rPr>
                    <w:t>70</w:t>
                  </w:r>
                </w:p>
              </w:tc>
              <w:tc>
                <w:tcPr>
                  <w:tcW w:w="549" w:type="pct"/>
                  <w:vAlign w:val="center"/>
                </w:tcPr>
                <w:p w14:paraId="259AE8E2">
                  <w:pPr>
                    <w:spacing w:line="280" w:lineRule="exact"/>
                    <w:jc w:val="center"/>
                    <w:rPr>
                      <w:sz w:val="21"/>
                      <w:szCs w:val="21"/>
                    </w:rPr>
                  </w:pPr>
                  <w:r>
                    <w:rPr>
                      <w:sz w:val="21"/>
                      <w:szCs w:val="21"/>
                    </w:rPr>
                    <w:t>100</w:t>
                  </w:r>
                </w:p>
              </w:tc>
              <w:tc>
                <w:tcPr>
                  <w:tcW w:w="555" w:type="pct"/>
                  <w:vMerge w:val="restart"/>
                  <w:vAlign w:val="center"/>
                </w:tcPr>
                <w:p w14:paraId="3CE86DD2">
                  <w:pPr>
                    <w:spacing w:line="280" w:lineRule="exact"/>
                    <w:jc w:val="center"/>
                    <w:rPr>
                      <w:sz w:val="21"/>
                      <w:szCs w:val="21"/>
                    </w:rPr>
                  </w:pPr>
                  <w:r>
                    <w:rPr>
                      <w:sz w:val="21"/>
                      <w:szCs w:val="21"/>
                    </w:rPr>
                    <w:t>达标</w:t>
                  </w:r>
                </w:p>
              </w:tc>
            </w:tr>
            <w:tr w14:paraId="029F2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continue"/>
                  <w:vAlign w:val="center"/>
                </w:tcPr>
                <w:p w14:paraId="1915ACE8">
                  <w:pPr>
                    <w:spacing w:line="280" w:lineRule="exact"/>
                    <w:jc w:val="center"/>
                    <w:rPr>
                      <w:sz w:val="21"/>
                      <w:szCs w:val="21"/>
                    </w:rPr>
                  </w:pPr>
                </w:p>
              </w:tc>
              <w:tc>
                <w:tcPr>
                  <w:tcW w:w="1517" w:type="pct"/>
                  <w:vAlign w:val="center"/>
                </w:tcPr>
                <w:p w14:paraId="70774759">
                  <w:pPr>
                    <w:spacing w:line="280" w:lineRule="exact"/>
                    <w:jc w:val="center"/>
                    <w:rPr>
                      <w:sz w:val="21"/>
                      <w:szCs w:val="21"/>
                    </w:rPr>
                  </w:pPr>
                  <w:r>
                    <w:rPr>
                      <w:sz w:val="21"/>
                      <w:szCs w:val="21"/>
                    </w:rPr>
                    <w:t>日平均质量浓度</w:t>
                  </w:r>
                </w:p>
              </w:tc>
              <w:tc>
                <w:tcPr>
                  <w:tcW w:w="1139" w:type="pct"/>
                  <w:vAlign w:val="center"/>
                </w:tcPr>
                <w:p w14:paraId="37F962D6">
                  <w:pPr>
                    <w:spacing w:line="280" w:lineRule="exact"/>
                    <w:jc w:val="center"/>
                    <w:rPr>
                      <w:rFonts w:hint="default" w:eastAsia="仿宋"/>
                      <w:sz w:val="21"/>
                      <w:szCs w:val="21"/>
                      <w:lang w:val="en-US" w:eastAsia="zh-CN"/>
                    </w:rPr>
                  </w:pPr>
                  <w:r>
                    <w:rPr>
                      <w:rFonts w:hint="eastAsia"/>
                      <w:sz w:val="21"/>
                      <w:szCs w:val="21"/>
                      <w:lang w:val="en-US" w:eastAsia="zh-CN"/>
                    </w:rPr>
                    <w:t>9~206</w:t>
                  </w:r>
                </w:p>
              </w:tc>
              <w:tc>
                <w:tcPr>
                  <w:tcW w:w="724" w:type="pct"/>
                  <w:vAlign w:val="center"/>
                </w:tcPr>
                <w:p w14:paraId="72270B4A">
                  <w:pPr>
                    <w:spacing w:line="280" w:lineRule="exact"/>
                    <w:jc w:val="center"/>
                    <w:rPr>
                      <w:sz w:val="21"/>
                      <w:szCs w:val="21"/>
                    </w:rPr>
                  </w:pPr>
                  <w:r>
                    <w:rPr>
                      <w:sz w:val="21"/>
                      <w:szCs w:val="21"/>
                    </w:rPr>
                    <w:t>150</w:t>
                  </w:r>
                </w:p>
              </w:tc>
              <w:tc>
                <w:tcPr>
                  <w:tcW w:w="549" w:type="pct"/>
                  <w:vAlign w:val="center"/>
                </w:tcPr>
                <w:p w14:paraId="2D97D06F">
                  <w:pPr>
                    <w:spacing w:line="280" w:lineRule="exact"/>
                    <w:jc w:val="center"/>
                    <w:rPr>
                      <w:rFonts w:hint="eastAsia" w:eastAsia="仿宋"/>
                      <w:sz w:val="21"/>
                      <w:szCs w:val="21"/>
                      <w:lang w:eastAsia="zh-CN"/>
                    </w:rPr>
                  </w:pPr>
                  <w:r>
                    <w:rPr>
                      <w:sz w:val="21"/>
                      <w:szCs w:val="21"/>
                    </w:rPr>
                    <w:t>98.</w:t>
                  </w:r>
                  <w:r>
                    <w:rPr>
                      <w:rFonts w:hint="eastAsia"/>
                      <w:sz w:val="21"/>
                      <w:szCs w:val="21"/>
                      <w:lang w:val="en-US" w:eastAsia="zh-CN"/>
                    </w:rPr>
                    <w:t>3</w:t>
                  </w:r>
                </w:p>
              </w:tc>
              <w:tc>
                <w:tcPr>
                  <w:tcW w:w="555" w:type="pct"/>
                  <w:vMerge w:val="continue"/>
                  <w:vAlign w:val="center"/>
                </w:tcPr>
                <w:p w14:paraId="65D40175">
                  <w:pPr>
                    <w:spacing w:line="280" w:lineRule="exact"/>
                    <w:jc w:val="center"/>
                    <w:rPr>
                      <w:sz w:val="21"/>
                      <w:szCs w:val="21"/>
                    </w:rPr>
                  </w:pPr>
                </w:p>
              </w:tc>
            </w:tr>
            <w:tr w14:paraId="6620A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restart"/>
                  <w:vAlign w:val="center"/>
                </w:tcPr>
                <w:p w14:paraId="5CE1401D">
                  <w:pPr>
                    <w:spacing w:line="280" w:lineRule="exact"/>
                    <w:jc w:val="center"/>
                    <w:rPr>
                      <w:sz w:val="21"/>
                      <w:szCs w:val="21"/>
                    </w:rPr>
                  </w:pPr>
                  <w:r>
                    <w:rPr>
                      <w:sz w:val="21"/>
                      <w:szCs w:val="21"/>
                    </w:rPr>
                    <w:t>PM</w:t>
                  </w:r>
                  <w:r>
                    <w:rPr>
                      <w:sz w:val="21"/>
                      <w:szCs w:val="21"/>
                      <w:vertAlign w:val="subscript"/>
                    </w:rPr>
                    <w:t>2.5</w:t>
                  </w:r>
                </w:p>
              </w:tc>
              <w:tc>
                <w:tcPr>
                  <w:tcW w:w="1517" w:type="pct"/>
                  <w:vAlign w:val="center"/>
                </w:tcPr>
                <w:p w14:paraId="5050F93D">
                  <w:pPr>
                    <w:spacing w:line="280" w:lineRule="exact"/>
                    <w:jc w:val="center"/>
                    <w:rPr>
                      <w:sz w:val="21"/>
                      <w:szCs w:val="21"/>
                    </w:rPr>
                  </w:pPr>
                  <w:r>
                    <w:rPr>
                      <w:sz w:val="21"/>
                      <w:szCs w:val="21"/>
                    </w:rPr>
                    <w:t>年平均质量浓度</w:t>
                  </w:r>
                </w:p>
              </w:tc>
              <w:tc>
                <w:tcPr>
                  <w:tcW w:w="1139" w:type="pct"/>
                  <w:vAlign w:val="center"/>
                </w:tcPr>
                <w:p w14:paraId="28BB4EAA">
                  <w:pPr>
                    <w:spacing w:line="280" w:lineRule="exact"/>
                    <w:jc w:val="center"/>
                    <w:rPr>
                      <w:rFonts w:hint="eastAsia" w:eastAsia="仿宋"/>
                      <w:sz w:val="21"/>
                      <w:szCs w:val="21"/>
                      <w:lang w:eastAsia="zh-CN"/>
                    </w:rPr>
                  </w:pPr>
                  <w:r>
                    <w:rPr>
                      <w:sz w:val="21"/>
                      <w:szCs w:val="21"/>
                    </w:rPr>
                    <w:t>3</w:t>
                  </w:r>
                  <w:r>
                    <w:rPr>
                      <w:rFonts w:hint="eastAsia"/>
                      <w:sz w:val="21"/>
                      <w:szCs w:val="21"/>
                      <w:lang w:val="en-US" w:eastAsia="zh-CN"/>
                    </w:rPr>
                    <w:t>2</w:t>
                  </w:r>
                </w:p>
              </w:tc>
              <w:tc>
                <w:tcPr>
                  <w:tcW w:w="724" w:type="pct"/>
                  <w:vAlign w:val="center"/>
                </w:tcPr>
                <w:p w14:paraId="5B4179FE">
                  <w:pPr>
                    <w:spacing w:line="280" w:lineRule="exact"/>
                    <w:jc w:val="center"/>
                    <w:rPr>
                      <w:sz w:val="21"/>
                      <w:szCs w:val="21"/>
                    </w:rPr>
                  </w:pPr>
                  <w:r>
                    <w:rPr>
                      <w:sz w:val="21"/>
                      <w:szCs w:val="21"/>
                    </w:rPr>
                    <w:t>35</w:t>
                  </w:r>
                </w:p>
              </w:tc>
              <w:tc>
                <w:tcPr>
                  <w:tcW w:w="549" w:type="pct"/>
                  <w:vAlign w:val="center"/>
                </w:tcPr>
                <w:p w14:paraId="22BA26F4">
                  <w:pPr>
                    <w:spacing w:line="280" w:lineRule="exact"/>
                    <w:jc w:val="center"/>
                    <w:rPr>
                      <w:sz w:val="21"/>
                      <w:szCs w:val="21"/>
                    </w:rPr>
                  </w:pPr>
                  <w:r>
                    <w:rPr>
                      <w:sz w:val="21"/>
                      <w:szCs w:val="21"/>
                    </w:rPr>
                    <w:t>100</w:t>
                  </w:r>
                </w:p>
              </w:tc>
              <w:tc>
                <w:tcPr>
                  <w:tcW w:w="555" w:type="pct"/>
                  <w:vMerge w:val="restart"/>
                  <w:vAlign w:val="center"/>
                </w:tcPr>
                <w:p w14:paraId="70BECF3E">
                  <w:pPr>
                    <w:spacing w:line="280" w:lineRule="exact"/>
                    <w:jc w:val="center"/>
                    <w:rPr>
                      <w:sz w:val="21"/>
                      <w:szCs w:val="21"/>
                    </w:rPr>
                  </w:pPr>
                  <w:r>
                    <w:rPr>
                      <w:sz w:val="21"/>
                      <w:szCs w:val="21"/>
                    </w:rPr>
                    <w:t>不达标</w:t>
                  </w:r>
                </w:p>
              </w:tc>
            </w:tr>
            <w:tr w14:paraId="1AC83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4" w:type="pct"/>
                  <w:vMerge w:val="continue"/>
                  <w:vAlign w:val="center"/>
                </w:tcPr>
                <w:p w14:paraId="0D784B06">
                  <w:pPr>
                    <w:spacing w:line="280" w:lineRule="exact"/>
                    <w:jc w:val="center"/>
                    <w:rPr>
                      <w:sz w:val="21"/>
                      <w:szCs w:val="21"/>
                    </w:rPr>
                  </w:pPr>
                </w:p>
              </w:tc>
              <w:tc>
                <w:tcPr>
                  <w:tcW w:w="1517" w:type="pct"/>
                  <w:vAlign w:val="center"/>
                </w:tcPr>
                <w:p w14:paraId="543837D3">
                  <w:pPr>
                    <w:spacing w:line="280" w:lineRule="exact"/>
                    <w:jc w:val="center"/>
                    <w:rPr>
                      <w:sz w:val="21"/>
                      <w:szCs w:val="21"/>
                    </w:rPr>
                  </w:pPr>
                  <w:r>
                    <w:rPr>
                      <w:sz w:val="21"/>
                      <w:szCs w:val="21"/>
                    </w:rPr>
                    <w:t>日平均质量浓度</w:t>
                  </w:r>
                </w:p>
              </w:tc>
              <w:tc>
                <w:tcPr>
                  <w:tcW w:w="1139" w:type="pct"/>
                  <w:vAlign w:val="center"/>
                </w:tcPr>
                <w:p w14:paraId="4B7AA4D1">
                  <w:pPr>
                    <w:spacing w:line="280" w:lineRule="exact"/>
                    <w:jc w:val="center"/>
                    <w:rPr>
                      <w:rFonts w:hint="default" w:eastAsia="仿宋"/>
                      <w:sz w:val="21"/>
                      <w:szCs w:val="21"/>
                      <w:lang w:val="en-US" w:eastAsia="zh-CN"/>
                    </w:rPr>
                  </w:pPr>
                  <w:r>
                    <w:rPr>
                      <w:rFonts w:hint="eastAsia"/>
                      <w:sz w:val="21"/>
                      <w:szCs w:val="21"/>
                      <w:lang w:val="en-US" w:eastAsia="zh-CN"/>
                    </w:rPr>
                    <w:t>5~157</w:t>
                  </w:r>
                </w:p>
              </w:tc>
              <w:tc>
                <w:tcPr>
                  <w:tcW w:w="724" w:type="pct"/>
                  <w:vAlign w:val="center"/>
                </w:tcPr>
                <w:p w14:paraId="62750AF0">
                  <w:pPr>
                    <w:spacing w:line="280" w:lineRule="exact"/>
                    <w:jc w:val="center"/>
                    <w:rPr>
                      <w:sz w:val="21"/>
                      <w:szCs w:val="21"/>
                    </w:rPr>
                  </w:pPr>
                  <w:r>
                    <w:rPr>
                      <w:sz w:val="21"/>
                      <w:szCs w:val="21"/>
                    </w:rPr>
                    <w:t>75</w:t>
                  </w:r>
                </w:p>
              </w:tc>
              <w:tc>
                <w:tcPr>
                  <w:tcW w:w="549" w:type="pct"/>
                  <w:vAlign w:val="center"/>
                </w:tcPr>
                <w:p w14:paraId="38553820">
                  <w:pPr>
                    <w:spacing w:line="280" w:lineRule="exact"/>
                    <w:jc w:val="center"/>
                    <w:rPr>
                      <w:rFonts w:hint="eastAsia" w:eastAsia="仿宋"/>
                      <w:sz w:val="21"/>
                      <w:szCs w:val="21"/>
                      <w:lang w:eastAsia="zh-CN"/>
                    </w:rPr>
                  </w:pPr>
                  <w:r>
                    <w:rPr>
                      <w:sz w:val="21"/>
                      <w:szCs w:val="21"/>
                    </w:rPr>
                    <w:t>93.</w:t>
                  </w:r>
                  <w:r>
                    <w:rPr>
                      <w:rFonts w:hint="eastAsia"/>
                      <w:sz w:val="21"/>
                      <w:szCs w:val="21"/>
                      <w:lang w:val="en-US" w:eastAsia="zh-CN"/>
                    </w:rPr>
                    <w:t>2</w:t>
                  </w:r>
                </w:p>
              </w:tc>
              <w:tc>
                <w:tcPr>
                  <w:tcW w:w="555" w:type="pct"/>
                  <w:vMerge w:val="continue"/>
                  <w:vAlign w:val="center"/>
                </w:tcPr>
                <w:p w14:paraId="26CA4748">
                  <w:pPr>
                    <w:spacing w:line="280" w:lineRule="exact"/>
                    <w:jc w:val="center"/>
                    <w:rPr>
                      <w:sz w:val="21"/>
                      <w:szCs w:val="21"/>
                    </w:rPr>
                  </w:pPr>
                </w:p>
              </w:tc>
            </w:tr>
          </w:tbl>
          <w:p w14:paraId="3485E85D">
            <w:pPr>
              <w:spacing w:line="480" w:lineRule="exact"/>
              <w:ind w:firstLine="480" w:firstLineChars="200"/>
            </w:pPr>
            <w:r>
              <w:t>20</w:t>
            </w:r>
            <w:r>
              <w:rPr>
                <w:rFonts w:hint="eastAsia"/>
              </w:rPr>
              <w:t>2</w:t>
            </w:r>
            <w:r>
              <w:rPr>
                <w:rFonts w:hint="eastAsia"/>
                <w:lang w:val="en-US" w:eastAsia="zh-CN"/>
              </w:rPr>
              <w:t>4</w:t>
            </w:r>
            <w:r>
              <w:t>年常州市环境空气中二氧化硫、二氧化氮、一氧化碳、可吸入颗粒物年平均浓度</w:t>
            </w:r>
            <w:r>
              <w:rPr>
                <w:rFonts w:hint="eastAsia"/>
              </w:rPr>
              <w:t>和日平均相应百分位数质量浓度、</w:t>
            </w:r>
            <w:r>
              <w:rPr>
                <w:rFonts w:hint="eastAsia"/>
                <w:kern w:val="0"/>
              </w:rPr>
              <w:t>细颗粒物年平均值</w:t>
            </w:r>
            <w:r>
              <w:t>均达到环境空气质量二级标准；</w:t>
            </w:r>
            <w:r>
              <w:rPr>
                <w:rFonts w:hint="eastAsia"/>
                <w:kern w:val="0"/>
              </w:rPr>
              <w:t>细颗粒物日平均第95百分位数和</w:t>
            </w:r>
            <w:r>
              <w:rPr>
                <w:rFonts w:hint="eastAsia"/>
              </w:rPr>
              <w:t>臭氧</w:t>
            </w:r>
            <w:r>
              <w:t>年最大8小时滑动平均值的第90百分位数浓度超过环境空气质量二级标准，因此判定为非达标区。</w:t>
            </w:r>
          </w:p>
          <w:p w14:paraId="46406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rPr>
              <w:t>）其他污染物环境质量现状评价</w:t>
            </w:r>
          </w:p>
          <w:p w14:paraId="4FD84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szCs w:val="28"/>
                <w:highlight w:val="none"/>
              </w:rPr>
              <w:t>本项目非甲烷总烃环境空气质量现状布设1个引用点位G1，引用《</w:t>
            </w:r>
            <w:r>
              <w:rPr>
                <w:rFonts w:hint="eastAsia"/>
                <w:lang w:eastAsia="zh-CN"/>
              </w:rPr>
              <w:t>常州市博而精机械科技有限公司年产1000万套手术器械项目</w:t>
            </w:r>
            <w:r>
              <w:rPr>
                <w:rFonts w:hint="eastAsia"/>
              </w:rPr>
              <w:t>环境影响报告表</w:t>
            </w:r>
            <w:r>
              <w:rPr>
                <w:rFonts w:hint="default" w:ascii="Times New Roman" w:hAnsi="Times New Roman" w:eastAsia="仿宋" w:cs="Times New Roman"/>
                <w:color w:val="auto"/>
                <w:sz w:val="24"/>
                <w:szCs w:val="28"/>
                <w:highlight w:val="none"/>
              </w:rPr>
              <w:t>》中</w:t>
            </w:r>
            <w:r>
              <w:rPr>
                <w:rFonts w:hint="eastAsia" w:ascii="Times New Roman" w:hAnsi="Times New Roman" w:eastAsia="仿宋" w:cs="Times New Roman"/>
                <w:sz w:val="24"/>
                <w:szCs w:val="28"/>
                <w:lang w:eastAsia="zh-CN"/>
              </w:rPr>
              <w:t>南京爱迪信环境技术有限公司</w:t>
            </w:r>
            <w:r>
              <w:rPr>
                <w:rFonts w:hint="default" w:ascii="Times New Roman" w:hAnsi="Times New Roman" w:cs="Times New Roman"/>
                <w:color w:val="auto"/>
                <w:sz w:val="24"/>
                <w:szCs w:val="24"/>
                <w:highlight w:val="none"/>
                <w:lang w:val="en-US" w:eastAsia="zh-CN"/>
              </w:rPr>
              <w:t>对</w:t>
            </w:r>
            <w:r>
              <w:rPr>
                <w:rFonts w:hint="default" w:ascii="Times New Roman" w:hAnsi="Times New Roman" w:eastAsia="仿宋" w:cs="Times New Roman"/>
                <w:color w:val="auto"/>
                <w:sz w:val="24"/>
                <w:szCs w:val="28"/>
                <w:highlight w:val="none"/>
                <w:lang w:val="en-US" w:eastAsia="zh-CN"/>
              </w:rPr>
              <w:t>项目所在地</w:t>
            </w:r>
            <w:r>
              <w:rPr>
                <w:rFonts w:hint="default" w:ascii="Times New Roman" w:hAnsi="Times New Roman" w:cs="Times New Roman"/>
                <w:color w:val="auto"/>
                <w:sz w:val="24"/>
                <w:szCs w:val="24"/>
                <w:highlight w:val="none"/>
                <w:lang w:val="en-US" w:eastAsia="zh-CN"/>
              </w:rPr>
              <w:t>（位于本项</w:t>
            </w:r>
            <w:r>
              <w:rPr>
                <w:rFonts w:hint="default" w:ascii="Times New Roman" w:hAnsi="Times New Roman" w:eastAsia="仿宋" w:cs="Times New Roman"/>
                <w:color w:val="auto"/>
                <w:sz w:val="24"/>
                <w:szCs w:val="24"/>
                <w:highlight w:val="none"/>
                <w:lang w:val="en-US" w:eastAsia="zh-CN"/>
              </w:rPr>
              <w:t>目</w:t>
            </w:r>
            <w:r>
              <w:rPr>
                <w:rFonts w:hint="eastAsia" w:cs="Times New Roman"/>
                <w:color w:val="auto"/>
                <w:sz w:val="24"/>
                <w:szCs w:val="24"/>
                <w:highlight w:val="none"/>
                <w:lang w:val="en-US" w:eastAsia="zh-CN"/>
              </w:rPr>
              <w:t>西北侧1790</w:t>
            </w:r>
            <w:r>
              <w:rPr>
                <w:rFonts w:hint="default" w:ascii="Times New Roman" w:hAnsi="Times New Roman" w:eastAsia="仿宋" w:cs="Times New Roman"/>
                <w:color w:val="auto"/>
                <w:sz w:val="24"/>
                <w:szCs w:val="24"/>
                <w:highlight w:val="none"/>
                <w:lang w:val="en-US" w:eastAsia="zh-CN"/>
              </w:rPr>
              <w:t>m处）</w:t>
            </w:r>
            <w:r>
              <w:rPr>
                <w:rFonts w:hint="default" w:ascii="Times New Roman" w:hAnsi="Times New Roman" w:eastAsia="仿宋" w:cs="Times New Roman"/>
                <w:color w:val="auto"/>
                <w:sz w:val="24"/>
                <w:szCs w:val="24"/>
                <w:highlight w:val="none"/>
              </w:rPr>
              <w:t>的监测数据，</w:t>
            </w:r>
            <w:r>
              <w:rPr>
                <w:rFonts w:hint="eastAsia" w:cs="Times New Roman"/>
                <w:color w:val="auto"/>
                <w:sz w:val="24"/>
                <w:szCs w:val="24"/>
                <w:highlight w:val="none"/>
                <w:lang w:val="en-US" w:eastAsia="zh-CN"/>
              </w:rPr>
              <w:t>监测报告编号：</w:t>
            </w:r>
            <w:r>
              <w:rPr>
                <w:rFonts w:hint="eastAsia" w:ascii="Times New Roman" w:hAnsi="Times New Roman" w:eastAsia="仿宋" w:cs="Times New Roman"/>
                <w:sz w:val="24"/>
                <w:lang w:val="en-US" w:eastAsia="zh-CN"/>
              </w:rPr>
              <w:t>NJADT2303040602</w:t>
            </w:r>
            <w:r>
              <w:rPr>
                <w:rFonts w:hint="eastAsia" w:cs="Times New Roman"/>
                <w:color w:val="auto"/>
                <w:sz w:val="24"/>
                <w:highlight w:val="none"/>
                <w:lang w:eastAsia="zh-CN"/>
              </w:rPr>
              <w:t>。</w:t>
            </w:r>
            <w:r>
              <w:rPr>
                <w:rFonts w:hint="default" w:ascii="Times New Roman" w:hAnsi="Times New Roman" w:eastAsia="仿宋" w:cs="Times New Roman"/>
                <w:color w:val="auto"/>
                <w:sz w:val="24"/>
                <w:highlight w:val="none"/>
              </w:rPr>
              <w:t>数据汇总见表3-2。</w:t>
            </w:r>
          </w:p>
          <w:p w14:paraId="20E22C4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77C98CC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054F42C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表3-2  引用数据统计结果汇总</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337"/>
              <w:gridCol w:w="1012"/>
              <w:gridCol w:w="1155"/>
              <w:gridCol w:w="769"/>
              <w:gridCol w:w="928"/>
              <w:gridCol w:w="1508"/>
            </w:tblGrid>
            <w:tr w14:paraId="40AAF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680" w:type="dxa"/>
                  <w:vMerge w:val="restart"/>
                  <w:noWrap w:val="0"/>
                  <w:vAlign w:val="center"/>
                </w:tcPr>
                <w:p w14:paraId="1A256DD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测点</w:t>
                  </w:r>
                </w:p>
                <w:p w14:paraId="5F12187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编号</w:t>
                  </w:r>
                </w:p>
              </w:tc>
              <w:tc>
                <w:tcPr>
                  <w:tcW w:w="2337" w:type="dxa"/>
                  <w:vMerge w:val="restart"/>
                  <w:noWrap w:val="0"/>
                  <w:vAlign w:val="center"/>
                </w:tcPr>
                <w:p w14:paraId="10977A7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测点名称</w:t>
                  </w:r>
                </w:p>
              </w:tc>
              <w:tc>
                <w:tcPr>
                  <w:tcW w:w="1012" w:type="dxa"/>
                  <w:vMerge w:val="restart"/>
                  <w:noWrap w:val="0"/>
                  <w:vAlign w:val="center"/>
                </w:tcPr>
                <w:p w14:paraId="7B42144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w:t>
                  </w:r>
                </w:p>
                <w:p w14:paraId="6C9261C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4360" w:type="dxa"/>
                  <w:gridSpan w:val="4"/>
                  <w:noWrap w:val="0"/>
                  <w:vAlign w:val="center"/>
                </w:tcPr>
                <w:p w14:paraId="25CA7FE0">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小时浓度</w:t>
                  </w:r>
                  <w:r>
                    <w:rPr>
                      <w:rFonts w:hint="default" w:ascii="Times New Roman" w:hAnsi="Times New Roman" w:eastAsia="仿宋" w:cs="Times New Roman"/>
                      <w:b/>
                      <w:color w:val="auto"/>
                      <w:sz w:val="21"/>
                      <w:szCs w:val="21"/>
                      <w:lang w:val="en-US" w:eastAsia="zh-CN"/>
                    </w:rPr>
                    <w:t>/</w:t>
                  </w:r>
                  <w:r>
                    <w:rPr>
                      <w:rFonts w:hint="eastAsia" w:ascii="Times New Roman" w:hAnsi="Times New Roman" w:cs="Times New Roman"/>
                      <w:b/>
                      <w:color w:val="auto"/>
                      <w:sz w:val="21"/>
                      <w:szCs w:val="21"/>
                      <w:lang w:eastAsia="zh-CN"/>
                    </w:rPr>
                    <w:t>（</w:t>
                  </w:r>
                  <w:r>
                    <w:rPr>
                      <w:rFonts w:hint="default" w:ascii="Times New Roman" w:hAnsi="Times New Roman" w:eastAsia="仿宋" w:cs="Times New Roman"/>
                      <w:b/>
                      <w:color w:val="auto"/>
                      <w:sz w:val="21"/>
                      <w:szCs w:val="21"/>
                    </w:rPr>
                    <w:t>mg/m</w:t>
                  </w:r>
                  <w:r>
                    <w:rPr>
                      <w:rFonts w:hint="default" w:ascii="Times New Roman" w:hAnsi="Times New Roman" w:eastAsia="仿宋" w:cs="Times New Roman"/>
                      <w:b/>
                      <w:color w:val="auto"/>
                      <w:sz w:val="21"/>
                      <w:szCs w:val="21"/>
                      <w:vertAlign w:val="superscript"/>
                    </w:rPr>
                    <w:t>3</w:t>
                  </w:r>
                  <w:r>
                    <w:rPr>
                      <w:rFonts w:hint="eastAsia" w:ascii="Times New Roman" w:hAnsi="Times New Roman" w:cs="Times New Roman"/>
                      <w:b/>
                      <w:color w:val="auto"/>
                      <w:sz w:val="21"/>
                      <w:szCs w:val="21"/>
                      <w:lang w:eastAsia="zh-CN"/>
                    </w:rPr>
                    <w:t>）</w:t>
                  </w:r>
                </w:p>
              </w:tc>
            </w:tr>
            <w:tr w14:paraId="4CD17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80" w:type="dxa"/>
                  <w:vMerge w:val="continue"/>
                  <w:noWrap w:val="0"/>
                  <w:vAlign w:val="center"/>
                </w:tcPr>
                <w:p w14:paraId="63CD957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2337" w:type="dxa"/>
                  <w:vMerge w:val="continue"/>
                  <w:noWrap w:val="0"/>
                  <w:vAlign w:val="center"/>
                </w:tcPr>
                <w:p w14:paraId="2A89D67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012" w:type="dxa"/>
                  <w:vMerge w:val="continue"/>
                  <w:noWrap w:val="0"/>
                  <w:vAlign w:val="center"/>
                </w:tcPr>
                <w:p w14:paraId="6F71FD8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155" w:type="dxa"/>
                  <w:noWrap w:val="0"/>
                  <w:vAlign w:val="center"/>
                </w:tcPr>
                <w:p w14:paraId="1EB8EB1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浓度范围</w:t>
                  </w:r>
                </w:p>
              </w:tc>
              <w:tc>
                <w:tcPr>
                  <w:tcW w:w="769" w:type="dxa"/>
                  <w:noWrap w:val="0"/>
                  <w:vAlign w:val="center"/>
                </w:tcPr>
                <w:p w14:paraId="329EA85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w:t>
                  </w:r>
                </w:p>
              </w:tc>
              <w:tc>
                <w:tcPr>
                  <w:tcW w:w="928" w:type="dxa"/>
                  <w:noWrap w:val="0"/>
                  <w:vAlign w:val="center"/>
                </w:tcPr>
                <w:p w14:paraId="00D429F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超标率</w:t>
                  </w:r>
                </w:p>
              </w:tc>
              <w:tc>
                <w:tcPr>
                  <w:tcW w:w="1508" w:type="dxa"/>
                  <w:noWrap w:val="0"/>
                  <w:vAlign w:val="center"/>
                </w:tcPr>
                <w:p w14:paraId="3711D09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最大超标倍数</w:t>
                  </w:r>
                </w:p>
              </w:tc>
            </w:tr>
            <w:tr w14:paraId="253F9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0" w:type="dxa"/>
                  <w:noWrap w:val="0"/>
                  <w:vAlign w:val="center"/>
                </w:tcPr>
                <w:p w14:paraId="5AFF44D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G1</w:t>
                  </w:r>
                </w:p>
              </w:tc>
              <w:tc>
                <w:tcPr>
                  <w:tcW w:w="2337" w:type="dxa"/>
                  <w:noWrap w:val="0"/>
                  <w:vAlign w:val="center"/>
                </w:tcPr>
                <w:p w14:paraId="17D8B96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常州市博而精机械科技有限公司所在地</w:t>
                  </w:r>
                </w:p>
              </w:tc>
              <w:tc>
                <w:tcPr>
                  <w:tcW w:w="1012" w:type="dxa"/>
                  <w:noWrap w:val="0"/>
                  <w:vAlign w:val="center"/>
                </w:tcPr>
                <w:p w14:paraId="3F5848F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rPr>
                    <w:t>非甲烷总烃</w:t>
                  </w:r>
                </w:p>
              </w:tc>
              <w:tc>
                <w:tcPr>
                  <w:tcW w:w="1155" w:type="dxa"/>
                  <w:noWrap w:val="0"/>
                  <w:vAlign w:val="center"/>
                </w:tcPr>
                <w:p w14:paraId="1EE4353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2</w:t>
                  </w: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88</w:t>
                  </w:r>
                </w:p>
              </w:tc>
              <w:tc>
                <w:tcPr>
                  <w:tcW w:w="769" w:type="dxa"/>
                  <w:noWrap w:val="0"/>
                  <w:vAlign w:val="center"/>
                </w:tcPr>
                <w:p w14:paraId="6EEE0A2C">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928" w:type="dxa"/>
                  <w:noWrap w:val="0"/>
                  <w:vAlign w:val="center"/>
                </w:tcPr>
                <w:p w14:paraId="0572893B">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1508" w:type="dxa"/>
                  <w:noWrap w:val="0"/>
                  <w:vAlign w:val="center"/>
                </w:tcPr>
                <w:p w14:paraId="79EB38F9">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r>
          </w:tbl>
          <w:p w14:paraId="19C32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2"/>
                <w:highlight w:val="none"/>
              </w:rPr>
            </w:pPr>
            <w:r>
              <w:rPr>
                <w:rFonts w:hint="default" w:ascii="Times New Roman" w:hAnsi="Times New Roman" w:eastAsia="仿宋" w:cs="Times New Roman"/>
                <w:color w:val="auto"/>
                <w:sz w:val="24"/>
                <w:szCs w:val="22"/>
                <w:highlight w:val="none"/>
              </w:rPr>
              <w:t>引用数据代表性说明：根据项目所处位置，利用</w:t>
            </w:r>
            <w:r>
              <w:rPr>
                <w:rFonts w:hint="default" w:ascii="Times New Roman" w:hAnsi="Times New Roman" w:eastAsia="仿宋" w:cs="Times New Roman"/>
                <w:color w:val="auto"/>
                <w:sz w:val="24"/>
                <w:szCs w:val="22"/>
                <w:highlight w:val="none"/>
                <w:lang w:val="en-US" w:eastAsia="zh-CN"/>
              </w:rPr>
              <w:t>引用</w:t>
            </w:r>
            <w:r>
              <w:rPr>
                <w:rFonts w:hint="default" w:ascii="Times New Roman" w:hAnsi="Times New Roman" w:eastAsia="仿宋" w:cs="Times New Roman"/>
                <w:color w:val="auto"/>
                <w:sz w:val="24"/>
                <w:szCs w:val="22"/>
                <w:highlight w:val="none"/>
              </w:rPr>
              <w:t>数据进行现状评价，上述</w:t>
            </w:r>
            <w:r>
              <w:rPr>
                <w:rFonts w:hint="default" w:ascii="Times New Roman" w:hAnsi="Times New Roman" w:eastAsia="仿宋" w:cs="Times New Roman"/>
                <w:color w:val="auto"/>
                <w:sz w:val="24"/>
                <w:szCs w:val="22"/>
                <w:highlight w:val="none"/>
                <w:lang w:val="en-US" w:eastAsia="zh-CN"/>
              </w:rPr>
              <w:t>引用</w:t>
            </w:r>
            <w:r>
              <w:rPr>
                <w:rFonts w:hint="default" w:ascii="Times New Roman" w:hAnsi="Times New Roman" w:eastAsia="仿宋" w:cs="Times New Roman"/>
                <w:color w:val="auto"/>
                <w:sz w:val="24"/>
                <w:szCs w:val="22"/>
                <w:highlight w:val="none"/>
              </w:rPr>
              <w:t>点位能充分代表大气环境现状。</w:t>
            </w:r>
          </w:p>
          <w:p w14:paraId="0B7CE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2"/>
                <w:highlight w:val="none"/>
              </w:rPr>
              <w:t>引用数据时效性说明：本项目</w:t>
            </w:r>
            <w:r>
              <w:rPr>
                <w:rFonts w:hint="eastAsia" w:cs="Times New Roman"/>
                <w:color w:val="auto"/>
                <w:sz w:val="24"/>
                <w:szCs w:val="22"/>
                <w:highlight w:val="none"/>
                <w:lang w:val="en-US" w:eastAsia="zh-CN"/>
              </w:rPr>
              <w:t>非甲烷总烃</w:t>
            </w:r>
            <w:r>
              <w:rPr>
                <w:rFonts w:hint="default" w:ascii="Times New Roman" w:hAnsi="Times New Roman" w:eastAsia="仿宋" w:cs="Times New Roman"/>
                <w:color w:val="auto"/>
                <w:sz w:val="24"/>
                <w:szCs w:val="22"/>
                <w:highlight w:val="none"/>
              </w:rPr>
              <w:t>引用</w:t>
            </w:r>
            <w:r>
              <w:rPr>
                <w:rFonts w:hint="eastAsia" w:ascii="Times New Roman" w:hAnsi="Times New Roman" w:eastAsia="仿宋" w:cs="Times New Roman"/>
                <w:sz w:val="24"/>
                <w:szCs w:val="28"/>
                <w:lang w:eastAsia="zh-CN"/>
              </w:rPr>
              <w:t>南京爱迪信环境技术有限公司</w:t>
            </w:r>
            <w:r>
              <w:rPr>
                <w:rFonts w:hint="default" w:ascii="Times New Roman" w:hAnsi="Times New Roman" w:eastAsia="仿宋" w:cs="Times New Roman"/>
                <w:color w:val="auto"/>
                <w:sz w:val="24"/>
                <w:szCs w:val="22"/>
                <w:highlight w:val="none"/>
              </w:rPr>
              <w:t>《</w:t>
            </w:r>
            <w:r>
              <w:rPr>
                <w:rFonts w:hint="eastAsia"/>
                <w:lang w:eastAsia="zh-CN"/>
              </w:rPr>
              <w:t>常州市博而精机械科技有限公司年产1000万套手术器械项目</w:t>
            </w:r>
            <w:r>
              <w:rPr>
                <w:rFonts w:hint="eastAsia"/>
              </w:rPr>
              <w:t>环境影响报告表</w:t>
            </w:r>
            <w:r>
              <w:rPr>
                <w:rFonts w:hint="default" w:ascii="Times New Roman" w:hAnsi="Times New Roman" w:eastAsia="仿宋" w:cs="Times New Roman"/>
                <w:color w:val="auto"/>
                <w:sz w:val="24"/>
                <w:szCs w:val="22"/>
                <w:highlight w:val="none"/>
              </w:rPr>
              <w:t>》中的现状检测数据，</w:t>
            </w:r>
            <w:r>
              <w:rPr>
                <w:rFonts w:hint="default" w:ascii="Times New Roman" w:hAnsi="Times New Roman" w:eastAsia="仿宋" w:cs="Times New Roman"/>
                <w:color w:val="auto"/>
                <w:sz w:val="24"/>
                <w:szCs w:val="22"/>
                <w:highlight w:val="none"/>
                <w:lang w:val="en-US" w:eastAsia="zh-CN"/>
              </w:rPr>
              <w:t>引用</w:t>
            </w:r>
            <w:r>
              <w:rPr>
                <w:rFonts w:hint="default" w:ascii="Times New Roman" w:hAnsi="Times New Roman" w:eastAsia="仿宋" w:cs="Times New Roman"/>
                <w:color w:val="auto"/>
                <w:sz w:val="24"/>
                <w:szCs w:val="22"/>
                <w:highlight w:val="none"/>
              </w:rPr>
              <w:t>点位位于本项目评价范围内，监测时间为</w:t>
            </w:r>
            <w:r>
              <w:rPr>
                <w:rFonts w:hint="default" w:ascii="Times New Roman" w:hAnsi="Times New Roman" w:eastAsia="仿宋" w:cs="Times New Roman"/>
                <w:color w:val="auto"/>
                <w:sz w:val="24"/>
                <w:szCs w:val="28"/>
                <w:highlight w:val="none"/>
              </w:rPr>
              <w:t>202</w:t>
            </w:r>
            <w:r>
              <w:rPr>
                <w:rFonts w:hint="eastAsia" w:cs="Times New Roman"/>
                <w:color w:val="auto"/>
                <w:sz w:val="24"/>
                <w:szCs w:val="28"/>
                <w:highlight w:val="none"/>
                <w:lang w:val="en-US" w:eastAsia="zh-CN"/>
              </w:rPr>
              <w:t>3</w:t>
            </w:r>
            <w:r>
              <w:rPr>
                <w:rFonts w:hint="default" w:ascii="Times New Roman" w:hAnsi="Times New Roman" w:eastAsia="仿宋" w:cs="Times New Roman"/>
                <w:color w:val="auto"/>
                <w:sz w:val="24"/>
                <w:szCs w:val="28"/>
                <w:highlight w:val="none"/>
              </w:rPr>
              <w:t>年</w:t>
            </w:r>
            <w:r>
              <w:rPr>
                <w:rFonts w:hint="eastAsia" w:cs="Times New Roman"/>
                <w:color w:val="auto"/>
                <w:sz w:val="24"/>
                <w:szCs w:val="28"/>
                <w:highlight w:val="none"/>
                <w:lang w:val="en-US" w:eastAsia="zh-CN"/>
              </w:rPr>
              <w:t>12</w:t>
            </w:r>
            <w:r>
              <w:rPr>
                <w:rFonts w:hint="default" w:ascii="Times New Roman" w:hAnsi="Times New Roman" w:eastAsia="仿宋" w:cs="Times New Roman"/>
                <w:color w:val="auto"/>
                <w:sz w:val="24"/>
                <w:szCs w:val="28"/>
                <w:highlight w:val="none"/>
              </w:rPr>
              <w:t>月</w:t>
            </w:r>
            <w:r>
              <w:rPr>
                <w:rFonts w:hint="eastAsia" w:cs="Times New Roman"/>
                <w:color w:val="auto"/>
                <w:sz w:val="24"/>
                <w:szCs w:val="28"/>
                <w:highlight w:val="none"/>
                <w:lang w:val="en-US" w:eastAsia="zh-CN"/>
              </w:rPr>
              <w:t>14</w:t>
            </w:r>
            <w:r>
              <w:rPr>
                <w:rFonts w:hint="default" w:ascii="Times New Roman" w:hAnsi="Times New Roman" w:eastAsia="仿宋" w:cs="Times New Roman"/>
                <w:color w:val="auto"/>
                <w:sz w:val="24"/>
                <w:szCs w:val="28"/>
                <w:highlight w:val="none"/>
              </w:rPr>
              <w:t>日</w:t>
            </w:r>
            <w:r>
              <w:rPr>
                <w:rFonts w:hint="default" w:ascii="Times New Roman" w:hAnsi="Times New Roman" w:eastAsia="仿宋" w:cs="Times New Roman"/>
                <w:color w:val="auto"/>
                <w:sz w:val="24"/>
                <w:szCs w:val="28"/>
                <w:highlight w:val="none"/>
                <w:lang w:val="en-US" w:eastAsia="zh-CN"/>
              </w:rPr>
              <w:t>至</w:t>
            </w:r>
            <w:r>
              <w:rPr>
                <w:rFonts w:hint="default" w:ascii="Times New Roman" w:hAnsi="Times New Roman" w:eastAsia="仿宋" w:cs="Times New Roman"/>
                <w:color w:val="auto"/>
                <w:sz w:val="24"/>
                <w:szCs w:val="28"/>
                <w:highlight w:val="none"/>
              </w:rPr>
              <w:t>202</w:t>
            </w:r>
            <w:r>
              <w:rPr>
                <w:rFonts w:hint="eastAsia" w:cs="Times New Roman"/>
                <w:color w:val="auto"/>
                <w:sz w:val="24"/>
                <w:szCs w:val="28"/>
                <w:highlight w:val="none"/>
                <w:lang w:val="en-US" w:eastAsia="zh-CN"/>
              </w:rPr>
              <w:t>3</w:t>
            </w:r>
            <w:r>
              <w:rPr>
                <w:rFonts w:hint="default" w:ascii="Times New Roman" w:hAnsi="Times New Roman" w:eastAsia="仿宋" w:cs="Times New Roman"/>
                <w:color w:val="auto"/>
                <w:sz w:val="24"/>
                <w:szCs w:val="28"/>
                <w:highlight w:val="none"/>
              </w:rPr>
              <w:t>年</w:t>
            </w:r>
            <w:r>
              <w:rPr>
                <w:rFonts w:hint="eastAsia" w:cs="Times New Roman"/>
                <w:color w:val="auto"/>
                <w:sz w:val="24"/>
                <w:szCs w:val="28"/>
                <w:highlight w:val="none"/>
                <w:lang w:val="en-US" w:eastAsia="zh-CN"/>
              </w:rPr>
              <w:t>12</w:t>
            </w:r>
            <w:r>
              <w:rPr>
                <w:rFonts w:hint="default" w:ascii="Times New Roman" w:hAnsi="Times New Roman" w:eastAsia="仿宋" w:cs="Times New Roman"/>
                <w:color w:val="auto"/>
                <w:sz w:val="24"/>
                <w:szCs w:val="28"/>
                <w:highlight w:val="none"/>
              </w:rPr>
              <w:t>月</w:t>
            </w:r>
            <w:r>
              <w:rPr>
                <w:rFonts w:hint="eastAsia" w:cs="Times New Roman"/>
                <w:color w:val="auto"/>
                <w:sz w:val="24"/>
                <w:szCs w:val="28"/>
                <w:highlight w:val="none"/>
                <w:lang w:val="en-US" w:eastAsia="zh-CN"/>
              </w:rPr>
              <w:t>16</w:t>
            </w:r>
            <w:r>
              <w:rPr>
                <w:rFonts w:hint="default" w:ascii="Times New Roman" w:hAnsi="Times New Roman" w:eastAsia="仿宋" w:cs="Times New Roman"/>
                <w:color w:val="auto"/>
                <w:sz w:val="24"/>
                <w:szCs w:val="28"/>
                <w:highlight w:val="none"/>
              </w:rPr>
              <w:t>日</w:t>
            </w:r>
            <w:r>
              <w:rPr>
                <w:rFonts w:hint="eastAsia" w:cs="Times New Roman"/>
                <w:color w:val="auto"/>
                <w:sz w:val="24"/>
                <w:szCs w:val="28"/>
                <w:highlight w:val="none"/>
                <w:lang w:eastAsia="zh-CN"/>
              </w:rPr>
              <w:t>，</w:t>
            </w:r>
            <w:r>
              <w:rPr>
                <w:rFonts w:hint="default" w:ascii="Times New Roman" w:hAnsi="Times New Roman" w:eastAsia="仿宋" w:cs="Times New Roman"/>
                <w:color w:val="auto"/>
                <w:sz w:val="24"/>
                <w:szCs w:val="24"/>
                <w:highlight w:val="none"/>
              </w:rPr>
              <w:t>根据现场踏勘以及区域调查，项目评价区域未增加大型污染企业，从监测期间截止至今，未明显增加环境本底贡献值，因此引用数据有效。</w:t>
            </w:r>
          </w:p>
          <w:p w14:paraId="7C94B18D">
            <w:pPr>
              <w:adjustRightInd w:val="0"/>
              <w:snapToGrid w:val="0"/>
              <w:spacing w:line="480" w:lineRule="exact"/>
              <w:ind w:firstLine="480" w:firstLineChars="200"/>
              <w:jc w:val="left"/>
              <w:rPr>
                <w:kern w:val="0"/>
              </w:rPr>
            </w:pPr>
            <w:r>
              <w:rPr>
                <w:rFonts w:hint="default" w:ascii="Times New Roman" w:hAnsi="Times New Roman" w:eastAsia="仿宋" w:cs="Times New Roman"/>
                <w:color w:val="auto"/>
                <w:sz w:val="24"/>
                <w:highlight w:val="none"/>
              </w:rPr>
              <w:t>从表中数据可以看出，</w:t>
            </w:r>
            <w:r>
              <w:rPr>
                <w:rFonts w:hint="default" w:ascii="Times New Roman" w:hAnsi="Times New Roman" w:eastAsia="仿宋" w:cs="Times New Roman"/>
                <w:color w:val="auto"/>
                <w:sz w:val="24"/>
                <w:szCs w:val="24"/>
                <w:highlight w:val="none"/>
              </w:rPr>
              <w:t>引用因子</w:t>
            </w:r>
            <w:r>
              <w:rPr>
                <w:rFonts w:hint="default" w:ascii="Times New Roman" w:hAnsi="Times New Roman" w:eastAsia="仿宋" w:cs="Times New Roman"/>
                <w:color w:val="auto"/>
                <w:sz w:val="24"/>
                <w:highlight w:val="none"/>
              </w:rPr>
              <w:t>非甲烷总烃</w:t>
            </w:r>
            <w:r>
              <w:rPr>
                <w:rFonts w:hint="default" w:ascii="Times New Roman" w:hAnsi="Times New Roman" w:eastAsia="仿宋" w:cs="Times New Roman"/>
                <w:color w:val="auto"/>
                <w:sz w:val="24"/>
                <w:szCs w:val="24"/>
                <w:highlight w:val="none"/>
              </w:rPr>
              <w:t>在引用点未出现超标现象。引用数据基本满足项目</w:t>
            </w:r>
            <w:r>
              <w:rPr>
                <w:rFonts w:hint="default" w:ascii="Times New Roman" w:hAnsi="Times New Roman" w:eastAsia="仿宋" w:cs="Times New Roman"/>
                <w:color w:val="auto"/>
                <w:sz w:val="24"/>
                <w:highlight w:val="none"/>
              </w:rPr>
              <w:t>所在地区的环境功能区划要求，通过大气现状评价分析得出，建设项目所在区域环境空气质量基本满足环境功能区划要求，建设项目所在地周围大气环境质量较好。</w:t>
            </w:r>
          </w:p>
          <w:p w14:paraId="4B0D90BF">
            <w:pPr>
              <w:adjustRightInd w:val="0"/>
              <w:snapToGrid w:val="0"/>
              <w:spacing w:line="480" w:lineRule="exact"/>
              <w:ind w:firstLine="480" w:firstLineChars="200"/>
              <w:jc w:val="left"/>
              <w:rPr>
                <w:kern w:val="0"/>
              </w:rPr>
            </w:pPr>
            <w:r>
              <w:rPr>
                <w:kern w:val="0"/>
              </w:rPr>
              <w:t>（</w:t>
            </w:r>
            <w:r>
              <w:rPr>
                <w:rFonts w:hint="eastAsia"/>
                <w:kern w:val="0"/>
                <w:lang w:val="en-US" w:eastAsia="zh-CN"/>
              </w:rPr>
              <w:t>3</w:t>
            </w:r>
            <w:r>
              <w:rPr>
                <w:kern w:val="0"/>
              </w:rPr>
              <w:t>）区域大气污染整治方案</w:t>
            </w:r>
          </w:p>
          <w:p w14:paraId="129D59BC">
            <w:pPr>
              <w:spacing w:line="480" w:lineRule="exact"/>
              <w:ind w:firstLine="480" w:firstLineChars="200"/>
            </w:pPr>
            <w:r>
              <w:rPr>
                <w:rFonts w:hint="eastAsia"/>
                <w:lang w:val="en-US" w:eastAsia="zh-CN"/>
              </w:rPr>
              <w:t>根据常州市政府关于印发《常州市空气质量持续改善行动计划实施方案》的通知，主要举措如下：</w:t>
            </w:r>
          </w:p>
          <w:p w14:paraId="763918A0">
            <w:pPr>
              <w:spacing w:line="480" w:lineRule="exact"/>
              <w:ind w:firstLine="480" w:firstLineChars="200"/>
            </w:pPr>
            <w:r>
              <w:rPr>
                <w:rFonts w:hint="eastAsia"/>
                <w:lang w:val="en-US" w:eastAsia="zh-CN"/>
              </w:rPr>
              <w:t>调整优化产业结构，推进产业绿色低碳发展：</w:t>
            </w:r>
          </w:p>
          <w:p w14:paraId="35B63BF3">
            <w:pPr>
              <w:spacing w:line="480" w:lineRule="exact"/>
              <w:ind w:firstLine="480" w:firstLineChars="200"/>
              <w:rPr>
                <w:rFonts w:hint="eastAsia"/>
                <w:lang w:val="en-US" w:eastAsia="zh-CN"/>
              </w:rPr>
            </w:pPr>
            <w:r>
              <w:rPr>
                <w:rFonts w:hint="eastAsia"/>
                <w:lang w:val="en-US" w:eastAsia="zh-CN"/>
              </w:rPr>
              <w:t>（一）坚决遏制“两高”项目盲目发展。按照江苏省“两高”项目分类管理工作要求，严格执行国家、省有关钢铁（炼钢、炼铁）、焦化、电解铝、水泥（熟料）、平板玻璃（不含光伏压延玻璃）和炼化（纳入国家产业规划除外）等行业产业政策标准。到</w:t>
            </w:r>
            <w:r>
              <w:rPr>
                <w:rFonts w:hint="default"/>
                <w:lang w:val="en-US" w:eastAsia="zh-CN"/>
              </w:rPr>
              <w:t>2025</w:t>
            </w:r>
            <w:r>
              <w:rPr>
                <w:rFonts w:hint="eastAsia"/>
                <w:lang w:val="en-US" w:eastAsia="zh-CN"/>
              </w:rPr>
              <w:t>年，短流程炼钢产能占比力争达</w:t>
            </w:r>
            <w:r>
              <w:rPr>
                <w:rFonts w:hint="default"/>
                <w:lang w:val="en-US" w:eastAsia="zh-CN"/>
              </w:rPr>
              <w:t>20%</w:t>
            </w:r>
            <w:r>
              <w:rPr>
                <w:rFonts w:hint="eastAsia"/>
                <w:lang w:val="en-US" w:eastAsia="zh-CN"/>
              </w:rPr>
              <w:t>以上。</w:t>
            </w:r>
          </w:p>
          <w:p w14:paraId="5569EB74">
            <w:pPr>
              <w:spacing w:line="480" w:lineRule="exact"/>
              <w:ind w:firstLine="480" w:firstLineChars="200"/>
              <w:rPr>
                <w:rFonts w:hint="eastAsia"/>
                <w:lang w:val="en-US" w:eastAsia="zh-CN"/>
              </w:rPr>
            </w:pPr>
            <w:r>
              <w:rPr>
                <w:rFonts w:hint="eastAsia"/>
                <w:lang w:val="en-US" w:eastAsia="zh-CN"/>
              </w:rPr>
              <w:t>（二）加快退出重点行业落后产能。落实《产业结构调整指导目录》，依法依规逐步退出限制类涉气行业工艺和装备、逐步淘汰步进式烧结机和球团竖炉以及半封闭式硅锰合金、镍铁、高碳铬铁、高碳锰铁电炉。</w:t>
            </w:r>
          </w:p>
          <w:p w14:paraId="744D499B">
            <w:pPr>
              <w:spacing w:line="480" w:lineRule="exact"/>
              <w:ind w:firstLine="480" w:firstLineChars="200"/>
              <w:rPr>
                <w:rFonts w:hint="eastAsia"/>
                <w:lang w:val="en-US" w:eastAsia="zh-CN"/>
              </w:rPr>
            </w:pPr>
            <w:r>
              <w:rPr>
                <w:rFonts w:hint="eastAsia"/>
                <w:lang w:val="en-US" w:eastAsia="zh-CN"/>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56AA0304">
            <w:pPr>
              <w:spacing w:line="480" w:lineRule="exact"/>
              <w:ind w:firstLine="480" w:firstLineChars="200"/>
              <w:rPr>
                <w:rFonts w:hint="eastAsia"/>
                <w:lang w:val="en-US" w:eastAsia="zh-CN"/>
              </w:rPr>
            </w:pPr>
            <w:r>
              <w:rPr>
                <w:rFonts w:hint="eastAsia"/>
                <w:lang w:val="en-US" w:eastAsia="zh-CN"/>
              </w:rPr>
              <w:t>（四）优化含</w:t>
            </w:r>
            <w:r>
              <w:rPr>
                <w:rFonts w:hint="default"/>
                <w:lang w:val="en-US" w:eastAsia="zh-CN"/>
              </w:rPr>
              <w:t>VOCs</w:t>
            </w:r>
            <w:r>
              <w:rPr>
                <w:rFonts w:hint="eastAsia"/>
                <w:lang w:val="en-US" w:eastAsia="zh-CN"/>
              </w:rPr>
              <w:t>原辅材料和产品结构。严格控制生产和使用高</w:t>
            </w:r>
            <w:r>
              <w:rPr>
                <w:rFonts w:hint="default"/>
                <w:lang w:val="en-US" w:eastAsia="zh-CN"/>
              </w:rPr>
              <w:t>VOCs</w:t>
            </w:r>
            <w:r>
              <w:rPr>
                <w:rFonts w:hint="eastAsia"/>
                <w:lang w:val="en-US" w:eastAsia="zh-CN"/>
              </w:rPr>
              <w:t>含量涂料、油墨、胶粘剂、清洗剂等建设项目。加大工业涂装、包装印刷和电子行业清洁原料替代力度。鼓励和推进汽车</w:t>
            </w:r>
            <w:r>
              <w:rPr>
                <w:rFonts w:hint="default"/>
                <w:lang w:val="en-US" w:eastAsia="zh-CN"/>
              </w:rPr>
              <w:t>4S</w:t>
            </w:r>
            <w:r>
              <w:rPr>
                <w:rFonts w:hint="eastAsia"/>
                <w:lang w:val="en-US" w:eastAsia="zh-CN"/>
              </w:rPr>
              <w:t>店、大型汽修厂实施水性涂料替代。</w:t>
            </w:r>
          </w:p>
          <w:p w14:paraId="7D7CCDE7">
            <w:pPr>
              <w:spacing w:line="480" w:lineRule="exact"/>
              <w:ind w:firstLine="482" w:firstLineChars="200"/>
              <w:rPr>
                <w:rFonts w:hint="eastAsia"/>
                <w:b/>
                <w:bCs/>
                <w:lang w:val="en-US" w:eastAsia="zh-CN"/>
              </w:rPr>
            </w:pPr>
            <w:r>
              <w:rPr>
                <w:rFonts w:hint="eastAsia"/>
                <w:b/>
                <w:bCs/>
                <w:lang w:val="en-US" w:eastAsia="zh-CN"/>
              </w:rPr>
              <w:t xml:space="preserve">推进能源高效利用，加快能源清洁低碳转型： </w:t>
            </w:r>
          </w:p>
          <w:p w14:paraId="2AB04781">
            <w:pPr>
              <w:spacing w:line="480" w:lineRule="exact"/>
              <w:ind w:firstLine="480" w:firstLineChars="200"/>
              <w:rPr>
                <w:rFonts w:hint="eastAsia"/>
                <w:lang w:val="en-US" w:eastAsia="zh-CN"/>
              </w:rPr>
            </w:pPr>
            <w:r>
              <w:rPr>
                <w:rFonts w:hint="eastAsia"/>
                <w:lang w:val="en-US" w:eastAsia="zh-CN"/>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w:t>
            </w:r>
            <w:r>
              <w:rPr>
                <w:rFonts w:hint="default"/>
                <w:lang w:val="en-US" w:eastAsia="zh-CN"/>
              </w:rPr>
              <w:t>2025</w:t>
            </w:r>
            <w:r>
              <w:rPr>
                <w:rFonts w:hint="eastAsia"/>
                <w:lang w:val="en-US" w:eastAsia="zh-CN"/>
              </w:rPr>
              <w:t>年，新能源发电装机规模达到</w:t>
            </w:r>
            <w:r>
              <w:rPr>
                <w:rFonts w:hint="default"/>
                <w:lang w:val="en-US" w:eastAsia="zh-CN"/>
              </w:rPr>
              <w:t>430</w:t>
            </w:r>
            <w:r>
              <w:rPr>
                <w:rFonts w:hint="eastAsia"/>
                <w:lang w:val="en-US" w:eastAsia="zh-CN"/>
              </w:rPr>
              <w:t>万千瓦，公共机构新建建筑可安装光伏屋顶面积力争实现光伏覆盖率达到</w:t>
            </w:r>
            <w:r>
              <w:rPr>
                <w:rFonts w:hint="default"/>
                <w:lang w:val="en-US" w:eastAsia="zh-CN"/>
              </w:rPr>
              <w:t>50%</w:t>
            </w:r>
            <w:r>
              <w:rPr>
                <w:rFonts w:hint="eastAsia"/>
                <w:lang w:val="en-US" w:eastAsia="zh-CN"/>
              </w:rPr>
              <w:t>。</w:t>
            </w:r>
          </w:p>
          <w:p w14:paraId="1409669B">
            <w:pPr>
              <w:spacing w:line="480" w:lineRule="exact"/>
              <w:ind w:firstLine="480" w:firstLineChars="200"/>
              <w:rPr>
                <w:rFonts w:hint="eastAsia"/>
                <w:lang w:val="en-US" w:eastAsia="zh-CN"/>
              </w:rPr>
            </w:pPr>
            <w:r>
              <w:rPr>
                <w:rFonts w:hint="eastAsia"/>
                <w:lang w:val="en-US" w:eastAsia="zh-CN"/>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w:t>
            </w:r>
            <w:r>
              <w:rPr>
                <w:rFonts w:hint="default"/>
                <w:lang w:val="en-US" w:eastAsia="zh-CN"/>
              </w:rPr>
              <w:t>2025</w:t>
            </w:r>
            <w:r>
              <w:rPr>
                <w:rFonts w:hint="eastAsia"/>
                <w:lang w:val="en-US" w:eastAsia="zh-CN"/>
              </w:rPr>
              <w:t>年全市煤炭消费量较</w:t>
            </w:r>
            <w:r>
              <w:rPr>
                <w:rFonts w:hint="default"/>
                <w:lang w:val="en-US" w:eastAsia="zh-CN"/>
              </w:rPr>
              <w:t>2020</w:t>
            </w:r>
            <w:r>
              <w:rPr>
                <w:rFonts w:hint="eastAsia"/>
                <w:lang w:val="en-US" w:eastAsia="zh-CN"/>
              </w:rPr>
              <w:t>年下降</w:t>
            </w:r>
            <w:r>
              <w:rPr>
                <w:rFonts w:hint="default"/>
                <w:lang w:val="en-US" w:eastAsia="zh-CN"/>
              </w:rPr>
              <w:t>5%</w:t>
            </w:r>
            <w:r>
              <w:rPr>
                <w:rFonts w:hint="eastAsia"/>
                <w:lang w:val="en-US" w:eastAsia="zh-CN"/>
              </w:rPr>
              <w:t>左右。</w:t>
            </w:r>
          </w:p>
          <w:p w14:paraId="6D5A874B">
            <w:pPr>
              <w:spacing w:line="480" w:lineRule="exact"/>
              <w:ind w:firstLine="480" w:firstLineChars="200"/>
              <w:rPr>
                <w:rFonts w:hint="eastAsia"/>
                <w:lang w:val="en-US" w:eastAsia="zh-CN"/>
              </w:rPr>
            </w:pPr>
            <w:r>
              <w:rPr>
                <w:rFonts w:hint="eastAsia"/>
                <w:lang w:val="en-US" w:eastAsia="zh-CN"/>
              </w:rPr>
              <w:t>（七）推进燃煤锅炉关停整合和工业炉窑清洁能源替代。充分发挥</w:t>
            </w:r>
            <w:r>
              <w:rPr>
                <w:rFonts w:hint="default"/>
                <w:lang w:val="en-US" w:eastAsia="zh-CN"/>
              </w:rPr>
              <w:t>30</w:t>
            </w:r>
            <w:r>
              <w:rPr>
                <w:rFonts w:hint="eastAsia"/>
                <w:lang w:val="en-US" w:eastAsia="zh-CN"/>
              </w:rPr>
              <w:t>万千瓦及以上热电联产电厂的供热能力，对其供热半径</w:t>
            </w:r>
            <w:r>
              <w:rPr>
                <w:rFonts w:hint="default"/>
                <w:lang w:val="en-US" w:eastAsia="zh-CN"/>
              </w:rPr>
              <w:t>30</w:t>
            </w:r>
            <w:r>
              <w:rPr>
                <w:rFonts w:hint="eastAsia"/>
                <w:lang w:val="en-US" w:eastAsia="zh-CN"/>
              </w:rPr>
              <w:t>公里范围内的燃煤锅炉和落后燃煤小热电机组（含自备电厂）进行关停或整合。到</w:t>
            </w:r>
            <w:r>
              <w:rPr>
                <w:rFonts w:hint="default"/>
                <w:lang w:val="en-US" w:eastAsia="zh-CN"/>
              </w:rPr>
              <w:t>2025</w:t>
            </w:r>
            <w:r>
              <w:rPr>
                <w:rFonts w:hint="eastAsia"/>
                <w:lang w:val="en-US" w:eastAsia="zh-CN"/>
              </w:rPr>
              <w:t>年，淘汰</w:t>
            </w:r>
            <w:r>
              <w:rPr>
                <w:rFonts w:hint="default"/>
                <w:lang w:val="en-US" w:eastAsia="zh-CN"/>
              </w:rPr>
              <w:t>35</w:t>
            </w:r>
            <w:r>
              <w:rPr>
                <w:rFonts w:hint="eastAsia"/>
                <w:lang w:val="en-US" w:eastAsia="zh-CN"/>
              </w:rPr>
              <w:t>蒸吨</w:t>
            </w:r>
            <w:r>
              <w:rPr>
                <w:rFonts w:hint="default"/>
                <w:lang w:val="en-US" w:eastAsia="zh-CN"/>
              </w:rPr>
              <w:t>/</w:t>
            </w:r>
            <w:r>
              <w:rPr>
                <w:rFonts w:hint="eastAsia"/>
                <w:lang w:val="en-US" w:eastAsia="zh-CN"/>
              </w:rPr>
              <w:t>小时及以下燃煤锅炉，基本淘汰茶水炉、经营性炉灶、储粮烘干设备、农产品加工等燃煤设施。不再新增燃料类煤气发生炉，新改扩建加热炉、热处理炉、干燥炉、熔化炉原则上采用清洁低碳能源。</w:t>
            </w:r>
          </w:p>
          <w:p w14:paraId="6AEFB6A1">
            <w:pPr>
              <w:spacing w:line="480" w:lineRule="exact"/>
              <w:ind w:firstLine="480" w:firstLineChars="200"/>
              <w:rPr>
                <w:rFonts w:hint="eastAsia"/>
                <w:lang w:val="en-US" w:eastAsia="zh-CN"/>
              </w:rPr>
            </w:pPr>
            <w:r>
              <w:rPr>
                <w:rFonts w:hint="eastAsia"/>
                <w:lang w:val="en-US" w:eastAsia="zh-CN"/>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59353946">
            <w:pPr>
              <w:spacing w:line="480" w:lineRule="exact"/>
              <w:ind w:firstLine="482" w:firstLineChars="200"/>
              <w:rPr>
                <w:rFonts w:hint="eastAsia"/>
                <w:b/>
                <w:bCs/>
                <w:lang w:val="en-US" w:eastAsia="zh-CN"/>
              </w:rPr>
            </w:pPr>
            <w:r>
              <w:rPr>
                <w:rFonts w:hint="eastAsia"/>
                <w:b/>
                <w:bCs/>
                <w:lang w:val="en-US" w:eastAsia="zh-CN"/>
              </w:rPr>
              <w:t>优化调整交通结构，大力发展绿色运输体系：</w:t>
            </w:r>
          </w:p>
          <w:p w14:paraId="1F35900D">
            <w:pPr>
              <w:numPr>
                <w:ilvl w:val="0"/>
                <w:numId w:val="13"/>
              </w:numPr>
              <w:spacing w:line="480" w:lineRule="exact"/>
              <w:ind w:firstLine="480" w:firstLineChars="200"/>
              <w:rPr>
                <w:rFonts w:hint="eastAsia"/>
                <w:lang w:val="en-US" w:eastAsia="zh-CN"/>
              </w:rPr>
            </w:pPr>
            <w:r>
              <w:rPr>
                <w:rFonts w:hint="eastAsia"/>
                <w:lang w:val="en-US" w:eastAsia="zh-CN"/>
              </w:rPr>
              <w:t>持续优化货物运输结构。到</w:t>
            </w:r>
            <w:r>
              <w:rPr>
                <w:rFonts w:hint="default"/>
                <w:lang w:val="en-US" w:eastAsia="zh-CN"/>
              </w:rPr>
              <w:t>2025</w:t>
            </w:r>
            <w:r>
              <w:rPr>
                <w:rFonts w:hint="eastAsia"/>
                <w:lang w:val="en-US" w:eastAsia="zh-CN"/>
              </w:rPr>
              <w:t>年，水路、铁路货运量比</w:t>
            </w:r>
            <w:r>
              <w:rPr>
                <w:rFonts w:hint="default"/>
                <w:lang w:val="en-US" w:eastAsia="zh-CN"/>
              </w:rPr>
              <w:t>2020</w:t>
            </w:r>
            <w:r>
              <w:rPr>
                <w:rFonts w:hint="eastAsia"/>
                <w:lang w:val="en-US" w:eastAsia="zh-CN"/>
              </w:rPr>
              <w:t>年分别增长</w:t>
            </w:r>
            <w:r>
              <w:rPr>
                <w:rFonts w:hint="default"/>
                <w:lang w:val="en-US" w:eastAsia="zh-CN"/>
              </w:rPr>
              <w:t>12%</w:t>
            </w:r>
            <w:r>
              <w:rPr>
                <w:rFonts w:hint="eastAsia"/>
                <w:lang w:val="en-US" w:eastAsia="zh-CN"/>
              </w:rPr>
              <w:t>和</w:t>
            </w:r>
            <w:r>
              <w:rPr>
                <w:rFonts w:hint="default"/>
                <w:lang w:val="en-US" w:eastAsia="zh-CN"/>
              </w:rPr>
              <w:t>10%</w:t>
            </w:r>
            <w:r>
              <w:rPr>
                <w:rFonts w:hint="eastAsia"/>
                <w:lang w:val="en-US" w:eastAsia="zh-CN"/>
              </w:rPr>
              <w:t>左右，铁路集装箱多式联运量年均增长</w:t>
            </w:r>
            <w:r>
              <w:rPr>
                <w:rFonts w:hint="default"/>
                <w:lang w:val="en-US" w:eastAsia="zh-CN"/>
              </w:rPr>
              <w:t>10%</w:t>
            </w:r>
            <w:r>
              <w:rPr>
                <w:rFonts w:hint="eastAsia"/>
                <w:lang w:val="en-US" w:eastAsia="zh-CN"/>
              </w:rPr>
              <w:t>以上。全市采取公铁联运等“外集内配”物流方式。</w:t>
            </w:r>
          </w:p>
          <w:p w14:paraId="4D7ACD4A">
            <w:pPr>
              <w:numPr>
                <w:ilvl w:val="0"/>
                <w:numId w:val="13"/>
              </w:numPr>
              <w:spacing w:line="480" w:lineRule="exact"/>
              <w:ind w:firstLine="480" w:firstLineChars="200"/>
              <w:rPr>
                <w:rFonts w:hint="eastAsia"/>
                <w:lang w:val="en-US" w:eastAsia="zh-CN"/>
              </w:rPr>
            </w:pPr>
            <w:r>
              <w:rPr>
                <w:rFonts w:hint="eastAsia"/>
                <w:lang w:val="en-US" w:eastAsia="zh-CN"/>
              </w:rPr>
              <w:t>实施绿色车轮计划。公共领域新增或更新公交、出租、城市物流配送、轻型环卫等车辆中，新能源汽车或者清洁能源汽车比例不低于</w:t>
            </w:r>
            <w:r>
              <w:rPr>
                <w:rFonts w:hint="default"/>
                <w:lang w:val="en-US" w:eastAsia="zh-CN"/>
              </w:rPr>
              <w:t>80%</w:t>
            </w:r>
            <w:r>
              <w:rPr>
                <w:rFonts w:hint="eastAsia"/>
                <w:lang w:val="en-US" w:eastAsia="zh-CN"/>
              </w:rPr>
              <w:t>。加快提升新能源汽车配套基础设施服务保障能力，新建住宅小区停车位立足新能源汽车安全特性</w:t>
            </w:r>
            <w:r>
              <w:rPr>
                <w:rFonts w:hint="default"/>
                <w:lang w:val="en-US" w:eastAsia="zh-CN"/>
              </w:rPr>
              <w:t>100%</w:t>
            </w:r>
            <w:r>
              <w:rPr>
                <w:rFonts w:hint="eastAsia"/>
                <w:lang w:val="en-US" w:eastAsia="zh-CN"/>
              </w:rPr>
              <w:t>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w:t>
            </w:r>
            <w:r>
              <w:rPr>
                <w:rFonts w:hint="default"/>
                <w:lang w:val="en-US" w:eastAsia="zh-CN"/>
              </w:rPr>
              <w:t>2024</w:t>
            </w:r>
            <w:r>
              <w:rPr>
                <w:rFonts w:hint="eastAsia"/>
                <w:lang w:val="en-US" w:eastAsia="zh-CN"/>
              </w:rPr>
              <w:t>年底前基本淘汰国三及以下排放标准柴油货车。</w:t>
            </w:r>
          </w:p>
          <w:p w14:paraId="765BAEED">
            <w:pPr>
              <w:spacing w:line="480" w:lineRule="exact"/>
              <w:ind w:firstLine="480" w:firstLineChars="200"/>
              <w:rPr>
                <w:rFonts w:hint="eastAsia"/>
                <w:lang w:val="en-US" w:eastAsia="zh-CN"/>
              </w:rPr>
            </w:pPr>
            <w:r>
              <w:rPr>
                <w:rFonts w:hint="eastAsia"/>
                <w:lang w:val="en-US" w:eastAsia="zh-CN"/>
              </w:rPr>
              <w:t>（十一）强化非道路移动源综合治理。到</w:t>
            </w:r>
            <w:r>
              <w:rPr>
                <w:rFonts w:hint="default"/>
                <w:lang w:val="en-US" w:eastAsia="zh-CN"/>
              </w:rPr>
              <w:t>2025</w:t>
            </w:r>
            <w:r>
              <w:rPr>
                <w:rFonts w:hint="eastAsia"/>
                <w:lang w:val="en-US" w:eastAsia="zh-CN"/>
              </w:rPr>
              <w:t>年，基本淘汰第一阶段及以下排放标准的非道路移动机械，鼓励新增或更新的</w:t>
            </w:r>
            <w:r>
              <w:rPr>
                <w:rFonts w:hint="default"/>
                <w:lang w:val="en-US" w:eastAsia="zh-CN"/>
              </w:rPr>
              <w:t>3</w:t>
            </w:r>
            <w:r>
              <w:rPr>
                <w:rFonts w:hint="eastAsia"/>
                <w:lang w:val="en-US" w:eastAsia="zh-CN"/>
              </w:rPr>
              <w:t>吨以下叉车基本实现新能源化；民航机场桥电使用率到</w:t>
            </w:r>
            <w:r>
              <w:rPr>
                <w:rFonts w:hint="default"/>
                <w:lang w:val="en-US" w:eastAsia="zh-CN"/>
              </w:rPr>
              <w:t>95%</w:t>
            </w:r>
            <w:r>
              <w:rPr>
                <w:rFonts w:hint="eastAsia"/>
                <w:lang w:val="en-US" w:eastAsia="zh-CN"/>
              </w:rPr>
              <w:t>以上。大力提高岸电使用率，到</w:t>
            </w:r>
            <w:r>
              <w:rPr>
                <w:rFonts w:hint="default"/>
                <w:lang w:val="en-US" w:eastAsia="zh-CN"/>
              </w:rPr>
              <w:t>202</w:t>
            </w:r>
            <w:r>
              <w:rPr>
                <w:rFonts w:hint="eastAsia"/>
                <w:lang w:val="en-US" w:eastAsia="zh-CN"/>
              </w:rPr>
              <w:t>5年，主要港口和排放控制区内靠港船舶的岸电使用电量较</w:t>
            </w:r>
            <w:r>
              <w:rPr>
                <w:rFonts w:hint="default"/>
                <w:lang w:val="en-US" w:eastAsia="zh-CN"/>
              </w:rPr>
              <w:t>2020</w:t>
            </w:r>
            <w:r>
              <w:rPr>
                <w:rFonts w:hint="eastAsia"/>
                <w:lang w:val="en-US" w:eastAsia="zh-CN"/>
              </w:rPr>
              <w:t>年翻一番。</w:t>
            </w:r>
          </w:p>
          <w:p w14:paraId="0B6408F5">
            <w:pPr>
              <w:spacing w:line="480" w:lineRule="exact"/>
              <w:ind w:firstLine="482" w:firstLineChars="200"/>
              <w:rPr>
                <w:rFonts w:hint="eastAsia"/>
                <w:b/>
                <w:bCs/>
                <w:lang w:val="en-US" w:eastAsia="zh-CN"/>
              </w:rPr>
            </w:pPr>
            <w:r>
              <w:rPr>
                <w:rFonts w:hint="eastAsia"/>
                <w:b/>
                <w:bCs/>
                <w:lang w:val="en-US" w:eastAsia="zh-CN"/>
              </w:rPr>
              <w:t>加强面源污染治理，提高精细化管理水平：</w:t>
            </w:r>
          </w:p>
          <w:p w14:paraId="77B2BBA7">
            <w:pPr>
              <w:spacing w:line="480" w:lineRule="exact"/>
              <w:ind w:firstLine="480" w:firstLineChars="200"/>
              <w:rPr>
                <w:rFonts w:hint="eastAsia"/>
                <w:lang w:val="en-US" w:eastAsia="zh-CN"/>
              </w:rPr>
            </w:pPr>
            <w:r>
              <w:rPr>
                <w:rFonts w:hint="eastAsia"/>
                <w:lang w:val="en-US" w:eastAsia="zh-CN"/>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w:t>
            </w:r>
            <w:r>
              <w:rPr>
                <w:rFonts w:hint="default"/>
                <w:lang w:val="en-US" w:eastAsia="zh-CN"/>
              </w:rPr>
              <w:t>5000</w:t>
            </w:r>
            <w:r>
              <w:rPr>
                <w:rFonts w:hint="eastAsia"/>
                <w:lang w:val="en-US" w:eastAsia="zh-CN"/>
              </w:rPr>
              <w:t>平方米及以上建筑工地安装视频监控并接入监管平台。鼓励推广使用新能源渣土运输车辆。推广装配式施工，推进“全电工地”试点。</w:t>
            </w:r>
          </w:p>
          <w:p w14:paraId="06399CF5">
            <w:pPr>
              <w:spacing w:line="480" w:lineRule="exact"/>
              <w:ind w:firstLine="480" w:firstLineChars="200"/>
              <w:rPr>
                <w:rFonts w:hint="eastAsia"/>
                <w:lang w:val="en-US" w:eastAsia="zh-CN"/>
              </w:rPr>
            </w:pPr>
            <w:r>
              <w:rPr>
                <w:rFonts w:hint="eastAsia"/>
                <w:lang w:val="en-US" w:eastAsia="zh-CN"/>
              </w:rPr>
              <w:t>（十三）推进矿山生态环境综合整治。新建矿山原则上要同步建设专用廊道或采用其他清洁运输方式。对限期整改仍不达标的矿山，根据安全生产、水土保持、生态环境等要求依法关闭或停止生产。</w:t>
            </w:r>
          </w:p>
          <w:p w14:paraId="195A964E">
            <w:pPr>
              <w:spacing w:line="480" w:lineRule="exact"/>
              <w:ind w:firstLine="480" w:firstLineChars="200"/>
              <w:rPr>
                <w:rFonts w:hint="eastAsia"/>
                <w:lang w:val="en-US" w:eastAsia="zh-CN"/>
              </w:rPr>
            </w:pPr>
            <w:r>
              <w:rPr>
                <w:rFonts w:hint="eastAsia"/>
                <w:lang w:val="en-US" w:eastAsia="zh-CN"/>
              </w:rPr>
              <w:t>（十四）加强秸秆禁烧和综合利用。到</w:t>
            </w:r>
            <w:r>
              <w:rPr>
                <w:rFonts w:hint="default"/>
                <w:lang w:val="en-US" w:eastAsia="zh-CN"/>
              </w:rPr>
              <w:t>2025</w:t>
            </w:r>
            <w:r>
              <w:rPr>
                <w:rFonts w:hint="eastAsia"/>
                <w:lang w:val="en-US" w:eastAsia="zh-CN"/>
              </w:rPr>
              <w:t>年，全市农作物秸秆综合利用率稳定达</w:t>
            </w:r>
            <w:r>
              <w:rPr>
                <w:rFonts w:hint="default"/>
                <w:lang w:val="en-US" w:eastAsia="zh-CN"/>
              </w:rPr>
              <w:t>95%</w:t>
            </w:r>
            <w:r>
              <w:rPr>
                <w:rFonts w:hint="eastAsia"/>
                <w:lang w:val="en-US" w:eastAsia="zh-CN"/>
              </w:rPr>
              <w:t>以上。禁止露天焚烧秸秆。综合运用卫星遥感、高清视频监控、无人机等手段，提高秸秆焚烧火点监测及巡查精准度。</w:t>
            </w:r>
          </w:p>
          <w:p w14:paraId="2A4DB04C">
            <w:pPr>
              <w:spacing w:line="480" w:lineRule="exact"/>
              <w:ind w:firstLine="482" w:firstLineChars="200"/>
              <w:rPr>
                <w:rFonts w:hint="eastAsia"/>
                <w:b/>
                <w:bCs/>
                <w:lang w:val="en-US" w:eastAsia="zh-CN"/>
              </w:rPr>
            </w:pPr>
            <w:r>
              <w:rPr>
                <w:rFonts w:hint="eastAsia"/>
                <w:b/>
                <w:bCs/>
                <w:lang w:val="en-US" w:eastAsia="zh-CN"/>
              </w:rPr>
              <w:t>强化协同减排，切实降低污染物排放强度：</w:t>
            </w:r>
          </w:p>
          <w:p w14:paraId="27B27242">
            <w:pPr>
              <w:spacing w:line="480" w:lineRule="exact"/>
              <w:ind w:firstLine="480" w:firstLineChars="200"/>
              <w:rPr>
                <w:rFonts w:hint="eastAsia"/>
                <w:lang w:val="en-US" w:eastAsia="zh-CN"/>
              </w:rPr>
            </w:pPr>
            <w:r>
              <w:rPr>
                <w:rFonts w:hint="eastAsia"/>
                <w:lang w:val="en-US" w:eastAsia="zh-CN"/>
              </w:rPr>
              <w:t>（十五）强化</w:t>
            </w:r>
            <w:r>
              <w:rPr>
                <w:rFonts w:hint="default"/>
                <w:lang w:val="en-US" w:eastAsia="zh-CN"/>
              </w:rPr>
              <w:t>VOCs</w:t>
            </w:r>
            <w:r>
              <w:rPr>
                <w:rFonts w:hint="eastAsia"/>
                <w:lang w:val="en-US" w:eastAsia="zh-CN"/>
              </w:rPr>
              <w:t>全流程、全环节综合治理。鼓励储罐使用低泄漏的呼吸阀、紧急泄压阀，定期开展密封性检测。重点工业园区建立分环节、分物种管控清单，实施高排放关键活性物种“指纹化”监测监控和靶向治理。到</w:t>
            </w:r>
            <w:r>
              <w:rPr>
                <w:rFonts w:hint="default"/>
                <w:lang w:val="en-US" w:eastAsia="zh-CN"/>
              </w:rPr>
              <w:t>2025</w:t>
            </w:r>
            <w:r>
              <w:rPr>
                <w:rFonts w:hint="eastAsia"/>
                <w:lang w:val="en-US" w:eastAsia="zh-CN"/>
              </w:rPr>
              <w:t>年，重点工业园区</w:t>
            </w:r>
            <w:r>
              <w:rPr>
                <w:rFonts w:hint="default"/>
                <w:lang w:val="en-US" w:eastAsia="zh-CN"/>
              </w:rPr>
              <w:t>VOCs</w:t>
            </w:r>
            <w:r>
              <w:rPr>
                <w:rFonts w:hint="eastAsia"/>
                <w:lang w:val="en-US" w:eastAsia="zh-CN"/>
              </w:rPr>
              <w:t>浓度力争比</w:t>
            </w:r>
            <w:r>
              <w:rPr>
                <w:rFonts w:hint="default"/>
                <w:lang w:val="en-US" w:eastAsia="zh-CN"/>
              </w:rPr>
              <w:t>2021</w:t>
            </w:r>
            <w:r>
              <w:rPr>
                <w:rFonts w:hint="eastAsia"/>
                <w:lang w:val="en-US" w:eastAsia="zh-CN"/>
              </w:rPr>
              <w:t>年下降</w:t>
            </w:r>
            <w:r>
              <w:rPr>
                <w:rFonts w:hint="default"/>
                <w:lang w:val="en-US" w:eastAsia="zh-CN"/>
              </w:rPr>
              <w:t>20%</w:t>
            </w:r>
            <w:r>
              <w:rPr>
                <w:rFonts w:hint="eastAsia"/>
                <w:lang w:val="en-US" w:eastAsia="zh-CN"/>
              </w:rPr>
              <w:t>。</w:t>
            </w:r>
          </w:p>
          <w:p w14:paraId="1C16561A">
            <w:pPr>
              <w:spacing w:line="480" w:lineRule="exact"/>
              <w:ind w:firstLine="480" w:firstLineChars="200"/>
              <w:rPr>
                <w:rFonts w:hint="eastAsia"/>
                <w:lang w:val="en-US" w:eastAsia="zh-CN"/>
              </w:rPr>
            </w:pPr>
            <w:r>
              <w:rPr>
                <w:rFonts w:hint="eastAsia"/>
                <w:lang w:val="en-US" w:eastAsia="zh-CN"/>
              </w:rPr>
              <w:t>（十六）实施重点行业超低排放与深度治理。有序推进铸造、垃圾焚烧发电、玻璃、有色、石灰、矿棉等行业深度治理。持续推进煤电机组深度脱硝改造，力争</w:t>
            </w:r>
            <w:r>
              <w:rPr>
                <w:rFonts w:hint="default"/>
                <w:lang w:val="en-US" w:eastAsia="zh-CN"/>
              </w:rPr>
              <w:t>2024</w:t>
            </w:r>
            <w:r>
              <w:rPr>
                <w:rFonts w:hint="eastAsia"/>
                <w:lang w:val="en-US" w:eastAsia="zh-CN"/>
              </w:rPr>
              <w:t>年底前完成单机</w:t>
            </w:r>
            <w:r>
              <w:rPr>
                <w:rFonts w:hint="default"/>
                <w:lang w:val="en-US" w:eastAsia="zh-CN"/>
              </w:rPr>
              <w:t>10</w:t>
            </w:r>
            <w:r>
              <w:rPr>
                <w:rFonts w:hint="eastAsia"/>
                <w:lang w:val="en-US" w:eastAsia="zh-CN"/>
              </w:rPr>
              <w:t>万千瓦及以上煤电机组深度脱硝改造任务。到</w:t>
            </w:r>
            <w:r>
              <w:rPr>
                <w:rFonts w:hint="default"/>
                <w:lang w:val="en-US" w:eastAsia="zh-CN"/>
              </w:rPr>
              <w:t>2025</w:t>
            </w:r>
            <w:r>
              <w:rPr>
                <w:rFonts w:hint="eastAsia"/>
                <w:lang w:val="en-US" w:eastAsia="zh-CN"/>
              </w:rPr>
              <w:t>年底，全市水泥企业基本完成超低排放改造。实施重点行业绩效等级提升行动。</w:t>
            </w:r>
          </w:p>
          <w:p w14:paraId="37F0415A">
            <w:pPr>
              <w:spacing w:line="480" w:lineRule="exact"/>
              <w:ind w:firstLine="480" w:firstLineChars="200"/>
              <w:rPr>
                <w:rFonts w:hint="eastAsia"/>
                <w:lang w:val="en-US" w:eastAsia="zh-CN"/>
              </w:rPr>
            </w:pPr>
            <w:r>
              <w:rPr>
                <w:rFonts w:hint="eastAsia"/>
                <w:lang w:val="en-US" w:eastAsia="zh-CN"/>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w:t>
            </w:r>
            <w:r>
              <w:rPr>
                <w:rFonts w:hint="default"/>
                <w:lang w:val="en-US" w:eastAsia="zh-CN"/>
              </w:rPr>
              <w:t>+</w:t>
            </w:r>
            <w:r>
              <w:rPr>
                <w:rFonts w:hint="eastAsia"/>
                <w:lang w:val="en-US" w:eastAsia="zh-CN"/>
              </w:rPr>
              <w:t>监测”异味溯源机制。</w:t>
            </w:r>
          </w:p>
          <w:p w14:paraId="33A7ECFC">
            <w:pPr>
              <w:spacing w:line="480" w:lineRule="exact"/>
              <w:ind w:firstLine="480" w:firstLineChars="200"/>
              <w:rPr>
                <w:rFonts w:hint="eastAsia"/>
                <w:lang w:val="en-US" w:eastAsia="zh-CN"/>
              </w:rPr>
            </w:pPr>
            <w:r>
              <w:rPr>
                <w:rFonts w:hint="eastAsia"/>
                <w:lang w:val="en-US" w:eastAsia="zh-CN"/>
              </w:rPr>
              <w:t>（十八）推动大气氨污染防控。推广氮肥机械深施和低蛋白日粮技术。到</w:t>
            </w:r>
            <w:r>
              <w:rPr>
                <w:rFonts w:hint="default"/>
                <w:lang w:val="en-US" w:eastAsia="zh-CN"/>
              </w:rPr>
              <w:t>2025</w:t>
            </w:r>
            <w:r>
              <w:rPr>
                <w:rFonts w:hint="eastAsia"/>
                <w:lang w:val="en-US" w:eastAsia="zh-CN"/>
              </w:rPr>
              <w:t>年，全市主要农作物化肥施用量较</w:t>
            </w:r>
            <w:r>
              <w:rPr>
                <w:rFonts w:hint="default"/>
                <w:lang w:val="en-US" w:eastAsia="zh-CN"/>
              </w:rPr>
              <w:t>2020</w:t>
            </w:r>
            <w:r>
              <w:rPr>
                <w:rFonts w:hint="eastAsia"/>
                <w:lang w:val="en-US" w:eastAsia="zh-CN"/>
              </w:rPr>
              <w:t>年削减</w:t>
            </w:r>
            <w:r>
              <w:rPr>
                <w:rFonts w:hint="default"/>
                <w:lang w:val="en-US" w:eastAsia="zh-CN"/>
              </w:rPr>
              <w:t>3%</w:t>
            </w:r>
            <w:r>
              <w:rPr>
                <w:rFonts w:hint="eastAsia"/>
                <w:lang w:val="en-US" w:eastAsia="zh-CN"/>
              </w:rPr>
              <w:t>，畜禽粪污综合利用率稳定在</w:t>
            </w:r>
            <w:r>
              <w:rPr>
                <w:rFonts w:hint="default"/>
                <w:lang w:val="en-US" w:eastAsia="zh-CN"/>
              </w:rPr>
              <w:t>95%</w:t>
            </w:r>
            <w:r>
              <w:rPr>
                <w:rFonts w:hint="eastAsia"/>
                <w:lang w:val="en-US" w:eastAsia="zh-CN"/>
              </w:rPr>
              <w:t>左右。加强氮肥、纯碱等行业大气氨排放治理。强化工业源烟气脱硫脱硝氨逃逸防控。</w:t>
            </w:r>
          </w:p>
          <w:p w14:paraId="0D4FD3FB">
            <w:pPr>
              <w:spacing w:line="480" w:lineRule="exact"/>
              <w:ind w:firstLine="482" w:firstLineChars="200"/>
              <w:rPr>
                <w:rFonts w:hint="eastAsia"/>
                <w:b/>
                <w:bCs/>
                <w:lang w:val="en-US" w:eastAsia="zh-CN"/>
              </w:rPr>
            </w:pPr>
            <w:r>
              <w:rPr>
                <w:rFonts w:hint="eastAsia"/>
                <w:b/>
                <w:bCs/>
                <w:lang w:val="en-US" w:eastAsia="zh-CN"/>
              </w:rPr>
              <w:t>完善工作机制，健全大气环境管理体系：</w:t>
            </w:r>
          </w:p>
          <w:p w14:paraId="27055EC2">
            <w:pPr>
              <w:spacing w:line="480" w:lineRule="exact"/>
              <w:ind w:firstLine="480" w:firstLineChars="200"/>
              <w:rPr>
                <w:rFonts w:hint="eastAsia"/>
                <w:lang w:val="en-US" w:eastAsia="zh-CN"/>
              </w:rPr>
            </w:pPr>
            <w:r>
              <w:rPr>
                <w:rFonts w:hint="eastAsia"/>
                <w:lang w:val="en-US" w:eastAsia="zh-CN"/>
              </w:rPr>
              <w:t>（十九）开展区域联防联控和城市空气质量达标管理。积极推进大气污染联防联控机制建设。空气质量未达标的地区编制实施大气环境质量限期达标规划，明确达标路线图及重点任务，并向社会公开。</w:t>
            </w:r>
          </w:p>
          <w:p w14:paraId="4EEBBB7E">
            <w:pPr>
              <w:spacing w:line="480" w:lineRule="exact"/>
              <w:ind w:firstLine="480" w:firstLineChars="200"/>
              <w:rPr>
                <w:rFonts w:hint="eastAsia"/>
                <w:lang w:val="en-US" w:eastAsia="zh-CN"/>
              </w:rPr>
            </w:pPr>
            <w:r>
              <w:rPr>
                <w:rFonts w:hint="eastAsia"/>
                <w:lang w:val="en-US" w:eastAsia="zh-CN"/>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0174C2DA">
            <w:pPr>
              <w:spacing w:line="480" w:lineRule="exact"/>
              <w:ind w:firstLine="482" w:firstLineChars="200"/>
              <w:rPr>
                <w:rFonts w:hint="eastAsia"/>
                <w:b/>
                <w:bCs/>
                <w:lang w:val="en-US" w:eastAsia="zh-CN"/>
              </w:rPr>
            </w:pPr>
            <w:r>
              <w:rPr>
                <w:rFonts w:hint="eastAsia"/>
                <w:b/>
                <w:bCs/>
                <w:lang w:val="en-US" w:eastAsia="zh-CN"/>
              </w:rPr>
              <w:t>加强能力建设，提升生态环境治理体系和治理能力现代化水平：</w:t>
            </w:r>
          </w:p>
          <w:p w14:paraId="1C51F22B">
            <w:pPr>
              <w:spacing w:line="480" w:lineRule="exact"/>
              <w:ind w:firstLine="480" w:firstLineChars="200"/>
              <w:rPr>
                <w:rFonts w:hint="eastAsia"/>
                <w:lang w:val="en-US" w:eastAsia="zh-CN"/>
              </w:rPr>
            </w:pPr>
            <w:r>
              <w:rPr>
                <w:rFonts w:hint="eastAsia"/>
                <w:lang w:val="en-US" w:eastAsia="zh-CN"/>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54BEA75B">
            <w:pPr>
              <w:spacing w:line="480" w:lineRule="exact"/>
              <w:ind w:firstLine="480" w:firstLineChars="200"/>
              <w:rPr>
                <w:rFonts w:hint="eastAsia"/>
                <w:lang w:val="en-US" w:eastAsia="zh-CN"/>
              </w:rPr>
            </w:pPr>
            <w:r>
              <w:rPr>
                <w:rFonts w:hint="eastAsia"/>
                <w:lang w:val="en-US" w:eastAsia="zh-CN"/>
              </w:rPr>
              <w:t>（二十二）加强决策科技支撑。持续开展</w:t>
            </w:r>
            <w:r>
              <w:rPr>
                <w:rFonts w:hint="default"/>
                <w:lang w:val="en-US" w:eastAsia="zh-CN"/>
              </w:rPr>
              <w:t>PM</w:t>
            </w:r>
            <w:r>
              <w:rPr>
                <w:rFonts w:hint="default"/>
                <w:vertAlign w:val="subscript"/>
                <w:lang w:val="en-US" w:eastAsia="zh-CN"/>
              </w:rPr>
              <w:t>2.5</w:t>
            </w:r>
            <w:r>
              <w:rPr>
                <w:rFonts w:hint="eastAsia"/>
                <w:lang w:val="en-US" w:eastAsia="zh-CN"/>
              </w:rPr>
              <w:t>和臭氧协同控制科技攻关。推进致臭物质识别、恶臭污染评估和溯源技术方法研究。到</w:t>
            </w:r>
            <w:r>
              <w:rPr>
                <w:rFonts w:hint="default"/>
                <w:lang w:val="en-US" w:eastAsia="zh-CN"/>
              </w:rPr>
              <w:t>2025</w:t>
            </w:r>
            <w:r>
              <w:rPr>
                <w:rFonts w:hint="eastAsia"/>
                <w:lang w:val="en-US" w:eastAsia="zh-CN"/>
              </w:rPr>
              <w:t>年，完成排放清单编制并实现逐年更新。推进“一地一策”驻点跟踪研究。</w:t>
            </w:r>
          </w:p>
          <w:p w14:paraId="4868DCE1">
            <w:pPr>
              <w:spacing w:line="480" w:lineRule="exact"/>
              <w:ind w:firstLine="482" w:firstLineChars="200"/>
              <w:rPr>
                <w:rFonts w:hint="eastAsia"/>
                <w:b/>
                <w:bCs/>
                <w:lang w:val="en-US" w:eastAsia="zh-CN"/>
              </w:rPr>
            </w:pPr>
            <w:r>
              <w:rPr>
                <w:rFonts w:hint="eastAsia"/>
                <w:b/>
                <w:bCs/>
                <w:lang w:val="en-US" w:eastAsia="zh-CN"/>
              </w:rPr>
              <w:t>健全标准规范体系，完善生态环境经济政策：</w:t>
            </w:r>
          </w:p>
          <w:p w14:paraId="22BD4EFB">
            <w:pPr>
              <w:spacing w:line="480" w:lineRule="exact"/>
              <w:ind w:firstLine="480" w:firstLineChars="200"/>
              <w:rPr>
                <w:rFonts w:hint="eastAsia"/>
                <w:lang w:val="en-US" w:eastAsia="zh-CN"/>
              </w:rPr>
            </w:pPr>
            <w:r>
              <w:rPr>
                <w:rFonts w:hint="eastAsia"/>
                <w:lang w:val="en-US" w:eastAsia="zh-CN"/>
              </w:rPr>
              <w:t>（二十三）强化标准引领。推动落实大气污染物排放最新标准，重点行业逐步配套技术指南和工程技术规范，研究制定精细化治理方案。在生产、销售、进口、使用等环节严格执行</w:t>
            </w:r>
            <w:r>
              <w:rPr>
                <w:rFonts w:hint="default"/>
                <w:lang w:val="en-US" w:eastAsia="zh-CN"/>
              </w:rPr>
              <w:t>VOCs</w:t>
            </w:r>
            <w:r>
              <w:rPr>
                <w:rFonts w:hint="eastAsia"/>
                <w:lang w:val="en-US" w:eastAsia="zh-CN"/>
              </w:rPr>
              <w:t>含量限值标准。进口非道路移动机械和发动机应达到我国现行新生产设备排放标准。</w:t>
            </w:r>
          </w:p>
          <w:p w14:paraId="60AABC3D">
            <w:pPr>
              <w:spacing w:line="480" w:lineRule="exact"/>
              <w:ind w:firstLine="480" w:firstLineChars="200"/>
              <w:rPr>
                <w:rFonts w:hint="eastAsia"/>
                <w:lang w:val="en-US" w:eastAsia="zh-CN"/>
              </w:rPr>
            </w:pPr>
            <w:r>
              <w:rPr>
                <w:rFonts w:hint="eastAsia"/>
                <w:lang w:val="en-US" w:eastAsia="zh-CN"/>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7E73C23F">
            <w:pPr>
              <w:spacing w:line="480" w:lineRule="exact"/>
              <w:ind w:firstLine="482" w:firstLineChars="200"/>
              <w:rPr>
                <w:rFonts w:hint="eastAsia"/>
                <w:lang w:val="en-US" w:eastAsia="zh-CN"/>
              </w:rPr>
            </w:pPr>
            <w:r>
              <w:rPr>
                <w:rFonts w:hint="eastAsia"/>
                <w:b/>
                <w:bCs/>
                <w:lang w:val="en-US" w:eastAsia="zh-CN"/>
              </w:rPr>
              <w:t>落实各方责任，构建全民行动格局：</w:t>
            </w:r>
          </w:p>
          <w:p w14:paraId="4A818B1A">
            <w:pPr>
              <w:spacing w:line="480" w:lineRule="exact"/>
              <w:ind w:firstLine="480" w:firstLineChars="200"/>
            </w:pPr>
            <w:r>
              <w:rPr>
                <w:rFonts w:hint="eastAsia"/>
                <w:lang w:val="en-US" w:eastAsia="zh-CN"/>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1EE22CA8">
            <w:pPr>
              <w:spacing w:line="480" w:lineRule="exact"/>
              <w:ind w:firstLine="480" w:firstLineChars="200"/>
            </w:pPr>
            <w:r>
              <w:rPr>
                <w:rFonts w:hint="eastAsia"/>
                <w:lang w:val="en-US" w:eastAsia="zh-CN"/>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6379AE43">
            <w:pPr>
              <w:spacing w:line="480" w:lineRule="exact"/>
              <w:ind w:firstLine="480" w:firstLineChars="200"/>
              <w:rPr>
                <w:rFonts w:hint="eastAsia"/>
                <w:lang w:val="en-US" w:eastAsia="zh-CN"/>
              </w:rPr>
            </w:pPr>
            <w:r>
              <w:rPr>
                <w:rFonts w:hint="eastAsia"/>
                <w:lang w:val="en-US" w:eastAsia="zh-CN"/>
              </w:rPr>
              <w:t>（二十七）推进全民行动。落实《江苏省生态文明教育促进办法》，加强舆论引导和监督，普及大气环境与健康知识。政府带头开展绿色采购，推进使用新能源车辆，全面使用低（无）</w:t>
            </w:r>
            <w:r>
              <w:rPr>
                <w:rFonts w:hint="default"/>
                <w:lang w:val="en-US" w:eastAsia="zh-CN"/>
              </w:rPr>
              <w:t>VOCs</w:t>
            </w:r>
            <w:r>
              <w:rPr>
                <w:rFonts w:hint="eastAsia"/>
                <w:lang w:val="en-US" w:eastAsia="zh-CN"/>
              </w:rPr>
              <w:t>含量产品。强化公民环境意识，推动形成简约适度、绿色低碳、文明健康的生活方式，共同改善空气质量。</w:t>
            </w:r>
          </w:p>
          <w:p w14:paraId="795309DC">
            <w:pPr>
              <w:spacing w:line="480" w:lineRule="exact"/>
              <w:ind w:firstLine="480" w:firstLineChars="200"/>
            </w:pPr>
            <w:r>
              <w:rPr>
                <w:rFonts w:hint="eastAsia"/>
                <w:lang w:val="en-US" w:eastAsia="zh-CN"/>
              </w:rPr>
              <w:t>采取以上措施，常州市的大气空气质量将得到一定改善。</w:t>
            </w:r>
          </w:p>
          <w:p w14:paraId="2A1C38B1">
            <w:pPr>
              <w:spacing w:line="480" w:lineRule="exact"/>
              <w:ind w:firstLine="482" w:firstLineChars="200"/>
              <w:rPr>
                <w:b/>
              </w:rPr>
            </w:pPr>
            <w:r>
              <w:rPr>
                <w:b/>
              </w:rPr>
              <w:t>2、地表水环境质量现状</w:t>
            </w:r>
          </w:p>
          <w:p w14:paraId="6410DDDA">
            <w:pPr>
              <w:spacing w:line="480" w:lineRule="exact"/>
              <w:ind w:firstLine="480" w:firstLineChars="200"/>
            </w:pPr>
            <w:r>
              <w:t>（1）区域水环境状况</w:t>
            </w:r>
          </w:p>
          <w:p w14:paraId="24A913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仿宋" w:cs="Times New Roman"/>
                <w:color w:val="auto"/>
                <w:sz w:val="24"/>
                <w:szCs w:val="24"/>
                <w:lang w:val="en-US" w:eastAsia="zh-CN"/>
              </w:rPr>
            </w:pPr>
            <w:r>
              <w:rPr>
                <w:rFonts w:ascii="Times New Roman" w:hAnsi="Times New Roman" w:cs="Times New Roman"/>
                <w:szCs w:val="28"/>
              </w:rPr>
              <w:t>根据《202</w:t>
            </w:r>
            <w:r>
              <w:rPr>
                <w:rFonts w:hint="eastAsia" w:ascii="Times New Roman" w:hAnsi="Times New Roman" w:cs="Times New Roman"/>
                <w:szCs w:val="28"/>
                <w:lang w:val="en-US" w:eastAsia="zh-CN"/>
              </w:rPr>
              <w:t>4</w:t>
            </w:r>
            <w:r>
              <w:rPr>
                <w:rFonts w:ascii="Times New Roman" w:hAnsi="Times New Roman" w:cs="Times New Roman"/>
                <w:szCs w:val="28"/>
              </w:rPr>
              <w:t>常州市生态环境状况公报》</w:t>
            </w:r>
            <w:r>
              <w:rPr>
                <w:rFonts w:hint="default" w:ascii="Times New Roman" w:hAnsi="Times New Roman" w:eastAsia="仿宋" w:cs="Times New Roman"/>
                <w:color w:val="auto"/>
                <w:sz w:val="24"/>
                <w:szCs w:val="24"/>
              </w:rPr>
              <w:t>，</w:t>
            </w:r>
            <w:r>
              <w:rPr>
                <w:rFonts w:hint="eastAsia" w:eastAsia="仿宋" w:cs="Times New Roman"/>
                <w:color w:val="auto"/>
                <w:sz w:val="24"/>
                <w:szCs w:val="24"/>
                <w:lang w:val="en-US" w:eastAsia="zh-CN"/>
              </w:rPr>
              <w:t>水环境质量如下：</w:t>
            </w:r>
          </w:p>
          <w:p w14:paraId="197DC5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国考、省考断面水质达到或好于Ⅲ类比例完成省定考核要求，太湖水质自2007年蓝藻事件以来首次达Ⅲ、重回</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良好</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湖泊，连续17年实现安全度夏。长江干流</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常州段</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水质连续8年稳定</w:t>
            </w:r>
            <w:r>
              <w:rPr>
                <w:rFonts w:hint="eastAsia" w:ascii="Times New Roman" w:hAnsi="Times New Roman" w:eastAsia="仿宋" w:cs="Times New Roman"/>
                <w:color w:val="auto"/>
                <w:sz w:val="24"/>
                <w:szCs w:val="24"/>
                <w:lang w:val="en-US" w:eastAsia="zh-CN"/>
              </w:rPr>
              <w:t>Ⅱ</w:t>
            </w:r>
            <w:r>
              <w:rPr>
                <w:rFonts w:hint="default" w:ascii="Times New Roman" w:hAnsi="Times New Roman" w:eastAsia="仿宋" w:cs="Times New Roman"/>
                <w:color w:val="auto"/>
                <w:sz w:val="24"/>
                <w:szCs w:val="24"/>
                <w:lang w:val="en-US" w:eastAsia="zh-CN"/>
              </w:rPr>
              <w:t>类水平，主要入湖河道、集中式饮用水源地水质稳定达到省定考核目标。</w:t>
            </w:r>
          </w:p>
          <w:p w14:paraId="0BF929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eastAsia" w:ascii="仿宋" w:hAnsi="仿宋" w:eastAsia="仿宋" w:cs="仿宋"/>
                <w:color w:val="auto"/>
                <w:sz w:val="24"/>
                <w:szCs w:val="24"/>
                <w:lang w:val="en-US" w:eastAsia="zh-CN"/>
              </w:rPr>
              <w:t>①</w:t>
            </w:r>
            <w:r>
              <w:rPr>
                <w:rFonts w:hint="default" w:ascii="Times New Roman" w:hAnsi="Times New Roman" w:eastAsia="仿宋" w:cs="Times New Roman"/>
                <w:color w:val="auto"/>
                <w:sz w:val="24"/>
                <w:szCs w:val="24"/>
                <w:lang w:val="en-US" w:eastAsia="zh-CN"/>
              </w:rPr>
              <w:t>饮用水水源地</w:t>
            </w:r>
          </w:p>
          <w:p w14:paraId="207C009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常州市城市饮用水以集中供水为主，2024年全市5个县级及以上城市集中式饮用水水源地</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含备用</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，取水总量为5.23亿吨，全年每月监测均达标。</w:t>
            </w:r>
          </w:p>
          <w:p w14:paraId="64BE9B3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eastAsia" w:ascii="仿宋" w:hAnsi="仿宋" w:eastAsia="仿宋" w:cs="仿宋"/>
                <w:color w:val="auto"/>
                <w:sz w:val="24"/>
                <w:szCs w:val="24"/>
                <w:lang w:val="en-US" w:eastAsia="zh-CN"/>
              </w:rPr>
              <w:t>②</w:t>
            </w:r>
            <w:r>
              <w:rPr>
                <w:rFonts w:hint="default" w:ascii="Times New Roman" w:hAnsi="Times New Roman" w:eastAsia="仿宋" w:cs="Times New Roman"/>
                <w:color w:val="auto"/>
                <w:sz w:val="24"/>
                <w:szCs w:val="24"/>
                <w:lang w:val="en-US" w:eastAsia="zh-CN"/>
              </w:rPr>
              <w:t>国省考断面</w:t>
            </w:r>
          </w:p>
          <w:p w14:paraId="4B2FA2A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2024年，常州市纳入</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十四五</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国家地表水环境质量考核的20个断面，年均水质达到或好于《地表水环境质量标准》</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GB3838-2002</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Ш类标准的断面比例为85%，无V类断面。纳入江苏省</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十四五</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水环境质量目标考核的51个断面，年均水质达到或好于Ⅲ类的比例为94.1%，无劣V类断面。</w:t>
            </w:r>
          </w:p>
          <w:p w14:paraId="72546E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仿宋" w:hAnsi="仿宋" w:eastAsia="仿宋" w:cs="仿宋"/>
                <w:color w:val="auto"/>
                <w:sz w:val="24"/>
                <w:szCs w:val="24"/>
                <w:lang w:val="en-US" w:eastAsia="zh-CN"/>
              </w:rPr>
              <w:t>③</w:t>
            </w:r>
            <w:r>
              <w:rPr>
                <w:rFonts w:hint="default" w:ascii="Times New Roman" w:hAnsi="Times New Roman" w:eastAsia="仿宋" w:cs="Times New Roman"/>
                <w:color w:val="auto"/>
                <w:sz w:val="24"/>
                <w:szCs w:val="24"/>
                <w:lang w:val="en-US" w:eastAsia="zh-CN"/>
              </w:rPr>
              <w:t>太湖及主要入湖河道</w:t>
            </w:r>
          </w:p>
          <w:p w14:paraId="510413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2024年，太湖水质自2007年蓝藻事件以来首次达Ⅲ、重回</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良好</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湖泊，其中我市椒山点位首次达到Ⅲ类，太湖常州水域总磷同比改善24%，对全湖总改善幅度贡献率达182%</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位列环湖城市第一，太湖入湖河道通量最大的百渎港总磷同比下降17.6%。</w:t>
            </w:r>
          </w:p>
          <w:p w14:paraId="0BBEE8F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仿宋" w:hAnsi="仿宋" w:eastAsia="仿宋" w:cs="仿宋"/>
                <w:color w:val="auto"/>
                <w:sz w:val="24"/>
                <w:szCs w:val="24"/>
                <w:lang w:val="en-US" w:eastAsia="zh-CN"/>
              </w:rPr>
              <w:t>④</w:t>
            </w:r>
            <w:r>
              <w:rPr>
                <w:rFonts w:hint="default" w:ascii="Times New Roman" w:hAnsi="Times New Roman" w:eastAsia="仿宋" w:cs="Times New Roman"/>
                <w:color w:val="auto"/>
                <w:sz w:val="24"/>
                <w:szCs w:val="24"/>
                <w:lang w:val="en-US" w:eastAsia="zh-CN"/>
              </w:rPr>
              <w:t>境内主要湖泊</w:t>
            </w:r>
          </w:p>
          <w:p w14:paraId="25812A1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长荡湖水质稳定达到Ⅳ类</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水生植物覆盖度达38.4%</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由</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藻型湖</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逐步向</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草型湖</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转变滆湖常州水域水质首次达到Ⅳ类，总磷同比改善27.9%，营养状态从</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中度</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改善至</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轻度</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。长荡湖水质稳定达到Ⅳ类。</w:t>
            </w:r>
          </w:p>
          <w:p w14:paraId="3E015AD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仿宋" w:hAnsi="仿宋" w:eastAsia="仿宋" w:cs="仿宋"/>
                <w:color w:val="auto"/>
                <w:sz w:val="24"/>
                <w:szCs w:val="24"/>
                <w:lang w:val="en-US" w:eastAsia="zh-CN"/>
              </w:rPr>
              <w:t>⑤</w:t>
            </w:r>
            <w:r>
              <w:rPr>
                <w:rFonts w:hint="default" w:ascii="Times New Roman" w:hAnsi="Times New Roman" w:eastAsia="仿宋" w:cs="Times New Roman"/>
                <w:color w:val="auto"/>
                <w:sz w:val="24"/>
                <w:szCs w:val="24"/>
                <w:lang w:val="en-US" w:eastAsia="zh-CN"/>
              </w:rPr>
              <w:t>长江干流</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常州段</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及主要通江支流</w:t>
            </w:r>
          </w:p>
          <w:p w14:paraId="504CB54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2024年，长江干流魏村</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右岸</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断面水质连续八年达到I类</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新孟河、德胜河、澡港河等3条主要通江支流上5个国省考断面年均水质均达到或优于Ⅲ类。</w:t>
            </w:r>
          </w:p>
          <w:p w14:paraId="23824D83">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仿宋" w:hAnsi="仿宋" w:eastAsia="仿宋" w:cs="仿宋"/>
                <w:color w:val="auto"/>
                <w:kern w:val="2"/>
                <w:sz w:val="24"/>
                <w:szCs w:val="24"/>
                <w:lang w:val="en-US" w:eastAsia="zh-CN" w:bidi="ar-SA"/>
              </w:rPr>
              <w:t>⑥京</w:t>
            </w:r>
            <w:r>
              <w:rPr>
                <w:rFonts w:hint="default" w:ascii="Times New Roman" w:hAnsi="Times New Roman" w:eastAsia="仿宋" w:cs="Times New Roman"/>
                <w:color w:val="auto"/>
                <w:sz w:val="24"/>
                <w:szCs w:val="24"/>
              </w:rPr>
              <w:t>杭大运河常州段</w:t>
            </w:r>
          </w:p>
          <w:p w14:paraId="1669EA0B">
            <w:pPr>
              <w:autoSpaceDE w:val="0"/>
              <w:autoSpaceDN w:val="0"/>
              <w:adjustRightInd w:val="0"/>
              <w:spacing w:line="480" w:lineRule="exact"/>
              <w:ind w:firstLine="480" w:firstLineChars="200"/>
              <w:rPr>
                <w:rFonts w:ascii="Times New Roman" w:hAnsi="Times New Roman" w:cs="Times New Roman"/>
                <w:szCs w:val="28"/>
              </w:rPr>
            </w:pPr>
            <w:r>
              <w:rPr>
                <w:rFonts w:hint="default" w:ascii="Times New Roman" w:hAnsi="Times New Roman" w:eastAsia="仿宋" w:cs="Times New Roman"/>
                <w:color w:val="auto"/>
                <w:sz w:val="24"/>
                <w:szCs w:val="24"/>
              </w:rPr>
              <w:t>2024年，京杭大运河</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常州段</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沿线五牧、连江桥下、戚墅堰等3个国省考断面年均水质均达到或好于Ⅲ类</w:t>
            </w:r>
            <w:r>
              <w:rPr>
                <w:rFonts w:hint="default" w:ascii="Times New Roman" w:hAnsi="Times New Roman" w:eastAsia="仿宋" w:cs="Times New Roman"/>
                <w:color w:val="auto"/>
                <w:sz w:val="24"/>
                <w:szCs w:val="24"/>
                <w:highlight w:val="none"/>
                <w:lang w:val="en-US" w:eastAsia="zh-CN"/>
              </w:rPr>
              <w:t>。</w:t>
            </w:r>
          </w:p>
          <w:p w14:paraId="708949A9">
            <w:pPr>
              <w:spacing w:line="480" w:lineRule="exact"/>
              <w:ind w:firstLine="480" w:firstLineChars="200"/>
            </w:pPr>
            <w:r>
              <w:t>（2）纳污水体环境质量现状评价</w:t>
            </w:r>
          </w:p>
          <w:p w14:paraId="5DB5421D">
            <w:pPr>
              <w:autoSpaceDE w:val="0"/>
              <w:autoSpaceDN w:val="0"/>
              <w:adjustRightInd w:val="0"/>
              <w:spacing w:line="480" w:lineRule="exact"/>
              <w:ind w:firstLine="480" w:firstLineChars="200"/>
            </w:pPr>
            <w:r>
              <w:rPr>
                <w:szCs w:val="28"/>
              </w:rPr>
              <w:t>本项目营运期无生产废水</w:t>
            </w:r>
            <w:r>
              <w:rPr>
                <w:rFonts w:hint="eastAsia"/>
                <w:szCs w:val="28"/>
              </w:rPr>
              <w:t>排放</w:t>
            </w:r>
            <w:r>
              <w:rPr>
                <w:szCs w:val="28"/>
              </w:rPr>
              <w:t>，生活污水经区域污水管网接管至</w:t>
            </w:r>
            <w:r>
              <w:rPr>
                <w:rFonts w:hint="eastAsia"/>
                <w:szCs w:val="28"/>
              </w:rPr>
              <w:t>常州东方横山水处理有限公司</w:t>
            </w:r>
            <w:r>
              <w:rPr>
                <w:szCs w:val="28"/>
              </w:rPr>
              <w:t>处理，</w:t>
            </w:r>
            <w:r>
              <w:t>尾水排入三山港。本项目地表水环境质量现状在三山港布设两个引用断面，W1、W2分别引用</w:t>
            </w:r>
            <w:r>
              <w:rPr>
                <w:rFonts w:hint="eastAsia"/>
              </w:rPr>
              <w:t>《</w:t>
            </w:r>
            <w:r>
              <w:rPr>
                <w:rFonts w:hint="eastAsia"/>
                <w:lang w:eastAsia="zh-CN"/>
              </w:rPr>
              <w:t>常州市博而精机械科技有限公司年产1000万套手术器械项目</w:t>
            </w:r>
            <w:r>
              <w:rPr>
                <w:rFonts w:hint="eastAsia"/>
              </w:rPr>
              <w:t>环境影响报告表》</w:t>
            </w:r>
            <w:r>
              <w:t>中</w:t>
            </w:r>
            <w:r>
              <w:rPr>
                <w:rFonts w:hint="eastAsia"/>
                <w:lang w:eastAsia="zh-CN"/>
              </w:rPr>
              <w:t>南京爱迪信环境技术有限公司</w:t>
            </w:r>
            <w:r>
              <w:t>于20</w:t>
            </w:r>
            <w:r>
              <w:rPr>
                <w:rFonts w:hint="eastAsia"/>
              </w:rPr>
              <w:t>2</w:t>
            </w:r>
            <w:r>
              <w:rPr>
                <w:rFonts w:hint="eastAsia"/>
                <w:lang w:val="en-US" w:eastAsia="zh-CN"/>
              </w:rPr>
              <w:t>3</w:t>
            </w:r>
            <w:r>
              <w:t>年</w:t>
            </w:r>
            <w:r>
              <w:rPr>
                <w:rFonts w:hint="eastAsia"/>
                <w:lang w:val="en-US" w:eastAsia="zh-CN"/>
              </w:rPr>
              <w:t>12</w:t>
            </w:r>
            <w:r>
              <w:t>月</w:t>
            </w:r>
            <w:r>
              <w:rPr>
                <w:rFonts w:hint="eastAsia"/>
                <w:lang w:val="en-US" w:eastAsia="zh-CN"/>
              </w:rPr>
              <w:t>14</w:t>
            </w:r>
            <w:r>
              <w:t>日至20</w:t>
            </w:r>
            <w:r>
              <w:rPr>
                <w:rFonts w:hint="eastAsia"/>
              </w:rPr>
              <w:t>2</w:t>
            </w:r>
            <w:r>
              <w:rPr>
                <w:rFonts w:hint="eastAsia"/>
                <w:lang w:val="en-US" w:eastAsia="zh-CN"/>
              </w:rPr>
              <w:t>3</w:t>
            </w:r>
            <w:r>
              <w:t>年</w:t>
            </w:r>
            <w:r>
              <w:rPr>
                <w:rFonts w:hint="eastAsia"/>
                <w:lang w:val="en-US" w:eastAsia="zh-CN"/>
              </w:rPr>
              <w:t>12</w:t>
            </w:r>
            <w:r>
              <w:t>月</w:t>
            </w:r>
            <w:r>
              <w:rPr>
                <w:rFonts w:hint="eastAsia"/>
                <w:lang w:val="en-US" w:eastAsia="zh-CN"/>
              </w:rPr>
              <w:t>16</w:t>
            </w:r>
            <w:r>
              <w:t>日在</w:t>
            </w:r>
            <w:r>
              <w:rPr>
                <w:rFonts w:hint="eastAsia"/>
              </w:rPr>
              <w:t>常州东方横山水处理有限公司</w:t>
            </w:r>
            <w:r>
              <w:t>排口上游500米和</w:t>
            </w:r>
            <w:r>
              <w:rPr>
                <w:rFonts w:hint="eastAsia"/>
              </w:rPr>
              <w:t>常州东方横山水处理有限公司</w:t>
            </w:r>
            <w:r>
              <w:t>排口下游1</w:t>
            </w:r>
            <w:r>
              <w:rPr>
                <w:rFonts w:hint="eastAsia"/>
              </w:rPr>
              <w:t>5</w:t>
            </w:r>
            <w:r>
              <w:t>00米处的历史监测数据。引用报告号：</w:t>
            </w:r>
            <w:r>
              <w:rPr>
                <w:rFonts w:hint="eastAsia"/>
              </w:rPr>
              <w:t>JCH20220386</w:t>
            </w:r>
            <w:r>
              <w:t>。</w:t>
            </w:r>
          </w:p>
          <w:p w14:paraId="3146C90A">
            <w:pPr>
              <w:spacing w:line="480" w:lineRule="exact"/>
              <w:ind w:firstLine="480" w:firstLineChars="200"/>
            </w:pPr>
            <w:r>
              <w:t>具体位置见表3-</w:t>
            </w:r>
            <w:r>
              <w:rPr>
                <w:rFonts w:hint="eastAsia"/>
                <w:lang w:val="en-US" w:eastAsia="zh-CN"/>
              </w:rPr>
              <w:t>2</w:t>
            </w:r>
            <w:r>
              <w:t>；引用结果汇总</w:t>
            </w:r>
            <w:r>
              <w:rPr>
                <w:rFonts w:hint="eastAsia"/>
                <w:lang w:val="en-US" w:eastAsia="zh-CN"/>
              </w:rPr>
              <w:t>及</w:t>
            </w:r>
            <w:r>
              <w:t>评价结果见表3-</w:t>
            </w:r>
            <w:r>
              <w:rPr>
                <w:rFonts w:hint="eastAsia"/>
                <w:lang w:val="en-US" w:eastAsia="zh-CN"/>
              </w:rPr>
              <w:t>3</w:t>
            </w:r>
            <w:r>
              <w:t>。</w:t>
            </w:r>
          </w:p>
          <w:p w14:paraId="152A1E76">
            <w:pPr>
              <w:spacing w:line="240" w:lineRule="auto"/>
              <w:jc w:val="center"/>
              <w:rPr>
                <w:b/>
                <w:bCs/>
                <w:sz w:val="21"/>
                <w:szCs w:val="21"/>
              </w:rPr>
            </w:pPr>
            <w:r>
              <w:rPr>
                <w:b/>
                <w:bCs/>
                <w:sz w:val="21"/>
                <w:szCs w:val="21"/>
              </w:rPr>
              <w:t>表3-</w:t>
            </w:r>
            <w:r>
              <w:rPr>
                <w:rFonts w:hint="eastAsia"/>
                <w:b/>
                <w:bCs/>
                <w:sz w:val="21"/>
                <w:szCs w:val="21"/>
                <w:lang w:val="en-US" w:eastAsia="zh-CN"/>
              </w:rPr>
              <w:t>2</w:t>
            </w:r>
            <w:r>
              <w:rPr>
                <w:b/>
                <w:bCs/>
                <w:sz w:val="21"/>
                <w:szCs w:val="21"/>
              </w:rPr>
              <w:t xml:space="preserve">  地表水引用断面</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140"/>
              <w:gridCol w:w="2397"/>
              <w:gridCol w:w="1140"/>
              <w:gridCol w:w="1338"/>
              <w:gridCol w:w="1358"/>
            </w:tblGrid>
            <w:tr w14:paraId="1EB65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6C76E325">
                  <w:pPr>
                    <w:spacing w:line="280" w:lineRule="exact"/>
                    <w:jc w:val="center"/>
                    <w:rPr>
                      <w:b/>
                      <w:sz w:val="21"/>
                      <w:szCs w:val="21"/>
                    </w:rPr>
                  </w:pPr>
                  <w:r>
                    <w:rPr>
                      <w:b/>
                      <w:sz w:val="21"/>
                      <w:szCs w:val="21"/>
                    </w:rPr>
                    <w:t>河流名称</w:t>
                  </w:r>
                </w:p>
              </w:tc>
              <w:tc>
                <w:tcPr>
                  <w:tcW w:w="1140" w:type="dxa"/>
                  <w:vAlign w:val="center"/>
                </w:tcPr>
                <w:p w14:paraId="1CEA698C">
                  <w:pPr>
                    <w:spacing w:line="280" w:lineRule="exact"/>
                    <w:jc w:val="center"/>
                    <w:rPr>
                      <w:b/>
                      <w:sz w:val="21"/>
                      <w:szCs w:val="21"/>
                    </w:rPr>
                  </w:pPr>
                  <w:r>
                    <w:rPr>
                      <w:b/>
                      <w:sz w:val="21"/>
                      <w:szCs w:val="21"/>
                    </w:rPr>
                    <w:t>断面编号</w:t>
                  </w:r>
                </w:p>
              </w:tc>
              <w:tc>
                <w:tcPr>
                  <w:tcW w:w="2397" w:type="dxa"/>
                  <w:vAlign w:val="center"/>
                </w:tcPr>
                <w:p w14:paraId="4BB72D85">
                  <w:pPr>
                    <w:spacing w:line="280" w:lineRule="exact"/>
                    <w:jc w:val="center"/>
                    <w:rPr>
                      <w:b/>
                      <w:sz w:val="21"/>
                      <w:szCs w:val="21"/>
                    </w:rPr>
                  </w:pPr>
                  <w:r>
                    <w:rPr>
                      <w:b/>
                      <w:sz w:val="21"/>
                      <w:szCs w:val="21"/>
                    </w:rPr>
                    <w:t>引用断面</w:t>
                  </w:r>
                </w:p>
              </w:tc>
              <w:tc>
                <w:tcPr>
                  <w:tcW w:w="1140" w:type="dxa"/>
                  <w:vAlign w:val="center"/>
                </w:tcPr>
                <w:p w14:paraId="65DAC474">
                  <w:pPr>
                    <w:spacing w:line="280" w:lineRule="exact"/>
                    <w:jc w:val="center"/>
                    <w:rPr>
                      <w:b/>
                      <w:sz w:val="21"/>
                      <w:szCs w:val="21"/>
                    </w:rPr>
                  </w:pPr>
                  <w:r>
                    <w:rPr>
                      <w:b/>
                      <w:sz w:val="21"/>
                      <w:szCs w:val="21"/>
                    </w:rPr>
                    <w:t>引用位置</w:t>
                  </w:r>
                </w:p>
              </w:tc>
              <w:tc>
                <w:tcPr>
                  <w:tcW w:w="1338" w:type="dxa"/>
                  <w:vAlign w:val="center"/>
                </w:tcPr>
                <w:p w14:paraId="71C5940D">
                  <w:pPr>
                    <w:spacing w:line="280" w:lineRule="exact"/>
                    <w:jc w:val="center"/>
                    <w:rPr>
                      <w:b/>
                      <w:sz w:val="21"/>
                      <w:szCs w:val="21"/>
                    </w:rPr>
                  </w:pPr>
                  <w:r>
                    <w:rPr>
                      <w:b/>
                      <w:sz w:val="21"/>
                      <w:szCs w:val="21"/>
                    </w:rPr>
                    <w:t>引用项目</w:t>
                  </w:r>
                </w:p>
              </w:tc>
              <w:tc>
                <w:tcPr>
                  <w:tcW w:w="1358" w:type="dxa"/>
                  <w:vAlign w:val="center"/>
                </w:tcPr>
                <w:p w14:paraId="0187D480">
                  <w:pPr>
                    <w:pStyle w:val="6"/>
                    <w:spacing w:line="320" w:lineRule="exact"/>
                    <w:ind w:firstLine="0" w:firstLineChars="0"/>
                    <w:jc w:val="center"/>
                    <w:rPr>
                      <w:b/>
                      <w:sz w:val="21"/>
                      <w:szCs w:val="21"/>
                    </w:rPr>
                  </w:pPr>
                  <w:r>
                    <w:rPr>
                      <w:b/>
                      <w:sz w:val="21"/>
                      <w:szCs w:val="21"/>
                    </w:rPr>
                    <w:t>水环境功能</w:t>
                  </w:r>
                </w:p>
              </w:tc>
            </w:tr>
            <w:tr w14:paraId="2D0B6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restart"/>
                  <w:vAlign w:val="center"/>
                </w:tcPr>
                <w:p w14:paraId="439FA3E7">
                  <w:pPr>
                    <w:spacing w:line="240" w:lineRule="auto"/>
                    <w:jc w:val="center"/>
                    <w:outlineLvl w:val="0"/>
                    <w:rPr>
                      <w:sz w:val="21"/>
                      <w:szCs w:val="21"/>
                    </w:rPr>
                  </w:pPr>
                  <w:r>
                    <w:rPr>
                      <w:sz w:val="21"/>
                      <w:szCs w:val="21"/>
                    </w:rPr>
                    <w:t>三山港</w:t>
                  </w:r>
                </w:p>
              </w:tc>
              <w:tc>
                <w:tcPr>
                  <w:tcW w:w="1140" w:type="dxa"/>
                  <w:vAlign w:val="center"/>
                </w:tcPr>
                <w:p w14:paraId="5C9C6870">
                  <w:pPr>
                    <w:spacing w:line="240" w:lineRule="auto"/>
                    <w:jc w:val="center"/>
                    <w:outlineLvl w:val="0"/>
                    <w:rPr>
                      <w:sz w:val="21"/>
                      <w:szCs w:val="21"/>
                    </w:rPr>
                  </w:pPr>
                  <w:r>
                    <w:rPr>
                      <w:sz w:val="21"/>
                      <w:szCs w:val="21"/>
                    </w:rPr>
                    <w:t>W1</w:t>
                  </w:r>
                </w:p>
              </w:tc>
              <w:tc>
                <w:tcPr>
                  <w:tcW w:w="2397" w:type="dxa"/>
                  <w:vAlign w:val="center"/>
                </w:tcPr>
                <w:p w14:paraId="24EBF96D">
                  <w:pPr>
                    <w:spacing w:line="240" w:lineRule="auto"/>
                    <w:jc w:val="center"/>
                    <w:outlineLvl w:val="0"/>
                    <w:rPr>
                      <w:sz w:val="21"/>
                      <w:szCs w:val="21"/>
                    </w:rPr>
                  </w:pPr>
                  <w:r>
                    <w:rPr>
                      <w:rFonts w:hint="eastAsia"/>
                      <w:sz w:val="21"/>
                      <w:szCs w:val="21"/>
                    </w:rPr>
                    <w:t>常州东方横山水处理有限公司</w:t>
                  </w:r>
                  <w:r>
                    <w:rPr>
                      <w:sz w:val="21"/>
                      <w:szCs w:val="21"/>
                    </w:rPr>
                    <w:t>排口上游500米</w:t>
                  </w:r>
                </w:p>
              </w:tc>
              <w:tc>
                <w:tcPr>
                  <w:tcW w:w="1140" w:type="dxa"/>
                  <w:vAlign w:val="center"/>
                </w:tcPr>
                <w:p w14:paraId="1D9DECF7">
                  <w:pPr>
                    <w:spacing w:line="240" w:lineRule="auto"/>
                    <w:jc w:val="center"/>
                    <w:outlineLvl w:val="0"/>
                    <w:rPr>
                      <w:sz w:val="21"/>
                      <w:szCs w:val="21"/>
                    </w:rPr>
                  </w:pPr>
                  <w:r>
                    <w:rPr>
                      <w:sz w:val="21"/>
                      <w:szCs w:val="21"/>
                    </w:rPr>
                    <w:t>河道中央</w:t>
                  </w:r>
                </w:p>
              </w:tc>
              <w:tc>
                <w:tcPr>
                  <w:tcW w:w="1338" w:type="dxa"/>
                  <w:vMerge w:val="restart"/>
                  <w:vAlign w:val="center"/>
                </w:tcPr>
                <w:p w14:paraId="655EFCFE">
                  <w:pPr>
                    <w:spacing w:line="240" w:lineRule="auto"/>
                    <w:jc w:val="center"/>
                    <w:rPr>
                      <w:sz w:val="21"/>
                      <w:szCs w:val="21"/>
                    </w:rPr>
                  </w:pPr>
                  <w:r>
                    <w:rPr>
                      <w:sz w:val="21"/>
                      <w:szCs w:val="21"/>
                    </w:rPr>
                    <w:t>pH、化学需氧量、氨氮、总磷</w:t>
                  </w:r>
                </w:p>
              </w:tc>
              <w:tc>
                <w:tcPr>
                  <w:tcW w:w="1358" w:type="dxa"/>
                  <w:vMerge w:val="restart"/>
                  <w:vAlign w:val="center"/>
                </w:tcPr>
                <w:p w14:paraId="74FEADE8">
                  <w:pPr>
                    <w:pStyle w:val="6"/>
                    <w:spacing w:line="240" w:lineRule="auto"/>
                    <w:ind w:firstLine="0" w:firstLineChars="0"/>
                    <w:jc w:val="center"/>
                    <w:rPr>
                      <w:sz w:val="21"/>
                      <w:szCs w:val="21"/>
                    </w:rPr>
                  </w:pPr>
                  <w:r>
                    <w:rPr>
                      <w:sz w:val="21"/>
                      <w:szCs w:val="21"/>
                    </w:rPr>
                    <w:t>Ⅲ类水域</w:t>
                  </w:r>
                </w:p>
              </w:tc>
            </w:tr>
            <w:tr w14:paraId="061E5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continue"/>
                  <w:vAlign w:val="center"/>
                </w:tcPr>
                <w:p w14:paraId="59475B2C">
                  <w:pPr>
                    <w:spacing w:line="240" w:lineRule="auto"/>
                    <w:jc w:val="center"/>
                    <w:outlineLvl w:val="0"/>
                    <w:rPr>
                      <w:sz w:val="21"/>
                      <w:szCs w:val="21"/>
                    </w:rPr>
                  </w:pPr>
                </w:p>
              </w:tc>
              <w:tc>
                <w:tcPr>
                  <w:tcW w:w="1140" w:type="dxa"/>
                  <w:vAlign w:val="center"/>
                </w:tcPr>
                <w:p w14:paraId="25C399BA">
                  <w:pPr>
                    <w:spacing w:line="240" w:lineRule="auto"/>
                    <w:jc w:val="center"/>
                    <w:outlineLvl w:val="0"/>
                    <w:rPr>
                      <w:sz w:val="21"/>
                      <w:szCs w:val="21"/>
                    </w:rPr>
                  </w:pPr>
                  <w:r>
                    <w:rPr>
                      <w:sz w:val="21"/>
                      <w:szCs w:val="21"/>
                    </w:rPr>
                    <w:t>W2</w:t>
                  </w:r>
                </w:p>
              </w:tc>
              <w:tc>
                <w:tcPr>
                  <w:tcW w:w="2397" w:type="dxa"/>
                  <w:vAlign w:val="center"/>
                </w:tcPr>
                <w:p w14:paraId="7A6316BB">
                  <w:pPr>
                    <w:spacing w:line="240" w:lineRule="auto"/>
                    <w:jc w:val="center"/>
                    <w:outlineLvl w:val="0"/>
                    <w:rPr>
                      <w:sz w:val="21"/>
                      <w:szCs w:val="21"/>
                    </w:rPr>
                  </w:pPr>
                  <w:r>
                    <w:rPr>
                      <w:rFonts w:hint="eastAsia"/>
                      <w:sz w:val="21"/>
                      <w:szCs w:val="21"/>
                    </w:rPr>
                    <w:t>常州东方横山水处理有限公司</w:t>
                  </w:r>
                  <w:r>
                    <w:rPr>
                      <w:sz w:val="21"/>
                      <w:szCs w:val="21"/>
                    </w:rPr>
                    <w:t>排口下游1</w:t>
                  </w:r>
                  <w:r>
                    <w:rPr>
                      <w:rFonts w:hint="eastAsia"/>
                      <w:sz w:val="21"/>
                      <w:szCs w:val="21"/>
                    </w:rPr>
                    <w:t>5</w:t>
                  </w:r>
                  <w:r>
                    <w:rPr>
                      <w:sz w:val="21"/>
                      <w:szCs w:val="21"/>
                    </w:rPr>
                    <w:t>00米</w:t>
                  </w:r>
                </w:p>
              </w:tc>
              <w:tc>
                <w:tcPr>
                  <w:tcW w:w="1140" w:type="dxa"/>
                  <w:vAlign w:val="center"/>
                </w:tcPr>
                <w:p w14:paraId="109F65E5">
                  <w:pPr>
                    <w:spacing w:line="240" w:lineRule="auto"/>
                    <w:jc w:val="center"/>
                    <w:outlineLvl w:val="0"/>
                    <w:rPr>
                      <w:sz w:val="21"/>
                      <w:szCs w:val="21"/>
                    </w:rPr>
                  </w:pPr>
                  <w:r>
                    <w:rPr>
                      <w:sz w:val="21"/>
                      <w:szCs w:val="21"/>
                    </w:rPr>
                    <w:t>河道中央</w:t>
                  </w:r>
                </w:p>
              </w:tc>
              <w:tc>
                <w:tcPr>
                  <w:tcW w:w="1338" w:type="dxa"/>
                  <w:vMerge w:val="continue"/>
                  <w:vAlign w:val="center"/>
                </w:tcPr>
                <w:p w14:paraId="616E527A">
                  <w:pPr>
                    <w:spacing w:line="280" w:lineRule="exact"/>
                    <w:jc w:val="center"/>
                    <w:rPr>
                      <w:sz w:val="21"/>
                      <w:szCs w:val="21"/>
                    </w:rPr>
                  </w:pPr>
                </w:p>
              </w:tc>
              <w:tc>
                <w:tcPr>
                  <w:tcW w:w="1358" w:type="dxa"/>
                  <w:vMerge w:val="continue"/>
                  <w:vAlign w:val="center"/>
                </w:tcPr>
                <w:p w14:paraId="5470ADC9">
                  <w:pPr>
                    <w:pStyle w:val="6"/>
                    <w:spacing w:line="320" w:lineRule="exact"/>
                    <w:ind w:firstLine="0" w:firstLineChars="0"/>
                    <w:jc w:val="center"/>
                    <w:rPr>
                      <w:sz w:val="21"/>
                      <w:szCs w:val="21"/>
                    </w:rPr>
                  </w:pPr>
                </w:p>
              </w:tc>
            </w:tr>
          </w:tbl>
          <w:p w14:paraId="73D65AE3">
            <w:pPr>
              <w:spacing w:line="240" w:lineRule="auto"/>
              <w:jc w:val="center"/>
              <w:rPr>
                <w:b/>
                <w:bCs/>
                <w:sz w:val="21"/>
                <w:szCs w:val="21"/>
              </w:rPr>
            </w:pPr>
            <w:r>
              <w:rPr>
                <w:b/>
                <w:bCs/>
                <w:sz w:val="21"/>
                <w:szCs w:val="21"/>
              </w:rPr>
              <w:t>表3-</w:t>
            </w:r>
            <w:r>
              <w:rPr>
                <w:rFonts w:hint="eastAsia"/>
                <w:b/>
                <w:bCs/>
                <w:sz w:val="21"/>
                <w:szCs w:val="21"/>
                <w:lang w:val="en-US" w:eastAsia="zh-CN"/>
              </w:rPr>
              <w:t>3</w:t>
            </w:r>
            <w:r>
              <w:rPr>
                <w:b/>
                <w:bCs/>
                <w:sz w:val="21"/>
                <w:szCs w:val="21"/>
              </w:rPr>
              <w:t xml:space="preserve">  水质引用结果汇总（mg/L）</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49"/>
              <w:gridCol w:w="1390"/>
              <w:gridCol w:w="1312"/>
              <w:gridCol w:w="992"/>
              <w:gridCol w:w="1400"/>
              <w:gridCol w:w="1451"/>
              <w:gridCol w:w="1027"/>
            </w:tblGrid>
            <w:tr w14:paraId="0AB03E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04" w:type="pct"/>
                  <w:vAlign w:val="center"/>
                </w:tcPr>
                <w:p w14:paraId="1F560F0F">
                  <w:pPr>
                    <w:pStyle w:val="50"/>
                    <w:widowControl w:val="0"/>
                    <w:pBdr>
                      <w:bottom w:val="none" w:color="auto" w:sz="0" w:space="0"/>
                    </w:pBdr>
                    <w:spacing w:before="0" w:after="0" w:line="240" w:lineRule="auto"/>
                    <w:rPr>
                      <w:rFonts w:ascii="Times New Roman" w:hAnsi="Times New Roman"/>
                      <w:b/>
                      <w:sz w:val="21"/>
                      <w:szCs w:val="21"/>
                    </w:rPr>
                  </w:pPr>
                  <w:r>
                    <w:rPr>
                      <w:rFonts w:ascii="Times New Roman" w:hAnsi="Times New Roman"/>
                      <w:b/>
                      <w:sz w:val="21"/>
                      <w:szCs w:val="21"/>
                    </w:rPr>
                    <w:t>河流</w:t>
                  </w:r>
                </w:p>
              </w:tc>
              <w:tc>
                <w:tcPr>
                  <w:tcW w:w="825" w:type="pct"/>
                  <w:vAlign w:val="center"/>
                </w:tcPr>
                <w:p w14:paraId="07AF349F">
                  <w:pPr>
                    <w:pStyle w:val="50"/>
                    <w:widowControl w:val="0"/>
                    <w:pBdr>
                      <w:bottom w:val="none" w:color="auto" w:sz="0" w:space="0"/>
                    </w:pBdr>
                    <w:spacing w:before="0" w:after="0" w:line="240" w:lineRule="auto"/>
                    <w:rPr>
                      <w:rFonts w:ascii="Times New Roman" w:hAnsi="Times New Roman"/>
                      <w:b/>
                      <w:sz w:val="21"/>
                      <w:szCs w:val="21"/>
                    </w:rPr>
                  </w:pPr>
                  <w:r>
                    <w:rPr>
                      <w:rFonts w:ascii="Times New Roman" w:hAnsi="Times New Roman"/>
                      <w:b/>
                      <w:sz w:val="21"/>
                      <w:szCs w:val="21"/>
                    </w:rPr>
                    <w:t>引用断面</w:t>
                  </w:r>
                </w:p>
              </w:tc>
              <w:tc>
                <w:tcPr>
                  <w:tcW w:w="778" w:type="pct"/>
                  <w:vAlign w:val="center"/>
                </w:tcPr>
                <w:p w14:paraId="76F63C83">
                  <w:pPr>
                    <w:pStyle w:val="50"/>
                    <w:widowControl w:val="0"/>
                    <w:pBdr>
                      <w:bottom w:val="none" w:color="auto" w:sz="0" w:space="0"/>
                    </w:pBdr>
                    <w:spacing w:before="0" w:after="0" w:line="240" w:lineRule="auto"/>
                    <w:rPr>
                      <w:rFonts w:hint="default" w:ascii="Times New Roman" w:hAnsi="Times New Roman" w:eastAsia="仿宋"/>
                      <w:b/>
                      <w:sz w:val="21"/>
                      <w:szCs w:val="21"/>
                      <w:lang w:val="en-US" w:eastAsia="zh-CN"/>
                    </w:rPr>
                  </w:pPr>
                  <w:r>
                    <w:rPr>
                      <w:rFonts w:hint="eastAsia" w:ascii="Times New Roman" w:hAnsi="Times New Roman"/>
                      <w:b/>
                      <w:sz w:val="21"/>
                      <w:szCs w:val="21"/>
                      <w:lang w:val="en-US" w:eastAsia="zh-CN"/>
                    </w:rPr>
                    <w:t>检测项目</w:t>
                  </w:r>
                </w:p>
              </w:tc>
              <w:tc>
                <w:tcPr>
                  <w:tcW w:w="589" w:type="pct"/>
                  <w:vAlign w:val="center"/>
                </w:tcPr>
                <w:p w14:paraId="5788EC00">
                  <w:pPr>
                    <w:pStyle w:val="50"/>
                    <w:widowControl w:val="0"/>
                    <w:pBdr>
                      <w:bottom w:val="none" w:color="auto" w:sz="0" w:space="0"/>
                    </w:pBdr>
                    <w:spacing w:before="0" w:after="0" w:line="240" w:lineRule="auto"/>
                    <w:rPr>
                      <w:rFonts w:ascii="Times New Roman" w:hAnsi="Times New Roman"/>
                      <w:b/>
                      <w:sz w:val="21"/>
                      <w:szCs w:val="21"/>
                    </w:rPr>
                  </w:pPr>
                  <w:r>
                    <w:rPr>
                      <w:rFonts w:ascii="Times New Roman" w:hAnsi="Times New Roman"/>
                      <w:b/>
                      <w:sz w:val="21"/>
                      <w:szCs w:val="21"/>
                    </w:rPr>
                    <w:t>pH值</w:t>
                  </w:r>
                </w:p>
              </w:tc>
              <w:tc>
                <w:tcPr>
                  <w:tcW w:w="831" w:type="pct"/>
                  <w:vAlign w:val="center"/>
                </w:tcPr>
                <w:p w14:paraId="31E95C6A">
                  <w:pPr>
                    <w:pStyle w:val="50"/>
                    <w:widowControl w:val="0"/>
                    <w:pBdr>
                      <w:bottom w:val="none" w:color="auto" w:sz="0" w:space="0"/>
                    </w:pBdr>
                    <w:spacing w:before="0" w:after="0" w:line="240" w:lineRule="auto"/>
                    <w:rPr>
                      <w:rFonts w:ascii="Times New Roman" w:hAnsi="Times New Roman"/>
                      <w:b/>
                      <w:sz w:val="21"/>
                      <w:szCs w:val="21"/>
                    </w:rPr>
                  </w:pPr>
                  <w:r>
                    <w:rPr>
                      <w:rFonts w:ascii="Times New Roman" w:hAnsi="Times New Roman"/>
                      <w:b/>
                      <w:sz w:val="21"/>
                      <w:szCs w:val="21"/>
                    </w:rPr>
                    <w:t>化学需氧量</w:t>
                  </w:r>
                </w:p>
              </w:tc>
              <w:tc>
                <w:tcPr>
                  <w:tcW w:w="861" w:type="pct"/>
                  <w:vAlign w:val="center"/>
                </w:tcPr>
                <w:p w14:paraId="52A88F6B">
                  <w:pPr>
                    <w:pStyle w:val="50"/>
                    <w:widowControl w:val="0"/>
                    <w:pBdr>
                      <w:bottom w:val="none" w:color="auto" w:sz="0" w:space="0"/>
                    </w:pBdr>
                    <w:spacing w:before="0" w:after="0" w:line="240" w:lineRule="auto"/>
                    <w:rPr>
                      <w:rFonts w:ascii="Times New Roman" w:hAnsi="Times New Roman"/>
                      <w:b/>
                      <w:sz w:val="21"/>
                      <w:szCs w:val="21"/>
                    </w:rPr>
                  </w:pPr>
                  <w:r>
                    <w:rPr>
                      <w:rFonts w:ascii="Times New Roman" w:hAnsi="Times New Roman"/>
                      <w:b/>
                      <w:sz w:val="21"/>
                      <w:szCs w:val="21"/>
                    </w:rPr>
                    <w:t>氨氮</w:t>
                  </w:r>
                </w:p>
              </w:tc>
              <w:tc>
                <w:tcPr>
                  <w:tcW w:w="609" w:type="pct"/>
                  <w:vAlign w:val="center"/>
                </w:tcPr>
                <w:p w14:paraId="23916681">
                  <w:pPr>
                    <w:spacing w:line="240" w:lineRule="auto"/>
                    <w:jc w:val="center"/>
                    <w:rPr>
                      <w:b/>
                      <w:sz w:val="21"/>
                      <w:szCs w:val="21"/>
                    </w:rPr>
                  </w:pPr>
                  <w:r>
                    <w:rPr>
                      <w:b/>
                      <w:sz w:val="21"/>
                      <w:szCs w:val="21"/>
                    </w:rPr>
                    <w:t>总磷</w:t>
                  </w:r>
                </w:p>
              </w:tc>
            </w:tr>
            <w:tr w14:paraId="06B59E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504" w:type="pct"/>
                  <w:vMerge w:val="restart"/>
                  <w:vAlign w:val="center"/>
                </w:tcPr>
                <w:p w14:paraId="6E1088E7">
                  <w:pPr>
                    <w:widowControl/>
                    <w:spacing w:line="240" w:lineRule="auto"/>
                    <w:jc w:val="center"/>
                    <w:rPr>
                      <w:sz w:val="21"/>
                      <w:szCs w:val="21"/>
                    </w:rPr>
                  </w:pPr>
                  <w:r>
                    <w:rPr>
                      <w:sz w:val="21"/>
                      <w:szCs w:val="21"/>
                    </w:rPr>
                    <w:t>三山港</w:t>
                  </w:r>
                </w:p>
              </w:tc>
              <w:tc>
                <w:tcPr>
                  <w:tcW w:w="825" w:type="pct"/>
                  <w:vMerge w:val="restart"/>
                  <w:vAlign w:val="center"/>
                </w:tcPr>
                <w:p w14:paraId="6B8FF476">
                  <w:pPr>
                    <w:spacing w:line="240" w:lineRule="auto"/>
                    <w:jc w:val="center"/>
                    <w:outlineLvl w:val="0"/>
                    <w:rPr>
                      <w:sz w:val="21"/>
                      <w:szCs w:val="21"/>
                    </w:rPr>
                  </w:pPr>
                  <w:r>
                    <w:rPr>
                      <w:rFonts w:hint="eastAsia"/>
                      <w:sz w:val="21"/>
                      <w:szCs w:val="21"/>
                    </w:rPr>
                    <w:t>常州东方横山水处理有限公司</w:t>
                  </w:r>
                  <w:r>
                    <w:rPr>
                      <w:sz w:val="21"/>
                      <w:szCs w:val="21"/>
                    </w:rPr>
                    <w:t>排口上游500米</w:t>
                  </w:r>
                </w:p>
              </w:tc>
              <w:tc>
                <w:tcPr>
                  <w:tcW w:w="778" w:type="pct"/>
                  <w:vAlign w:val="center"/>
                </w:tcPr>
                <w:p w14:paraId="71D8C095">
                  <w:pPr>
                    <w:spacing w:line="240" w:lineRule="auto"/>
                    <w:jc w:val="center"/>
                    <w:outlineLvl w:val="0"/>
                    <w:rPr>
                      <w:rFonts w:hint="default" w:eastAsia="仿宋"/>
                      <w:sz w:val="21"/>
                      <w:szCs w:val="21"/>
                      <w:lang w:val="en-US" w:eastAsia="zh-CN"/>
                    </w:rPr>
                  </w:pPr>
                  <w:r>
                    <w:rPr>
                      <w:rFonts w:hint="eastAsia"/>
                      <w:sz w:val="21"/>
                      <w:szCs w:val="21"/>
                      <w:lang w:val="en-US" w:eastAsia="zh-CN"/>
                    </w:rPr>
                    <w:t>浓度范围</w:t>
                  </w:r>
                </w:p>
              </w:tc>
              <w:tc>
                <w:tcPr>
                  <w:tcW w:w="589" w:type="pct"/>
                  <w:vAlign w:val="center"/>
                </w:tcPr>
                <w:p w14:paraId="4C527DCA">
                  <w:pPr>
                    <w:spacing w:line="240" w:lineRule="auto"/>
                    <w:jc w:val="center"/>
                    <w:rPr>
                      <w:rFonts w:hint="default"/>
                      <w:sz w:val="21"/>
                      <w:szCs w:val="21"/>
                      <w:lang w:val="en-US" w:eastAsia="zh-CN"/>
                    </w:rPr>
                  </w:pPr>
                  <w:r>
                    <w:rPr>
                      <w:rFonts w:hint="eastAsia"/>
                      <w:sz w:val="21"/>
                      <w:szCs w:val="21"/>
                      <w:lang w:val="en-US" w:eastAsia="zh-CN"/>
                    </w:rPr>
                    <w:t>7.7-7.9</w:t>
                  </w:r>
                </w:p>
              </w:tc>
              <w:tc>
                <w:tcPr>
                  <w:tcW w:w="831" w:type="pct"/>
                  <w:vAlign w:val="center"/>
                </w:tcPr>
                <w:p w14:paraId="45EE080A">
                  <w:pPr>
                    <w:spacing w:line="240" w:lineRule="auto"/>
                    <w:jc w:val="center"/>
                    <w:rPr>
                      <w:rFonts w:hint="default" w:eastAsia="仿宋"/>
                      <w:sz w:val="21"/>
                      <w:szCs w:val="21"/>
                      <w:lang w:val="en-US" w:eastAsia="zh-CN"/>
                    </w:rPr>
                  </w:pPr>
                  <w:r>
                    <w:rPr>
                      <w:rFonts w:hint="eastAsia"/>
                      <w:sz w:val="21"/>
                      <w:szCs w:val="21"/>
                      <w:lang w:val="en-US" w:eastAsia="zh-CN"/>
                    </w:rPr>
                    <w:t>14-17</w:t>
                  </w:r>
                </w:p>
              </w:tc>
              <w:tc>
                <w:tcPr>
                  <w:tcW w:w="861" w:type="pct"/>
                  <w:vAlign w:val="center"/>
                </w:tcPr>
                <w:p w14:paraId="35A8AB94">
                  <w:pPr>
                    <w:spacing w:line="240" w:lineRule="auto"/>
                    <w:jc w:val="center"/>
                    <w:rPr>
                      <w:rFonts w:hint="default" w:eastAsia="仿宋"/>
                      <w:sz w:val="21"/>
                      <w:szCs w:val="21"/>
                      <w:lang w:val="en-US" w:eastAsia="zh-CN"/>
                    </w:rPr>
                  </w:pPr>
                  <w:r>
                    <w:rPr>
                      <w:rFonts w:hint="eastAsia"/>
                      <w:sz w:val="21"/>
                      <w:szCs w:val="21"/>
                      <w:lang w:val="en-US" w:eastAsia="zh-CN"/>
                    </w:rPr>
                    <w:t>0.877-0.916</w:t>
                  </w:r>
                </w:p>
              </w:tc>
              <w:tc>
                <w:tcPr>
                  <w:tcW w:w="609" w:type="pct"/>
                  <w:vAlign w:val="center"/>
                </w:tcPr>
                <w:p w14:paraId="0BF1DF6B">
                  <w:pPr>
                    <w:spacing w:line="240" w:lineRule="auto"/>
                    <w:jc w:val="center"/>
                    <w:rPr>
                      <w:rFonts w:hint="default" w:eastAsia="仿宋"/>
                      <w:sz w:val="21"/>
                      <w:szCs w:val="21"/>
                      <w:lang w:val="en-US" w:eastAsia="zh-CN"/>
                    </w:rPr>
                  </w:pPr>
                  <w:r>
                    <w:rPr>
                      <w:rFonts w:hint="eastAsia"/>
                      <w:sz w:val="21"/>
                      <w:szCs w:val="21"/>
                      <w:lang w:val="en-US" w:eastAsia="zh-CN"/>
                    </w:rPr>
                    <w:t>0.12-0.20</w:t>
                  </w:r>
                </w:p>
              </w:tc>
            </w:tr>
            <w:tr w14:paraId="745BBC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04" w:type="pct"/>
                  <w:vMerge w:val="continue"/>
                  <w:vAlign w:val="center"/>
                </w:tcPr>
                <w:p w14:paraId="1F64DFF4">
                  <w:pPr>
                    <w:widowControl/>
                    <w:spacing w:line="240" w:lineRule="auto"/>
                    <w:jc w:val="center"/>
                    <w:rPr>
                      <w:sz w:val="21"/>
                      <w:szCs w:val="21"/>
                    </w:rPr>
                  </w:pPr>
                </w:p>
              </w:tc>
              <w:tc>
                <w:tcPr>
                  <w:tcW w:w="825" w:type="pct"/>
                  <w:vMerge w:val="continue"/>
                  <w:vAlign w:val="center"/>
                </w:tcPr>
                <w:p w14:paraId="70EA35B9">
                  <w:pPr>
                    <w:spacing w:line="240" w:lineRule="auto"/>
                    <w:jc w:val="center"/>
                    <w:outlineLvl w:val="0"/>
                    <w:rPr>
                      <w:sz w:val="21"/>
                      <w:szCs w:val="21"/>
                    </w:rPr>
                  </w:pPr>
                </w:p>
              </w:tc>
              <w:tc>
                <w:tcPr>
                  <w:tcW w:w="778" w:type="pct"/>
                  <w:vAlign w:val="center"/>
                </w:tcPr>
                <w:p w14:paraId="29791EC6">
                  <w:pPr>
                    <w:spacing w:line="240" w:lineRule="auto"/>
                    <w:jc w:val="center"/>
                    <w:outlineLvl w:val="0"/>
                    <w:rPr>
                      <w:rFonts w:hint="eastAsia" w:eastAsia="仿宋"/>
                      <w:sz w:val="21"/>
                      <w:szCs w:val="21"/>
                      <w:lang w:val="en-US" w:eastAsia="zh-CN"/>
                    </w:rPr>
                  </w:pPr>
                  <w:r>
                    <w:rPr>
                      <w:rFonts w:hint="eastAsia"/>
                      <w:sz w:val="21"/>
                      <w:szCs w:val="21"/>
                      <w:lang w:val="en-US" w:eastAsia="zh-CN"/>
                    </w:rPr>
                    <w:t>超标率</w:t>
                  </w:r>
                </w:p>
              </w:tc>
              <w:tc>
                <w:tcPr>
                  <w:tcW w:w="589" w:type="pct"/>
                  <w:vAlign w:val="center"/>
                </w:tcPr>
                <w:p w14:paraId="3218AF52">
                  <w:pPr>
                    <w:spacing w:line="240" w:lineRule="auto"/>
                    <w:jc w:val="center"/>
                    <w:rPr>
                      <w:rFonts w:hint="default" w:eastAsia="仿宋"/>
                      <w:sz w:val="21"/>
                      <w:szCs w:val="21"/>
                      <w:lang w:val="en-US" w:eastAsia="zh-CN"/>
                    </w:rPr>
                  </w:pPr>
                  <w:r>
                    <w:rPr>
                      <w:rFonts w:hint="eastAsia"/>
                      <w:sz w:val="21"/>
                      <w:szCs w:val="21"/>
                      <w:lang w:val="en-US" w:eastAsia="zh-CN"/>
                    </w:rPr>
                    <w:t>0%</w:t>
                  </w:r>
                </w:p>
              </w:tc>
              <w:tc>
                <w:tcPr>
                  <w:tcW w:w="831" w:type="pct"/>
                  <w:vAlign w:val="center"/>
                </w:tcPr>
                <w:p w14:paraId="3314288A">
                  <w:pPr>
                    <w:spacing w:line="240" w:lineRule="auto"/>
                    <w:jc w:val="center"/>
                    <w:rPr>
                      <w:sz w:val="21"/>
                      <w:szCs w:val="21"/>
                    </w:rPr>
                  </w:pPr>
                  <w:r>
                    <w:rPr>
                      <w:rFonts w:hint="eastAsia"/>
                      <w:sz w:val="21"/>
                      <w:szCs w:val="21"/>
                      <w:lang w:val="en-US" w:eastAsia="zh-CN"/>
                    </w:rPr>
                    <w:t>0%</w:t>
                  </w:r>
                </w:p>
              </w:tc>
              <w:tc>
                <w:tcPr>
                  <w:tcW w:w="861" w:type="pct"/>
                  <w:vAlign w:val="center"/>
                </w:tcPr>
                <w:p w14:paraId="7F5C4522">
                  <w:pPr>
                    <w:spacing w:line="240" w:lineRule="auto"/>
                    <w:jc w:val="center"/>
                    <w:rPr>
                      <w:sz w:val="21"/>
                      <w:szCs w:val="21"/>
                    </w:rPr>
                  </w:pPr>
                  <w:r>
                    <w:rPr>
                      <w:rFonts w:hint="eastAsia"/>
                      <w:sz w:val="21"/>
                      <w:szCs w:val="21"/>
                      <w:lang w:val="en-US" w:eastAsia="zh-CN"/>
                    </w:rPr>
                    <w:t>0%</w:t>
                  </w:r>
                </w:p>
              </w:tc>
              <w:tc>
                <w:tcPr>
                  <w:tcW w:w="609" w:type="pct"/>
                  <w:vAlign w:val="center"/>
                </w:tcPr>
                <w:p w14:paraId="622EE766">
                  <w:pPr>
                    <w:spacing w:line="240" w:lineRule="auto"/>
                    <w:jc w:val="center"/>
                    <w:rPr>
                      <w:sz w:val="21"/>
                      <w:szCs w:val="21"/>
                    </w:rPr>
                  </w:pPr>
                  <w:r>
                    <w:rPr>
                      <w:rFonts w:hint="eastAsia"/>
                      <w:sz w:val="21"/>
                      <w:szCs w:val="21"/>
                      <w:lang w:val="en-US" w:eastAsia="zh-CN"/>
                    </w:rPr>
                    <w:t>0%</w:t>
                  </w:r>
                </w:p>
              </w:tc>
            </w:tr>
            <w:tr w14:paraId="31231E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7" w:hRule="atLeast"/>
                <w:jc w:val="center"/>
              </w:trPr>
              <w:tc>
                <w:tcPr>
                  <w:tcW w:w="504" w:type="pct"/>
                  <w:vMerge w:val="continue"/>
                  <w:vAlign w:val="center"/>
                </w:tcPr>
                <w:p w14:paraId="2DCC19B5">
                  <w:pPr>
                    <w:widowControl/>
                    <w:spacing w:line="240" w:lineRule="auto"/>
                    <w:jc w:val="center"/>
                    <w:rPr>
                      <w:sz w:val="21"/>
                      <w:szCs w:val="21"/>
                    </w:rPr>
                  </w:pPr>
                </w:p>
              </w:tc>
              <w:tc>
                <w:tcPr>
                  <w:tcW w:w="825" w:type="pct"/>
                  <w:vMerge w:val="restart"/>
                  <w:vAlign w:val="center"/>
                </w:tcPr>
                <w:p w14:paraId="70BBF9E5">
                  <w:pPr>
                    <w:spacing w:line="240" w:lineRule="auto"/>
                    <w:jc w:val="center"/>
                    <w:outlineLvl w:val="0"/>
                    <w:rPr>
                      <w:sz w:val="21"/>
                      <w:szCs w:val="21"/>
                    </w:rPr>
                  </w:pPr>
                  <w:r>
                    <w:rPr>
                      <w:rFonts w:hint="eastAsia"/>
                      <w:sz w:val="21"/>
                      <w:szCs w:val="21"/>
                    </w:rPr>
                    <w:t>常州东方横山水处理有限公司</w:t>
                  </w:r>
                  <w:r>
                    <w:rPr>
                      <w:sz w:val="21"/>
                      <w:szCs w:val="21"/>
                    </w:rPr>
                    <w:t>排口下游1</w:t>
                  </w:r>
                  <w:r>
                    <w:rPr>
                      <w:rFonts w:hint="eastAsia"/>
                      <w:sz w:val="21"/>
                      <w:szCs w:val="21"/>
                    </w:rPr>
                    <w:t>5</w:t>
                  </w:r>
                  <w:r>
                    <w:rPr>
                      <w:sz w:val="21"/>
                      <w:szCs w:val="21"/>
                    </w:rPr>
                    <w:t>00米</w:t>
                  </w:r>
                </w:p>
              </w:tc>
              <w:tc>
                <w:tcPr>
                  <w:tcW w:w="778" w:type="pct"/>
                  <w:shd w:val="clear" w:color="auto" w:fill="auto"/>
                  <w:vAlign w:val="center"/>
                </w:tcPr>
                <w:p w14:paraId="70DA5FF8">
                  <w:pPr>
                    <w:spacing w:line="240" w:lineRule="auto"/>
                    <w:jc w:val="center"/>
                    <w:outlineLvl w:val="0"/>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浓度范围</w:t>
                  </w:r>
                </w:p>
              </w:tc>
              <w:tc>
                <w:tcPr>
                  <w:tcW w:w="589" w:type="pct"/>
                  <w:vAlign w:val="center"/>
                </w:tcPr>
                <w:p w14:paraId="1B6CD5C6">
                  <w:pPr>
                    <w:spacing w:line="240" w:lineRule="auto"/>
                    <w:jc w:val="center"/>
                    <w:rPr>
                      <w:rFonts w:hint="default" w:eastAsia="仿宋"/>
                      <w:sz w:val="21"/>
                      <w:szCs w:val="21"/>
                      <w:lang w:val="en-US" w:eastAsia="zh-CN"/>
                    </w:rPr>
                  </w:pPr>
                  <w:r>
                    <w:rPr>
                      <w:rFonts w:hint="eastAsia"/>
                      <w:sz w:val="21"/>
                      <w:szCs w:val="21"/>
                      <w:lang w:val="en-US" w:eastAsia="zh-CN"/>
                    </w:rPr>
                    <w:t>7.7-7.8</w:t>
                  </w:r>
                </w:p>
              </w:tc>
              <w:tc>
                <w:tcPr>
                  <w:tcW w:w="831" w:type="pct"/>
                  <w:vAlign w:val="center"/>
                </w:tcPr>
                <w:p w14:paraId="7B50F1ED">
                  <w:pPr>
                    <w:spacing w:line="240" w:lineRule="auto"/>
                    <w:jc w:val="center"/>
                    <w:rPr>
                      <w:rFonts w:hint="default" w:eastAsia="仿宋"/>
                      <w:sz w:val="21"/>
                      <w:szCs w:val="21"/>
                      <w:lang w:val="en-US" w:eastAsia="zh-CN"/>
                    </w:rPr>
                  </w:pPr>
                  <w:r>
                    <w:rPr>
                      <w:rFonts w:hint="eastAsia"/>
                      <w:sz w:val="21"/>
                      <w:szCs w:val="21"/>
                      <w:lang w:val="en-US" w:eastAsia="zh-CN"/>
                    </w:rPr>
                    <w:t>14-16</w:t>
                  </w:r>
                </w:p>
              </w:tc>
              <w:tc>
                <w:tcPr>
                  <w:tcW w:w="861" w:type="pct"/>
                  <w:vAlign w:val="center"/>
                </w:tcPr>
                <w:p w14:paraId="42909F2A">
                  <w:pPr>
                    <w:spacing w:line="240" w:lineRule="auto"/>
                    <w:jc w:val="center"/>
                    <w:rPr>
                      <w:rFonts w:hint="default" w:eastAsia="仿宋"/>
                      <w:sz w:val="21"/>
                      <w:szCs w:val="21"/>
                      <w:lang w:val="en-US" w:eastAsia="zh-CN"/>
                    </w:rPr>
                  </w:pPr>
                  <w:r>
                    <w:rPr>
                      <w:rFonts w:hint="eastAsia"/>
                      <w:sz w:val="21"/>
                      <w:szCs w:val="21"/>
                      <w:lang w:val="en-US" w:eastAsia="zh-CN"/>
                    </w:rPr>
                    <w:t>0.776-0.850</w:t>
                  </w:r>
                </w:p>
              </w:tc>
              <w:tc>
                <w:tcPr>
                  <w:tcW w:w="609" w:type="pct"/>
                  <w:vAlign w:val="center"/>
                </w:tcPr>
                <w:p w14:paraId="6C632390">
                  <w:pPr>
                    <w:spacing w:line="240" w:lineRule="auto"/>
                    <w:jc w:val="center"/>
                    <w:rPr>
                      <w:rFonts w:hint="default" w:eastAsia="仿宋"/>
                      <w:sz w:val="21"/>
                      <w:szCs w:val="21"/>
                      <w:lang w:val="en-US" w:eastAsia="zh-CN"/>
                    </w:rPr>
                  </w:pPr>
                  <w:r>
                    <w:rPr>
                      <w:rFonts w:hint="eastAsia"/>
                      <w:sz w:val="21"/>
                      <w:szCs w:val="21"/>
                      <w:lang w:val="en-US" w:eastAsia="zh-CN"/>
                    </w:rPr>
                    <w:t>0.12-0.17</w:t>
                  </w:r>
                </w:p>
              </w:tc>
            </w:tr>
            <w:tr w14:paraId="1005BD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504" w:type="pct"/>
                  <w:vMerge w:val="continue"/>
                  <w:vAlign w:val="center"/>
                </w:tcPr>
                <w:p w14:paraId="3FED6995">
                  <w:pPr>
                    <w:widowControl/>
                    <w:spacing w:line="240" w:lineRule="auto"/>
                    <w:jc w:val="center"/>
                    <w:rPr>
                      <w:sz w:val="21"/>
                      <w:szCs w:val="21"/>
                    </w:rPr>
                  </w:pPr>
                </w:p>
              </w:tc>
              <w:tc>
                <w:tcPr>
                  <w:tcW w:w="825" w:type="pct"/>
                  <w:vMerge w:val="continue"/>
                  <w:vAlign w:val="center"/>
                </w:tcPr>
                <w:p w14:paraId="68D3F759">
                  <w:pPr>
                    <w:spacing w:line="240" w:lineRule="auto"/>
                    <w:jc w:val="center"/>
                    <w:outlineLvl w:val="0"/>
                    <w:rPr>
                      <w:sz w:val="21"/>
                      <w:szCs w:val="21"/>
                    </w:rPr>
                  </w:pPr>
                </w:p>
              </w:tc>
              <w:tc>
                <w:tcPr>
                  <w:tcW w:w="778" w:type="pct"/>
                  <w:shd w:val="clear" w:color="auto" w:fill="auto"/>
                  <w:vAlign w:val="center"/>
                </w:tcPr>
                <w:p w14:paraId="190FF3B3">
                  <w:pPr>
                    <w:spacing w:line="240" w:lineRule="auto"/>
                    <w:jc w:val="center"/>
                    <w:outlineLvl w:val="0"/>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超标率</w:t>
                  </w:r>
                </w:p>
              </w:tc>
              <w:tc>
                <w:tcPr>
                  <w:tcW w:w="589" w:type="pct"/>
                  <w:vAlign w:val="center"/>
                </w:tcPr>
                <w:p w14:paraId="4B9E2A65">
                  <w:pPr>
                    <w:spacing w:line="240" w:lineRule="auto"/>
                    <w:jc w:val="center"/>
                    <w:rPr>
                      <w:sz w:val="21"/>
                      <w:szCs w:val="21"/>
                    </w:rPr>
                  </w:pPr>
                  <w:r>
                    <w:rPr>
                      <w:rFonts w:hint="eastAsia"/>
                      <w:sz w:val="21"/>
                      <w:szCs w:val="21"/>
                      <w:lang w:val="en-US" w:eastAsia="zh-CN"/>
                    </w:rPr>
                    <w:t>0%</w:t>
                  </w:r>
                </w:p>
              </w:tc>
              <w:tc>
                <w:tcPr>
                  <w:tcW w:w="831" w:type="pct"/>
                  <w:vAlign w:val="center"/>
                </w:tcPr>
                <w:p w14:paraId="53CAD75A">
                  <w:pPr>
                    <w:spacing w:line="240" w:lineRule="auto"/>
                    <w:jc w:val="center"/>
                    <w:rPr>
                      <w:sz w:val="21"/>
                      <w:szCs w:val="21"/>
                    </w:rPr>
                  </w:pPr>
                  <w:r>
                    <w:rPr>
                      <w:rFonts w:hint="eastAsia"/>
                      <w:sz w:val="21"/>
                      <w:szCs w:val="21"/>
                      <w:lang w:val="en-US" w:eastAsia="zh-CN"/>
                    </w:rPr>
                    <w:t>0%</w:t>
                  </w:r>
                </w:p>
              </w:tc>
              <w:tc>
                <w:tcPr>
                  <w:tcW w:w="861" w:type="pct"/>
                  <w:vAlign w:val="center"/>
                </w:tcPr>
                <w:p w14:paraId="7685AAED">
                  <w:pPr>
                    <w:spacing w:line="240" w:lineRule="auto"/>
                    <w:jc w:val="center"/>
                    <w:rPr>
                      <w:sz w:val="21"/>
                      <w:szCs w:val="21"/>
                    </w:rPr>
                  </w:pPr>
                  <w:r>
                    <w:rPr>
                      <w:rFonts w:hint="eastAsia"/>
                      <w:sz w:val="21"/>
                      <w:szCs w:val="21"/>
                      <w:lang w:val="en-US" w:eastAsia="zh-CN"/>
                    </w:rPr>
                    <w:t>0%</w:t>
                  </w:r>
                </w:p>
              </w:tc>
              <w:tc>
                <w:tcPr>
                  <w:tcW w:w="609" w:type="pct"/>
                  <w:vAlign w:val="center"/>
                </w:tcPr>
                <w:p w14:paraId="1075F197">
                  <w:pPr>
                    <w:spacing w:line="240" w:lineRule="auto"/>
                    <w:jc w:val="center"/>
                    <w:rPr>
                      <w:sz w:val="21"/>
                      <w:szCs w:val="21"/>
                    </w:rPr>
                  </w:pPr>
                  <w:r>
                    <w:rPr>
                      <w:rFonts w:hint="eastAsia"/>
                      <w:sz w:val="21"/>
                      <w:szCs w:val="21"/>
                      <w:lang w:val="en-US" w:eastAsia="zh-CN"/>
                    </w:rPr>
                    <w:t>0%</w:t>
                  </w:r>
                </w:p>
              </w:tc>
            </w:tr>
            <w:tr w14:paraId="627556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2108" w:type="pct"/>
                  <w:gridSpan w:val="3"/>
                  <w:vAlign w:val="center"/>
                </w:tcPr>
                <w:p w14:paraId="30539EAB">
                  <w:pPr>
                    <w:spacing w:line="240" w:lineRule="auto"/>
                    <w:jc w:val="center"/>
                    <w:rPr>
                      <w:sz w:val="21"/>
                      <w:szCs w:val="21"/>
                    </w:rPr>
                  </w:pPr>
                  <w:r>
                    <w:rPr>
                      <w:sz w:val="21"/>
                      <w:szCs w:val="21"/>
                    </w:rPr>
                    <w:t>《地表水环境质量标准》（GB3838-2002）Ⅲ类</w:t>
                  </w:r>
                </w:p>
              </w:tc>
              <w:tc>
                <w:tcPr>
                  <w:tcW w:w="589" w:type="pct"/>
                  <w:vAlign w:val="center"/>
                </w:tcPr>
                <w:p w14:paraId="57EE87E4">
                  <w:pPr>
                    <w:widowControl/>
                    <w:spacing w:line="240" w:lineRule="auto"/>
                    <w:jc w:val="center"/>
                    <w:rPr>
                      <w:sz w:val="21"/>
                      <w:szCs w:val="21"/>
                    </w:rPr>
                  </w:pPr>
                  <w:r>
                    <w:rPr>
                      <w:sz w:val="21"/>
                      <w:szCs w:val="21"/>
                    </w:rPr>
                    <w:t>6~9</w:t>
                  </w:r>
                </w:p>
              </w:tc>
              <w:tc>
                <w:tcPr>
                  <w:tcW w:w="831" w:type="pct"/>
                  <w:vAlign w:val="center"/>
                </w:tcPr>
                <w:p w14:paraId="47EFAB0C">
                  <w:pPr>
                    <w:widowControl/>
                    <w:spacing w:line="240" w:lineRule="auto"/>
                    <w:jc w:val="center"/>
                    <w:rPr>
                      <w:sz w:val="21"/>
                      <w:szCs w:val="21"/>
                    </w:rPr>
                  </w:pPr>
                  <w:r>
                    <w:rPr>
                      <w:sz w:val="21"/>
                      <w:szCs w:val="21"/>
                    </w:rPr>
                    <w:t>≤</w:t>
                  </w:r>
                  <w:r>
                    <w:rPr>
                      <w:rFonts w:hint="eastAsia"/>
                      <w:sz w:val="21"/>
                      <w:szCs w:val="21"/>
                    </w:rPr>
                    <w:t>2</w:t>
                  </w:r>
                  <w:r>
                    <w:rPr>
                      <w:sz w:val="21"/>
                      <w:szCs w:val="21"/>
                    </w:rPr>
                    <w:t>0</w:t>
                  </w:r>
                </w:p>
              </w:tc>
              <w:tc>
                <w:tcPr>
                  <w:tcW w:w="861" w:type="pct"/>
                  <w:vAlign w:val="center"/>
                </w:tcPr>
                <w:p w14:paraId="0874ED11">
                  <w:pPr>
                    <w:widowControl/>
                    <w:spacing w:line="240" w:lineRule="auto"/>
                    <w:jc w:val="center"/>
                    <w:rPr>
                      <w:sz w:val="21"/>
                      <w:szCs w:val="21"/>
                    </w:rPr>
                  </w:pPr>
                  <w:r>
                    <w:rPr>
                      <w:sz w:val="21"/>
                      <w:szCs w:val="21"/>
                    </w:rPr>
                    <w:t>≤1.</w:t>
                  </w:r>
                  <w:r>
                    <w:rPr>
                      <w:rFonts w:hint="eastAsia"/>
                      <w:sz w:val="21"/>
                      <w:szCs w:val="21"/>
                    </w:rPr>
                    <w:t>0</w:t>
                  </w:r>
                </w:p>
              </w:tc>
              <w:tc>
                <w:tcPr>
                  <w:tcW w:w="609" w:type="pct"/>
                  <w:vAlign w:val="center"/>
                </w:tcPr>
                <w:p w14:paraId="6807E464">
                  <w:pPr>
                    <w:widowControl/>
                    <w:spacing w:line="240" w:lineRule="auto"/>
                    <w:jc w:val="center"/>
                    <w:rPr>
                      <w:sz w:val="21"/>
                      <w:szCs w:val="21"/>
                    </w:rPr>
                  </w:pPr>
                  <w:r>
                    <w:rPr>
                      <w:sz w:val="21"/>
                      <w:szCs w:val="21"/>
                    </w:rPr>
                    <w:t>≤0.</w:t>
                  </w:r>
                  <w:r>
                    <w:rPr>
                      <w:rFonts w:hint="eastAsia"/>
                      <w:sz w:val="21"/>
                      <w:szCs w:val="21"/>
                    </w:rPr>
                    <w:t>2</w:t>
                  </w:r>
                </w:p>
              </w:tc>
            </w:tr>
          </w:tbl>
          <w:p w14:paraId="709FF020">
            <w:pPr>
              <w:spacing w:line="480" w:lineRule="exact"/>
              <w:ind w:firstLine="480" w:firstLineChars="200"/>
            </w:pPr>
            <w:r>
              <w:t>由表3-</w:t>
            </w:r>
            <w:r>
              <w:rPr>
                <w:rFonts w:hint="eastAsia"/>
                <w:lang w:val="en-US" w:eastAsia="zh-CN"/>
              </w:rPr>
              <w:t>3</w:t>
            </w:r>
            <w:r>
              <w:t>可知，</w:t>
            </w:r>
            <w:r>
              <w:rPr>
                <w:rFonts w:hint="eastAsia"/>
              </w:rPr>
              <w:t>常州东方横山水处理有限公司</w:t>
            </w:r>
            <w:r>
              <w:t>排口上游500米断面和</w:t>
            </w:r>
            <w:r>
              <w:rPr>
                <w:rFonts w:hint="eastAsia"/>
              </w:rPr>
              <w:t>常州东方横山水处理有限公司</w:t>
            </w:r>
            <w:r>
              <w:t>排口下游1</w:t>
            </w:r>
            <w:r>
              <w:rPr>
                <w:rFonts w:hint="eastAsia"/>
              </w:rPr>
              <w:t>5</w:t>
            </w:r>
            <w:r>
              <w:t>00米断面的pH、化学需氧量、氨氮、总磷均能够达到《地表水环境质量标准》（GB3838-2002）Ⅲ类水质标准，故三山港水环境质量较好。</w:t>
            </w:r>
          </w:p>
          <w:p w14:paraId="7A32DD5D">
            <w:pPr>
              <w:adjustRightInd w:val="0"/>
              <w:snapToGrid w:val="0"/>
              <w:spacing w:line="480" w:lineRule="exact"/>
              <w:ind w:firstLine="482" w:firstLineChars="200"/>
              <w:rPr>
                <w:b/>
              </w:rPr>
            </w:pPr>
            <w:r>
              <w:rPr>
                <w:b/>
              </w:rPr>
              <w:t>3、环境噪声质量现状</w:t>
            </w:r>
          </w:p>
          <w:p w14:paraId="56BC54B8">
            <w:pPr>
              <w:spacing w:line="480" w:lineRule="exact"/>
              <w:ind w:firstLine="480" w:firstLineChars="200"/>
              <w:rPr>
                <w:rFonts w:hint="eastAsia" w:eastAsia="仿宋"/>
                <w:lang w:eastAsia="zh-CN"/>
              </w:rPr>
            </w:pPr>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lang w:eastAsia="zh-CN"/>
              </w:rPr>
              <w:t>“</w:t>
            </w:r>
            <w:r>
              <w:t>3声环境。厂界外周边50米范围内存在声环境保护目标的建设项目，应监测保护目标声环境质量现状并评价达标情况。各点位应监测昼夜间噪声，监测时间不少于1天，项目夜间不生产则仅监测昼间噪声。</w:t>
            </w:r>
            <w:r>
              <w:rPr>
                <w:rFonts w:hint="eastAsia"/>
                <w:lang w:eastAsia="zh-CN"/>
              </w:rPr>
              <w:t>”</w:t>
            </w:r>
          </w:p>
          <w:p w14:paraId="49DE92D2">
            <w:pPr>
              <w:spacing w:line="480" w:lineRule="exact"/>
              <w:ind w:firstLine="480" w:firstLineChars="200"/>
            </w:pPr>
            <w:r>
              <w:rPr>
                <w:rFonts w:hint="eastAsia"/>
              </w:rPr>
              <w:t>本项目位于</w:t>
            </w:r>
            <w:r>
              <w:rPr>
                <w:rFonts w:hint="eastAsia"/>
                <w:lang w:eastAsia="zh-CN"/>
              </w:rPr>
              <w:t>常州经济开发区横山桥镇新安村委新芙路78号</w:t>
            </w:r>
            <w:r>
              <w:rPr>
                <w:rFonts w:hint="eastAsia"/>
              </w:rPr>
              <w:t>，周边50m范围内无敏感目标，故无需开展声环境现状调查。</w:t>
            </w:r>
          </w:p>
          <w:p w14:paraId="503BA898">
            <w:pPr>
              <w:adjustRightInd w:val="0"/>
              <w:snapToGrid w:val="0"/>
              <w:spacing w:line="480" w:lineRule="exact"/>
              <w:ind w:firstLine="482" w:firstLineChars="200"/>
              <w:rPr>
                <w:b/>
                <w:bCs/>
              </w:rPr>
            </w:pPr>
            <w:r>
              <w:rPr>
                <w:b/>
                <w:bCs/>
              </w:rPr>
              <w:t>4、生态环境质量现状</w:t>
            </w:r>
          </w:p>
          <w:p w14:paraId="3B68CF60">
            <w:pPr>
              <w:pStyle w:val="2"/>
              <w:spacing w:before="0" w:after="0" w:line="480" w:lineRule="exact"/>
              <w:ind w:right="0" w:firstLine="480" w:firstLineChars="200"/>
              <w:rPr>
                <w:kern w:val="2"/>
                <w:sz w:val="24"/>
                <w:szCs w:val="24"/>
              </w:rPr>
            </w:pPr>
            <w:r>
              <w:rPr>
                <w:kern w:val="2"/>
                <w:sz w:val="24"/>
                <w:szCs w:val="24"/>
              </w:rPr>
              <w:t>本项目用地范围内无生态环境保护目标，可不进行生态环境现状调查。</w:t>
            </w:r>
          </w:p>
          <w:p w14:paraId="7D42CE72">
            <w:pPr>
              <w:numPr>
                <w:ilvl w:val="0"/>
                <w:numId w:val="14"/>
              </w:numPr>
              <w:adjustRightInd w:val="0"/>
              <w:snapToGrid w:val="0"/>
              <w:spacing w:line="480" w:lineRule="exact"/>
              <w:ind w:firstLine="482" w:firstLineChars="200"/>
              <w:rPr>
                <w:b/>
                <w:bCs/>
              </w:rPr>
            </w:pPr>
            <w:r>
              <w:rPr>
                <w:b/>
                <w:bCs/>
              </w:rPr>
              <w:t>电磁辐射质量现状</w:t>
            </w:r>
          </w:p>
          <w:p w14:paraId="7B0309C9">
            <w:pPr>
              <w:pStyle w:val="2"/>
              <w:spacing w:before="0" w:after="0" w:line="480" w:lineRule="exact"/>
              <w:ind w:right="0" w:firstLine="480" w:firstLineChars="200"/>
              <w:rPr>
                <w:kern w:val="2"/>
                <w:sz w:val="24"/>
                <w:szCs w:val="24"/>
              </w:rPr>
            </w:pPr>
            <w:r>
              <w:rPr>
                <w:kern w:val="2"/>
                <w:sz w:val="24"/>
                <w:szCs w:val="24"/>
              </w:rPr>
              <w:t>本项目不属于</w:t>
            </w:r>
            <w:r>
              <w:rPr>
                <w:rFonts w:hint="eastAsia"/>
                <w:kern w:val="2"/>
                <w:sz w:val="24"/>
                <w:szCs w:val="24"/>
                <w:lang w:val="en-US" w:eastAsia="zh-CN"/>
              </w:rPr>
              <w:t>且不涉及</w:t>
            </w:r>
            <w:r>
              <w:rPr>
                <w:kern w:val="2"/>
                <w:sz w:val="24"/>
                <w:szCs w:val="24"/>
              </w:rPr>
              <w:t>电磁辐射类项目，可不进行电磁辐射现状监测与评价。</w:t>
            </w:r>
          </w:p>
          <w:p w14:paraId="4C42DFD6">
            <w:pPr>
              <w:adjustRightInd w:val="0"/>
              <w:snapToGrid w:val="0"/>
              <w:spacing w:line="480" w:lineRule="exact"/>
              <w:ind w:firstLine="482" w:firstLineChars="200"/>
              <w:rPr>
                <w:b/>
                <w:bCs/>
              </w:rPr>
            </w:pPr>
            <w:r>
              <w:rPr>
                <w:b/>
                <w:bCs/>
              </w:rPr>
              <w:t>6、土壤</w:t>
            </w:r>
            <w:r>
              <w:rPr>
                <w:rFonts w:hint="eastAsia"/>
                <w:b/>
                <w:bCs/>
              </w:rPr>
              <w:t>、地下水</w:t>
            </w:r>
            <w:r>
              <w:rPr>
                <w:b/>
                <w:bCs/>
              </w:rPr>
              <w:t>环境质量现状</w:t>
            </w:r>
          </w:p>
          <w:p w14:paraId="0E20C1FA">
            <w:pPr>
              <w:pStyle w:val="2"/>
              <w:spacing w:before="0" w:after="0" w:line="480" w:lineRule="exact"/>
              <w:ind w:right="0" w:firstLine="480" w:firstLineChars="200"/>
              <w:rPr>
                <w:kern w:val="2"/>
                <w:sz w:val="24"/>
                <w:szCs w:val="24"/>
              </w:rPr>
            </w:pPr>
            <w:r>
              <w:rPr>
                <w:kern w:val="2"/>
                <w:sz w:val="24"/>
                <w:szCs w:val="24"/>
              </w:rPr>
              <w:t>根据《关于印发&lt;</w:t>
            </w:r>
            <w:r>
              <w:rPr>
                <w:rFonts w:hint="eastAsia"/>
                <w:kern w:val="2"/>
                <w:sz w:val="24"/>
                <w:szCs w:val="24"/>
              </w:rPr>
              <w:t>建设项目环境影响报告表</w:t>
            </w:r>
            <w:r>
              <w:rPr>
                <w:kern w:val="2"/>
                <w:sz w:val="24"/>
                <w:szCs w:val="24"/>
              </w:rPr>
              <w:t>&gt;</w:t>
            </w:r>
            <w:r>
              <w:rPr>
                <w:rFonts w:hint="eastAsia"/>
                <w:kern w:val="2"/>
                <w:sz w:val="24"/>
                <w:szCs w:val="24"/>
              </w:rPr>
              <w:t>内容、格式及编制技术指南的通知》（环办环评</w:t>
            </w:r>
            <w:r>
              <w:rPr>
                <w:rFonts w:hint="eastAsia"/>
                <w:kern w:val="2"/>
                <w:sz w:val="24"/>
                <w:szCs w:val="24"/>
                <w:lang w:eastAsia="zh-CN"/>
              </w:rPr>
              <w:t>〔2020〕33号</w:t>
            </w:r>
            <w:r>
              <w:rPr>
                <w:rFonts w:hint="eastAsia"/>
                <w:kern w:val="2"/>
                <w:sz w:val="24"/>
                <w:szCs w:val="24"/>
              </w:rPr>
              <w:t>）：</w:t>
            </w:r>
            <w:r>
              <w:rPr>
                <w:rFonts w:hint="eastAsia"/>
                <w:kern w:val="2"/>
                <w:sz w:val="24"/>
                <w:szCs w:val="24"/>
                <w:lang w:eastAsia="zh-CN"/>
              </w:rPr>
              <w:t>“</w:t>
            </w:r>
            <w:r>
              <w:rPr>
                <w:rFonts w:hint="eastAsia"/>
                <w:kern w:val="2"/>
                <w:sz w:val="24"/>
                <w:szCs w:val="24"/>
              </w:rPr>
              <w:t>地下水和土壤环境原则上不开展环境质量现状调查。建设项目存在土壤、地下水环境污染途径的，应结合污染源、保护目标分布情况开展现状调查以留作背景值</w:t>
            </w:r>
            <w:r>
              <w:rPr>
                <w:rFonts w:hint="eastAsia"/>
                <w:kern w:val="2"/>
                <w:sz w:val="24"/>
                <w:szCs w:val="24"/>
                <w:lang w:eastAsia="zh-CN"/>
              </w:rPr>
              <w:t>”</w:t>
            </w:r>
            <w:r>
              <w:rPr>
                <w:rFonts w:hint="eastAsia"/>
                <w:kern w:val="2"/>
                <w:sz w:val="24"/>
                <w:szCs w:val="24"/>
              </w:rPr>
              <w:t>。</w:t>
            </w:r>
          </w:p>
          <w:p w14:paraId="474ECAC3">
            <w:pPr>
              <w:pStyle w:val="2"/>
              <w:spacing w:before="0" w:after="0" w:line="480" w:lineRule="exact"/>
              <w:ind w:right="0" w:firstLine="480" w:firstLineChars="200"/>
              <w:rPr>
                <w:rFonts w:hint="eastAsia"/>
                <w:kern w:val="2"/>
                <w:sz w:val="24"/>
                <w:szCs w:val="24"/>
              </w:rPr>
            </w:pPr>
            <w:r>
              <w:rPr>
                <w:rFonts w:hint="eastAsia"/>
                <w:kern w:val="2"/>
                <w:sz w:val="24"/>
                <w:szCs w:val="24"/>
              </w:rPr>
              <w:t>本项目使用的</w:t>
            </w:r>
            <w:r>
              <w:rPr>
                <w:rFonts w:hint="eastAsia"/>
                <w:kern w:val="2"/>
                <w:sz w:val="24"/>
                <w:szCs w:val="24"/>
                <w:lang w:val="en-US" w:eastAsia="zh-CN"/>
              </w:rPr>
              <w:t>脱模剂</w:t>
            </w:r>
            <w:r>
              <w:rPr>
                <w:rFonts w:hint="eastAsia"/>
                <w:kern w:val="2"/>
                <w:sz w:val="24"/>
                <w:szCs w:val="24"/>
              </w:rPr>
              <w:t>为桶装，且</w:t>
            </w:r>
            <w:r>
              <w:rPr>
                <w:rFonts w:hint="eastAsia"/>
                <w:kern w:val="2"/>
                <w:sz w:val="24"/>
                <w:szCs w:val="24"/>
                <w:lang w:val="en-US" w:eastAsia="zh-CN"/>
              </w:rPr>
              <w:t>生产</w:t>
            </w:r>
            <w:r>
              <w:rPr>
                <w:rFonts w:hint="eastAsia"/>
                <w:kern w:val="2"/>
                <w:sz w:val="24"/>
                <w:szCs w:val="24"/>
              </w:rPr>
              <w:t>车间地面拟采取防渗防漏措施，正常工况下，</w:t>
            </w:r>
            <w:r>
              <w:rPr>
                <w:rFonts w:hint="eastAsia"/>
                <w:kern w:val="2"/>
                <w:sz w:val="24"/>
                <w:szCs w:val="24"/>
                <w:lang w:val="en-US" w:eastAsia="zh-CN"/>
              </w:rPr>
              <w:t>不会对地下水、土壤造成污染</w:t>
            </w:r>
            <w:r>
              <w:rPr>
                <w:rFonts w:hint="eastAsia"/>
                <w:kern w:val="2"/>
                <w:sz w:val="24"/>
                <w:szCs w:val="24"/>
              </w:rPr>
              <w:t>，可不进行土壤评价与地下水评价。</w:t>
            </w:r>
          </w:p>
          <w:p w14:paraId="3CAF5DE8">
            <w:pPr>
              <w:pStyle w:val="3"/>
              <w:widowControl w:val="0"/>
              <w:numPr>
                <w:ilvl w:val="0"/>
                <w:numId w:val="0"/>
              </w:numPr>
              <w:spacing w:line="360" w:lineRule="auto"/>
              <w:jc w:val="both"/>
              <w:rPr>
                <w:rFonts w:hint="eastAsia"/>
                <w:kern w:val="2"/>
                <w:sz w:val="24"/>
                <w:szCs w:val="24"/>
              </w:rPr>
            </w:pPr>
          </w:p>
          <w:p w14:paraId="5CD16990">
            <w:pPr>
              <w:pStyle w:val="3"/>
              <w:widowControl w:val="0"/>
              <w:numPr>
                <w:ilvl w:val="0"/>
                <w:numId w:val="0"/>
              </w:numPr>
              <w:spacing w:line="360" w:lineRule="auto"/>
              <w:jc w:val="both"/>
              <w:rPr>
                <w:rFonts w:hint="eastAsia"/>
                <w:kern w:val="2"/>
                <w:sz w:val="24"/>
                <w:szCs w:val="24"/>
              </w:rPr>
            </w:pPr>
          </w:p>
          <w:p w14:paraId="391CE2B4">
            <w:pPr>
              <w:pStyle w:val="3"/>
              <w:widowControl w:val="0"/>
              <w:numPr>
                <w:ilvl w:val="0"/>
                <w:numId w:val="0"/>
              </w:numPr>
              <w:spacing w:line="360" w:lineRule="auto"/>
              <w:jc w:val="both"/>
              <w:rPr>
                <w:rFonts w:hint="eastAsia"/>
                <w:kern w:val="2"/>
                <w:sz w:val="24"/>
                <w:szCs w:val="24"/>
              </w:rPr>
            </w:pPr>
          </w:p>
          <w:p w14:paraId="33C21A01">
            <w:pPr>
              <w:pStyle w:val="3"/>
              <w:widowControl w:val="0"/>
              <w:numPr>
                <w:ilvl w:val="0"/>
                <w:numId w:val="0"/>
              </w:numPr>
              <w:spacing w:line="360" w:lineRule="auto"/>
              <w:jc w:val="both"/>
              <w:rPr>
                <w:rFonts w:hint="eastAsia"/>
                <w:kern w:val="2"/>
                <w:sz w:val="24"/>
                <w:szCs w:val="24"/>
              </w:rPr>
            </w:pPr>
          </w:p>
          <w:p w14:paraId="7703FCE8">
            <w:pPr>
              <w:pStyle w:val="3"/>
              <w:widowControl w:val="0"/>
              <w:numPr>
                <w:ilvl w:val="0"/>
                <w:numId w:val="0"/>
              </w:numPr>
              <w:spacing w:line="360" w:lineRule="auto"/>
              <w:jc w:val="both"/>
              <w:rPr>
                <w:rFonts w:hint="eastAsia"/>
                <w:kern w:val="2"/>
                <w:sz w:val="24"/>
                <w:szCs w:val="24"/>
                <w:lang w:val="en-US" w:eastAsia="zh-CN"/>
              </w:rPr>
            </w:pPr>
          </w:p>
        </w:tc>
      </w:tr>
      <w:tr w14:paraId="1A1D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clear" w:color="auto" w:fill="auto"/>
            <w:vAlign w:val="center"/>
          </w:tcPr>
          <w:p w14:paraId="3A6CC30F">
            <w:pPr>
              <w:adjustRightInd w:val="0"/>
              <w:snapToGrid w:val="0"/>
              <w:jc w:val="center"/>
              <w:rPr>
                <w:kern w:val="0"/>
                <w:szCs w:val="21"/>
              </w:rPr>
            </w:pPr>
            <w:r>
              <w:rPr>
                <w:kern w:val="0"/>
                <w:szCs w:val="21"/>
              </w:rPr>
              <w:t>环境</w:t>
            </w:r>
          </w:p>
          <w:p w14:paraId="258319DD">
            <w:pPr>
              <w:adjustRightInd w:val="0"/>
              <w:snapToGrid w:val="0"/>
              <w:jc w:val="center"/>
              <w:rPr>
                <w:kern w:val="0"/>
                <w:szCs w:val="21"/>
              </w:rPr>
            </w:pPr>
            <w:r>
              <w:rPr>
                <w:kern w:val="0"/>
                <w:szCs w:val="21"/>
              </w:rPr>
              <w:t>保护</w:t>
            </w:r>
          </w:p>
          <w:p w14:paraId="291C517F">
            <w:pPr>
              <w:adjustRightInd w:val="0"/>
              <w:snapToGrid w:val="0"/>
              <w:jc w:val="center"/>
              <w:rPr>
                <w:kern w:val="0"/>
              </w:rPr>
            </w:pPr>
            <w:r>
              <w:rPr>
                <w:kern w:val="0"/>
                <w:szCs w:val="21"/>
              </w:rPr>
              <w:t>目标</w:t>
            </w:r>
          </w:p>
        </w:tc>
        <w:tc>
          <w:tcPr>
            <w:tcW w:w="8640" w:type="dxa"/>
            <w:shd w:val="clear" w:color="auto" w:fill="auto"/>
            <w:vAlign w:val="top"/>
          </w:tcPr>
          <w:p w14:paraId="2124781C">
            <w:pPr>
              <w:snapToGrid w:val="0"/>
              <w:spacing w:line="480" w:lineRule="exact"/>
              <w:ind w:firstLine="482" w:firstLineChars="200"/>
              <w:jc w:val="left"/>
            </w:pPr>
            <w:r>
              <w:rPr>
                <w:b/>
                <w:bCs/>
              </w:rPr>
              <w:t>1、环境空气保护目标</w:t>
            </w:r>
          </w:p>
          <w:p w14:paraId="53FC9BBF">
            <w:pPr>
              <w:pStyle w:val="51"/>
              <w:spacing w:before="0" w:beforeLines="0" w:line="240" w:lineRule="auto"/>
              <w:ind w:firstLine="0" w:firstLineChars="0"/>
              <w:jc w:val="center"/>
              <w:rPr>
                <w:rFonts w:cs="Times New Roman"/>
                <w:b/>
                <w:sz w:val="21"/>
                <w:szCs w:val="21"/>
              </w:rPr>
            </w:pPr>
            <w:r>
              <w:rPr>
                <w:rFonts w:cs="Times New Roman"/>
                <w:b/>
                <w:sz w:val="21"/>
                <w:szCs w:val="21"/>
              </w:rPr>
              <w:t>表3-</w:t>
            </w:r>
            <w:r>
              <w:rPr>
                <w:rFonts w:hint="eastAsia" w:cs="Times New Roman"/>
                <w:b/>
                <w:sz w:val="21"/>
                <w:szCs w:val="21"/>
                <w:lang w:val="en-US" w:eastAsia="zh-CN"/>
              </w:rPr>
              <w:t>4</w:t>
            </w:r>
            <w:r>
              <w:rPr>
                <w:rFonts w:cs="Times New Roman"/>
                <w:b/>
                <w:sz w:val="21"/>
                <w:szCs w:val="21"/>
              </w:rPr>
              <w:t xml:space="preserve">  环境空气保护目标一览表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104"/>
              <w:gridCol w:w="753"/>
              <w:gridCol w:w="715"/>
              <w:gridCol w:w="878"/>
              <w:gridCol w:w="686"/>
              <w:gridCol w:w="863"/>
              <w:gridCol w:w="1608"/>
              <w:gridCol w:w="657"/>
              <w:gridCol w:w="667"/>
            </w:tblGrid>
            <w:tr w14:paraId="005D1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Merge w:val="restart"/>
                  <w:vAlign w:val="center"/>
                </w:tcPr>
                <w:p w14:paraId="400C411A">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序号</w:t>
                  </w:r>
                </w:p>
              </w:tc>
              <w:tc>
                <w:tcPr>
                  <w:tcW w:w="655" w:type="pct"/>
                  <w:vMerge w:val="restart"/>
                  <w:vAlign w:val="center"/>
                </w:tcPr>
                <w:p w14:paraId="6BBF9F47">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名称</w:t>
                  </w:r>
                </w:p>
              </w:tc>
              <w:tc>
                <w:tcPr>
                  <w:tcW w:w="871" w:type="pct"/>
                  <w:gridSpan w:val="2"/>
                  <w:vAlign w:val="center"/>
                </w:tcPr>
                <w:p w14:paraId="538D76CF">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坐标/m</w:t>
                  </w:r>
                </w:p>
              </w:tc>
              <w:tc>
                <w:tcPr>
                  <w:tcW w:w="521" w:type="pct"/>
                  <w:vMerge w:val="restart"/>
                  <w:vAlign w:val="center"/>
                </w:tcPr>
                <w:p w14:paraId="35242690">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保护对象</w:t>
                  </w:r>
                </w:p>
              </w:tc>
              <w:tc>
                <w:tcPr>
                  <w:tcW w:w="407" w:type="pct"/>
                  <w:vMerge w:val="restart"/>
                  <w:vAlign w:val="center"/>
                </w:tcPr>
                <w:p w14:paraId="7D87E845">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保护内容</w:t>
                  </w:r>
                </w:p>
              </w:tc>
              <w:tc>
                <w:tcPr>
                  <w:tcW w:w="512" w:type="pct"/>
                  <w:vMerge w:val="restart"/>
                  <w:vAlign w:val="center"/>
                </w:tcPr>
                <w:p w14:paraId="13368138">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环境功能区</w:t>
                  </w:r>
                </w:p>
              </w:tc>
              <w:tc>
                <w:tcPr>
                  <w:tcW w:w="954" w:type="pct"/>
                  <w:vMerge w:val="restart"/>
                  <w:vAlign w:val="center"/>
                </w:tcPr>
                <w:p w14:paraId="22E65BAA">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规模</w:t>
                  </w:r>
                </w:p>
                <w:p w14:paraId="6CEEC4F1">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户数/人数</w:t>
                  </w:r>
                </w:p>
              </w:tc>
              <w:tc>
                <w:tcPr>
                  <w:tcW w:w="390" w:type="pct"/>
                  <w:vMerge w:val="restart"/>
                  <w:vAlign w:val="center"/>
                </w:tcPr>
                <w:p w14:paraId="42679AA6">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相对厂址方位</w:t>
                  </w:r>
                </w:p>
              </w:tc>
              <w:tc>
                <w:tcPr>
                  <w:tcW w:w="396" w:type="pct"/>
                  <w:vMerge w:val="restart"/>
                  <w:vAlign w:val="center"/>
                </w:tcPr>
                <w:p w14:paraId="05F03029">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相对距离/m</w:t>
                  </w:r>
                </w:p>
              </w:tc>
            </w:tr>
            <w:tr w14:paraId="37DB4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Merge w:val="continue"/>
                  <w:vAlign w:val="center"/>
                </w:tcPr>
                <w:p w14:paraId="65534E59">
                  <w:pPr>
                    <w:pStyle w:val="9"/>
                    <w:adjustRightInd w:val="0"/>
                    <w:snapToGrid w:val="0"/>
                    <w:spacing w:line="240" w:lineRule="auto"/>
                    <w:jc w:val="center"/>
                    <w:rPr>
                      <w:rFonts w:ascii="Times New Roman" w:hAnsi="Times New Roman"/>
                      <w:b/>
                      <w:sz w:val="21"/>
                      <w:szCs w:val="21"/>
                    </w:rPr>
                  </w:pPr>
                </w:p>
              </w:tc>
              <w:tc>
                <w:tcPr>
                  <w:tcW w:w="655" w:type="pct"/>
                  <w:vMerge w:val="continue"/>
                  <w:vAlign w:val="center"/>
                </w:tcPr>
                <w:p w14:paraId="02385A64">
                  <w:pPr>
                    <w:pStyle w:val="9"/>
                    <w:adjustRightInd w:val="0"/>
                    <w:snapToGrid w:val="0"/>
                    <w:spacing w:line="240" w:lineRule="auto"/>
                    <w:jc w:val="center"/>
                    <w:rPr>
                      <w:rFonts w:ascii="Times New Roman" w:hAnsi="Times New Roman"/>
                      <w:b/>
                      <w:sz w:val="21"/>
                      <w:szCs w:val="21"/>
                    </w:rPr>
                  </w:pPr>
                </w:p>
              </w:tc>
              <w:tc>
                <w:tcPr>
                  <w:tcW w:w="447" w:type="pct"/>
                  <w:vAlign w:val="center"/>
                </w:tcPr>
                <w:p w14:paraId="23B9CE17">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X</w:t>
                  </w:r>
                </w:p>
              </w:tc>
              <w:tc>
                <w:tcPr>
                  <w:tcW w:w="424" w:type="pct"/>
                  <w:vAlign w:val="center"/>
                </w:tcPr>
                <w:p w14:paraId="17F2C99D">
                  <w:pPr>
                    <w:pStyle w:val="9"/>
                    <w:adjustRightInd w:val="0"/>
                    <w:snapToGrid w:val="0"/>
                    <w:spacing w:line="240" w:lineRule="auto"/>
                    <w:jc w:val="center"/>
                    <w:rPr>
                      <w:rFonts w:ascii="Times New Roman" w:hAnsi="Times New Roman"/>
                      <w:b/>
                      <w:sz w:val="21"/>
                      <w:szCs w:val="21"/>
                    </w:rPr>
                  </w:pPr>
                  <w:r>
                    <w:rPr>
                      <w:rFonts w:ascii="Times New Roman" w:hAnsi="Times New Roman"/>
                      <w:b/>
                      <w:sz w:val="21"/>
                      <w:szCs w:val="21"/>
                    </w:rPr>
                    <w:t>Y</w:t>
                  </w:r>
                </w:p>
              </w:tc>
              <w:tc>
                <w:tcPr>
                  <w:tcW w:w="521" w:type="pct"/>
                  <w:vMerge w:val="continue"/>
                  <w:vAlign w:val="center"/>
                </w:tcPr>
                <w:p w14:paraId="7DCE7215">
                  <w:pPr>
                    <w:pStyle w:val="9"/>
                    <w:adjustRightInd w:val="0"/>
                    <w:snapToGrid w:val="0"/>
                    <w:spacing w:line="240" w:lineRule="auto"/>
                    <w:jc w:val="center"/>
                    <w:rPr>
                      <w:rFonts w:ascii="Times New Roman" w:hAnsi="Times New Roman"/>
                      <w:b/>
                      <w:sz w:val="21"/>
                      <w:szCs w:val="21"/>
                    </w:rPr>
                  </w:pPr>
                </w:p>
              </w:tc>
              <w:tc>
                <w:tcPr>
                  <w:tcW w:w="407" w:type="pct"/>
                  <w:vMerge w:val="continue"/>
                  <w:vAlign w:val="center"/>
                </w:tcPr>
                <w:p w14:paraId="668007E6">
                  <w:pPr>
                    <w:pStyle w:val="9"/>
                    <w:adjustRightInd w:val="0"/>
                    <w:snapToGrid w:val="0"/>
                    <w:spacing w:line="240" w:lineRule="auto"/>
                    <w:jc w:val="center"/>
                    <w:rPr>
                      <w:rFonts w:ascii="Times New Roman" w:hAnsi="Times New Roman"/>
                      <w:b/>
                      <w:sz w:val="21"/>
                      <w:szCs w:val="21"/>
                    </w:rPr>
                  </w:pPr>
                </w:p>
              </w:tc>
              <w:tc>
                <w:tcPr>
                  <w:tcW w:w="512" w:type="pct"/>
                  <w:vMerge w:val="continue"/>
                  <w:vAlign w:val="center"/>
                </w:tcPr>
                <w:p w14:paraId="61D1370D">
                  <w:pPr>
                    <w:pStyle w:val="9"/>
                    <w:adjustRightInd w:val="0"/>
                    <w:snapToGrid w:val="0"/>
                    <w:spacing w:line="240" w:lineRule="auto"/>
                    <w:jc w:val="center"/>
                    <w:rPr>
                      <w:rFonts w:ascii="Times New Roman" w:hAnsi="Times New Roman"/>
                      <w:b/>
                      <w:sz w:val="21"/>
                      <w:szCs w:val="21"/>
                    </w:rPr>
                  </w:pPr>
                </w:p>
              </w:tc>
              <w:tc>
                <w:tcPr>
                  <w:tcW w:w="954" w:type="pct"/>
                  <w:vMerge w:val="continue"/>
                  <w:vAlign w:val="center"/>
                </w:tcPr>
                <w:p w14:paraId="65C03F44">
                  <w:pPr>
                    <w:pStyle w:val="9"/>
                    <w:adjustRightInd w:val="0"/>
                    <w:snapToGrid w:val="0"/>
                    <w:spacing w:line="240" w:lineRule="auto"/>
                    <w:jc w:val="center"/>
                    <w:rPr>
                      <w:rFonts w:ascii="Times New Roman" w:hAnsi="Times New Roman"/>
                      <w:b/>
                      <w:sz w:val="21"/>
                      <w:szCs w:val="21"/>
                    </w:rPr>
                  </w:pPr>
                </w:p>
              </w:tc>
              <w:tc>
                <w:tcPr>
                  <w:tcW w:w="390" w:type="pct"/>
                  <w:vMerge w:val="continue"/>
                  <w:vAlign w:val="center"/>
                </w:tcPr>
                <w:p w14:paraId="33BE063B">
                  <w:pPr>
                    <w:pStyle w:val="9"/>
                    <w:adjustRightInd w:val="0"/>
                    <w:snapToGrid w:val="0"/>
                    <w:spacing w:line="240" w:lineRule="auto"/>
                    <w:jc w:val="center"/>
                    <w:rPr>
                      <w:rFonts w:ascii="Times New Roman" w:hAnsi="Times New Roman"/>
                      <w:b/>
                      <w:sz w:val="21"/>
                      <w:szCs w:val="21"/>
                    </w:rPr>
                  </w:pPr>
                </w:p>
              </w:tc>
              <w:tc>
                <w:tcPr>
                  <w:tcW w:w="396" w:type="pct"/>
                  <w:vMerge w:val="continue"/>
                  <w:vAlign w:val="center"/>
                </w:tcPr>
                <w:p w14:paraId="49933694">
                  <w:pPr>
                    <w:pStyle w:val="9"/>
                    <w:adjustRightInd w:val="0"/>
                    <w:snapToGrid w:val="0"/>
                    <w:spacing w:line="240" w:lineRule="auto"/>
                    <w:jc w:val="center"/>
                    <w:rPr>
                      <w:rFonts w:ascii="Times New Roman" w:hAnsi="Times New Roman"/>
                      <w:b/>
                      <w:sz w:val="21"/>
                      <w:szCs w:val="21"/>
                    </w:rPr>
                  </w:pPr>
                </w:p>
              </w:tc>
            </w:tr>
            <w:tr w14:paraId="1D674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07B00D58">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c>
                <w:tcPr>
                  <w:tcW w:w="655" w:type="pct"/>
                  <w:vAlign w:val="center"/>
                </w:tcPr>
                <w:p w14:paraId="7BFE7CC9">
                  <w:pPr>
                    <w:spacing w:line="240" w:lineRule="auto"/>
                    <w:jc w:val="center"/>
                    <w:rPr>
                      <w:rFonts w:hint="default" w:eastAsia="仿宋"/>
                      <w:sz w:val="21"/>
                      <w:szCs w:val="21"/>
                      <w:lang w:val="en-US" w:eastAsia="zh-CN"/>
                    </w:rPr>
                  </w:pPr>
                  <w:r>
                    <w:rPr>
                      <w:rFonts w:hint="eastAsia"/>
                      <w:sz w:val="21"/>
                      <w:szCs w:val="21"/>
                      <w:lang w:val="en-US" w:eastAsia="zh-CN"/>
                    </w:rPr>
                    <w:t>新安村</w:t>
                  </w:r>
                </w:p>
              </w:tc>
              <w:tc>
                <w:tcPr>
                  <w:tcW w:w="447" w:type="pct"/>
                  <w:vAlign w:val="center"/>
                </w:tcPr>
                <w:p w14:paraId="370B0C6A">
                  <w:pPr>
                    <w:pStyle w:val="9"/>
                    <w:adjustRightInd w:val="0"/>
                    <w:snapToGrid w:val="0"/>
                    <w:spacing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-184</w:t>
                  </w:r>
                </w:p>
              </w:tc>
              <w:tc>
                <w:tcPr>
                  <w:tcW w:w="424" w:type="pct"/>
                  <w:vAlign w:val="center"/>
                </w:tcPr>
                <w:p w14:paraId="572E80CF">
                  <w:pPr>
                    <w:pStyle w:val="9"/>
                    <w:adjustRightInd w:val="0"/>
                    <w:snapToGrid w:val="0"/>
                    <w:spacing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39</w:t>
                  </w:r>
                </w:p>
              </w:tc>
              <w:tc>
                <w:tcPr>
                  <w:tcW w:w="521" w:type="pct"/>
                  <w:vAlign w:val="center"/>
                </w:tcPr>
                <w:p w14:paraId="4879ED59">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居住区</w:t>
                  </w:r>
                </w:p>
              </w:tc>
              <w:tc>
                <w:tcPr>
                  <w:tcW w:w="407" w:type="pct"/>
                  <w:vAlign w:val="center"/>
                </w:tcPr>
                <w:p w14:paraId="1C03F753">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人群</w:t>
                  </w:r>
                </w:p>
              </w:tc>
              <w:tc>
                <w:tcPr>
                  <w:tcW w:w="512" w:type="pct"/>
                  <w:vAlign w:val="center"/>
                </w:tcPr>
                <w:p w14:paraId="5F0E150F">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二类区</w:t>
                  </w:r>
                </w:p>
              </w:tc>
              <w:tc>
                <w:tcPr>
                  <w:tcW w:w="954" w:type="pct"/>
                  <w:vAlign w:val="center"/>
                </w:tcPr>
                <w:p w14:paraId="09927B88">
                  <w:pPr>
                    <w:pStyle w:val="9"/>
                    <w:adjustRightInd w:val="0"/>
                    <w:snapToGrid w:val="0"/>
                    <w:spacing w:line="240" w:lineRule="auto"/>
                    <w:jc w:val="center"/>
                    <w:rPr>
                      <w:rFonts w:ascii="Times New Roman" w:hAnsi="Times New Roman"/>
                      <w:sz w:val="21"/>
                      <w:szCs w:val="21"/>
                    </w:rPr>
                  </w:pPr>
                  <w:r>
                    <w:rPr>
                      <w:rFonts w:hint="eastAsia" w:ascii="Times New Roman" w:hAnsi="Times New Roman"/>
                      <w:sz w:val="21"/>
                      <w:szCs w:val="21"/>
                      <w:lang w:val="en-US" w:eastAsia="zh-CN"/>
                    </w:rPr>
                    <w:t>10</w:t>
                  </w:r>
                  <w:r>
                    <w:rPr>
                      <w:rFonts w:ascii="Times New Roman" w:hAnsi="Times New Roman"/>
                      <w:sz w:val="21"/>
                      <w:szCs w:val="21"/>
                    </w:rPr>
                    <w:t>户/</w:t>
                  </w:r>
                  <w:r>
                    <w:rPr>
                      <w:rFonts w:hint="eastAsia" w:ascii="Times New Roman" w:hAnsi="Times New Roman"/>
                      <w:sz w:val="21"/>
                      <w:szCs w:val="21"/>
                      <w:lang w:val="en-US" w:eastAsia="zh-CN"/>
                    </w:rPr>
                    <w:t>30</w:t>
                  </w:r>
                  <w:r>
                    <w:rPr>
                      <w:rFonts w:ascii="Times New Roman" w:hAnsi="Times New Roman"/>
                      <w:sz w:val="21"/>
                      <w:szCs w:val="21"/>
                    </w:rPr>
                    <w:t>人</w:t>
                  </w:r>
                </w:p>
              </w:tc>
              <w:tc>
                <w:tcPr>
                  <w:tcW w:w="390" w:type="pct"/>
                  <w:vAlign w:val="center"/>
                </w:tcPr>
                <w:p w14:paraId="2F3B97D2">
                  <w:pPr>
                    <w:spacing w:line="240" w:lineRule="auto"/>
                    <w:jc w:val="center"/>
                    <w:rPr>
                      <w:rFonts w:hint="default" w:eastAsia="仿宋"/>
                      <w:sz w:val="21"/>
                      <w:szCs w:val="21"/>
                      <w:lang w:val="en-US" w:eastAsia="zh-CN"/>
                    </w:rPr>
                  </w:pPr>
                  <w:r>
                    <w:rPr>
                      <w:rFonts w:hint="eastAsia"/>
                      <w:sz w:val="21"/>
                      <w:szCs w:val="21"/>
                      <w:lang w:val="en-US" w:eastAsia="zh-CN"/>
                    </w:rPr>
                    <w:t>NW</w:t>
                  </w:r>
                </w:p>
              </w:tc>
              <w:tc>
                <w:tcPr>
                  <w:tcW w:w="396" w:type="pct"/>
                  <w:vAlign w:val="center"/>
                </w:tcPr>
                <w:p w14:paraId="18D9841F">
                  <w:pPr>
                    <w:spacing w:line="240" w:lineRule="auto"/>
                    <w:jc w:val="center"/>
                    <w:rPr>
                      <w:rFonts w:hint="default" w:eastAsia="仿宋"/>
                      <w:sz w:val="21"/>
                      <w:szCs w:val="21"/>
                      <w:lang w:val="en-US" w:eastAsia="zh-CN"/>
                    </w:rPr>
                  </w:pPr>
                  <w:r>
                    <w:rPr>
                      <w:rFonts w:hint="eastAsia"/>
                      <w:sz w:val="21"/>
                      <w:szCs w:val="21"/>
                      <w:lang w:val="en-US" w:eastAsia="zh-CN"/>
                    </w:rPr>
                    <w:t>190</w:t>
                  </w:r>
                </w:p>
              </w:tc>
            </w:tr>
            <w:tr w14:paraId="2FF97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743D7C08">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2</w:t>
                  </w:r>
                </w:p>
              </w:tc>
              <w:tc>
                <w:tcPr>
                  <w:tcW w:w="655" w:type="pct"/>
                  <w:vAlign w:val="center"/>
                </w:tcPr>
                <w:p w14:paraId="430870BE">
                  <w:pPr>
                    <w:spacing w:line="240" w:lineRule="auto"/>
                    <w:jc w:val="center"/>
                    <w:rPr>
                      <w:rFonts w:hint="default" w:eastAsia="仿宋"/>
                      <w:sz w:val="21"/>
                      <w:szCs w:val="21"/>
                      <w:lang w:val="en-US" w:eastAsia="zh-CN"/>
                    </w:rPr>
                  </w:pPr>
                  <w:r>
                    <w:rPr>
                      <w:rFonts w:hint="eastAsia"/>
                      <w:sz w:val="21"/>
                      <w:szCs w:val="21"/>
                      <w:lang w:val="en-US" w:eastAsia="zh-CN"/>
                    </w:rPr>
                    <w:t>前巷</w:t>
                  </w:r>
                </w:p>
              </w:tc>
              <w:tc>
                <w:tcPr>
                  <w:tcW w:w="447" w:type="pct"/>
                  <w:vAlign w:val="center"/>
                </w:tcPr>
                <w:p w14:paraId="04C26955">
                  <w:pPr>
                    <w:pStyle w:val="9"/>
                    <w:adjustRightInd w:val="0"/>
                    <w:snapToGrid w:val="0"/>
                    <w:spacing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rPr>
                    <w:t>-</w:t>
                  </w:r>
                  <w:r>
                    <w:rPr>
                      <w:rFonts w:hint="eastAsia" w:ascii="Times New Roman" w:hAnsi="Times New Roman"/>
                      <w:sz w:val="21"/>
                      <w:szCs w:val="21"/>
                      <w:lang w:val="en-US" w:eastAsia="zh-CN"/>
                    </w:rPr>
                    <w:t>242</w:t>
                  </w:r>
                </w:p>
              </w:tc>
              <w:tc>
                <w:tcPr>
                  <w:tcW w:w="424" w:type="pct"/>
                  <w:vAlign w:val="center"/>
                </w:tcPr>
                <w:p w14:paraId="6F403EAD">
                  <w:pPr>
                    <w:pStyle w:val="9"/>
                    <w:adjustRightInd w:val="0"/>
                    <w:snapToGrid w:val="0"/>
                    <w:spacing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-172</w:t>
                  </w:r>
                </w:p>
              </w:tc>
              <w:tc>
                <w:tcPr>
                  <w:tcW w:w="521" w:type="pct"/>
                  <w:vAlign w:val="center"/>
                </w:tcPr>
                <w:p w14:paraId="2E6A127A">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居住区</w:t>
                  </w:r>
                </w:p>
              </w:tc>
              <w:tc>
                <w:tcPr>
                  <w:tcW w:w="407" w:type="pct"/>
                  <w:vAlign w:val="center"/>
                </w:tcPr>
                <w:p w14:paraId="6C940626">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人群</w:t>
                  </w:r>
                </w:p>
              </w:tc>
              <w:tc>
                <w:tcPr>
                  <w:tcW w:w="512" w:type="pct"/>
                  <w:vAlign w:val="center"/>
                </w:tcPr>
                <w:p w14:paraId="4CBDD806">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二类区</w:t>
                  </w:r>
                </w:p>
              </w:tc>
              <w:tc>
                <w:tcPr>
                  <w:tcW w:w="954" w:type="pct"/>
                  <w:vAlign w:val="center"/>
                </w:tcPr>
                <w:p w14:paraId="50085B69">
                  <w:pPr>
                    <w:spacing w:line="240" w:lineRule="auto"/>
                    <w:jc w:val="center"/>
                    <w:rPr>
                      <w:rFonts w:ascii="Times New Roman" w:hAnsi="Times New Roman"/>
                      <w:sz w:val="21"/>
                      <w:szCs w:val="21"/>
                    </w:rPr>
                  </w:pPr>
                  <w:r>
                    <w:rPr>
                      <w:rFonts w:hint="eastAsia"/>
                      <w:sz w:val="21"/>
                      <w:szCs w:val="21"/>
                      <w:lang w:val="en-US" w:eastAsia="zh-CN"/>
                    </w:rPr>
                    <w:t>50</w:t>
                  </w:r>
                  <w:r>
                    <w:rPr>
                      <w:sz w:val="21"/>
                      <w:szCs w:val="21"/>
                    </w:rPr>
                    <w:t>户/</w:t>
                  </w:r>
                  <w:r>
                    <w:rPr>
                      <w:rFonts w:hint="eastAsia"/>
                      <w:sz w:val="21"/>
                      <w:szCs w:val="21"/>
                      <w:lang w:val="en-US" w:eastAsia="zh-CN"/>
                    </w:rPr>
                    <w:t>120</w:t>
                  </w:r>
                  <w:r>
                    <w:rPr>
                      <w:sz w:val="21"/>
                      <w:szCs w:val="21"/>
                    </w:rPr>
                    <w:t>人</w:t>
                  </w:r>
                </w:p>
              </w:tc>
              <w:tc>
                <w:tcPr>
                  <w:tcW w:w="390" w:type="pct"/>
                  <w:vAlign w:val="center"/>
                </w:tcPr>
                <w:p w14:paraId="226020F1">
                  <w:pPr>
                    <w:spacing w:line="240" w:lineRule="auto"/>
                    <w:jc w:val="center"/>
                    <w:rPr>
                      <w:sz w:val="21"/>
                      <w:szCs w:val="21"/>
                    </w:rPr>
                  </w:pPr>
                  <w:r>
                    <w:rPr>
                      <w:rFonts w:hint="eastAsia"/>
                      <w:sz w:val="21"/>
                      <w:szCs w:val="21"/>
                      <w:lang w:val="en-US" w:eastAsia="zh-CN"/>
                    </w:rPr>
                    <w:t>SW</w:t>
                  </w:r>
                </w:p>
              </w:tc>
              <w:tc>
                <w:tcPr>
                  <w:tcW w:w="396" w:type="pct"/>
                  <w:vAlign w:val="center"/>
                </w:tcPr>
                <w:p w14:paraId="1EC0B8FB">
                  <w:pPr>
                    <w:spacing w:line="240" w:lineRule="auto"/>
                    <w:jc w:val="center"/>
                    <w:rPr>
                      <w:rFonts w:hint="default" w:eastAsia="仿宋"/>
                      <w:sz w:val="21"/>
                      <w:szCs w:val="21"/>
                      <w:lang w:val="en-US" w:eastAsia="zh-CN"/>
                    </w:rPr>
                  </w:pPr>
                  <w:r>
                    <w:rPr>
                      <w:rFonts w:hint="eastAsia"/>
                      <w:sz w:val="21"/>
                      <w:szCs w:val="21"/>
                      <w:lang w:val="en-US" w:eastAsia="zh-CN"/>
                    </w:rPr>
                    <w:t>289</w:t>
                  </w:r>
                </w:p>
              </w:tc>
            </w:tr>
            <w:tr w14:paraId="21E9D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7B642C35">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c>
                <w:tcPr>
                  <w:tcW w:w="655" w:type="pct"/>
                  <w:vAlign w:val="center"/>
                </w:tcPr>
                <w:p w14:paraId="477A911B">
                  <w:pPr>
                    <w:spacing w:line="240" w:lineRule="auto"/>
                    <w:jc w:val="center"/>
                    <w:rPr>
                      <w:sz w:val="21"/>
                      <w:szCs w:val="21"/>
                    </w:rPr>
                  </w:pPr>
                  <w:r>
                    <w:rPr>
                      <w:rFonts w:hint="eastAsia"/>
                      <w:sz w:val="21"/>
                      <w:szCs w:val="21"/>
                      <w:lang w:val="en-US" w:eastAsia="zh-CN"/>
                    </w:rPr>
                    <w:t>范家村</w:t>
                  </w:r>
                </w:p>
              </w:tc>
              <w:tc>
                <w:tcPr>
                  <w:tcW w:w="447" w:type="pct"/>
                  <w:vAlign w:val="center"/>
                </w:tcPr>
                <w:p w14:paraId="5458F9AE">
                  <w:pPr>
                    <w:pStyle w:val="9"/>
                    <w:adjustRightInd w:val="0"/>
                    <w:snapToGrid w:val="0"/>
                    <w:spacing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196</w:t>
                  </w:r>
                </w:p>
              </w:tc>
              <w:tc>
                <w:tcPr>
                  <w:tcW w:w="424" w:type="pct"/>
                  <w:vAlign w:val="center"/>
                </w:tcPr>
                <w:p w14:paraId="00E0D973">
                  <w:pPr>
                    <w:pStyle w:val="9"/>
                    <w:adjustRightInd w:val="0"/>
                    <w:snapToGrid w:val="0"/>
                    <w:spacing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383</w:t>
                  </w:r>
                </w:p>
              </w:tc>
              <w:tc>
                <w:tcPr>
                  <w:tcW w:w="521" w:type="pct"/>
                  <w:vAlign w:val="center"/>
                </w:tcPr>
                <w:p w14:paraId="79BD148B">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居住区</w:t>
                  </w:r>
                </w:p>
              </w:tc>
              <w:tc>
                <w:tcPr>
                  <w:tcW w:w="407" w:type="pct"/>
                  <w:vAlign w:val="center"/>
                </w:tcPr>
                <w:p w14:paraId="539FA9CE">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人群</w:t>
                  </w:r>
                </w:p>
              </w:tc>
              <w:tc>
                <w:tcPr>
                  <w:tcW w:w="512" w:type="pct"/>
                  <w:vAlign w:val="center"/>
                </w:tcPr>
                <w:p w14:paraId="5C2D20F9">
                  <w:pPr>
                    <w:pStyle w:val="9"/>
                    <w:adjustRightInd w:val="0"/>
                    <w:snapToGrid w:val="0"/>
                    <w:spacing w:line="240" w:lineRule="auto"/>
                    <w:jc w:val="center"/>
                    <w:rPr>
                      <w:rFonts w:ascii="Times New Roman" w:hAnsi="Times New Roman"/>
                      <w:sz w:val="21"/>
                      <w:szCs w:val="21"/>
                    </w:rPr>
                  </w:pPr>
                  <w:r>
                    <w:rPr>
                      <w:rFonts w:ascii="Times New Roman" w:hAnsi="Times New Roman"/>
                      <w:sz w:val="21"/>
                      <w:szCs w:val="21"/>
                    </w:rPr>
                    <w:t>二类区</w:t>
                  </w:r>
                </w:p>
              </w:tc>
              <w:tc>
                <w:tcPr>
                  <w:tcW w:w="954" w:type="pct"/>
                  <w:vAlign w:val="center"/>
                </w:tcPr>
                <w:p w14:paraId="3C793D2B">
                  <w:pPr>
                    <w:spacing w:line="240" w:lineRule="auto"/>
                    <w:jc w:val="center"/>
                    <w:rPr>
                      <w:sz w:val="21"/>
                      <w:szCs w:val="21"/>
                    </w:rPr>
                  </w:pPr>
                  <w:r>
                    <w:rPr>
                      <w:rFonts w:hint="eastAsia"/>
                      <w:sz w:val="21"/>
                      <w:szCs w:val="21"/>
                      <w:lang w:val="en-US" w:eastAsia="zh-CN"/>
                    </w:rPr>
                    <w:t>3</w:t>
                  </w:r>
                  <w:r>
                    <w:rPr>
                      <w:sz w:val="21"/>
                      <w:szCs w:val="21"/>
                    </w:rPr>
                    <w:t>0户/</w:t>
                  </w:r>
                  <w:r>
                    <w:rPr>
                      <w:rFonts w:hint="eastAsia"/>
                      <w:sz w:val="21"/>
                      <w:szCs w:val="21"/>
                      <w:lang w:val="en-US" w:eastAsia="zh-CN"/>
                    </w:rPr>
                    <w:t>9</w:t>
                  </w:r>
                  <w:r>
                    <w:rPr>
                      <w:sz w:val="21"/>
                      <w:szCs w:val="21"/>
                    </w:rPr>
                    <w:t>0人</w:t>
                  </w:r>
                </w:p>
              </w:tc>
              <w:tc>
                <w:tcPr>
                  <w:tcW w:w="390" w:type="pct"/>
                  <w:vAlign w:val="center"/>
                </w:tcPr>
                <w:p w14:paraId="3490ACB9">
                  <w:pPr>
                    <w:spacing w:line="240" w:lineRule="auto"/>
                    <w:jc w:val="center"/>
                    <w:rPr>
                      <w:rFonts w:hint="eastAsia" w:eastAsia="仿宋"/>
                      <w:sz w:val="21"/>
                      <w:szCs w:val="21"/>
                      <w:lang w:eastAsia="zh-CN"/>
                    </w:rPr>
                  </w:pPr>
                  <w:r>
                    <w:rPr>
                      <w:rFonts w:hint="eastAsia"/>
                      <w:sz w:val="21"/>
                      <w:szCs w:val="21"/>
                      <w:lang w:val="en-US" w:eastAsia="zh-CN"/>
                    </w:rPr>
                    <w:t>NE</w:t>
                  </w:r>
                </w:p>
              </w:tc>
              <w:tc>
                <w:tcPr>
                  <w:tcW w:w="396" w:type="pct"/>
                  <w:vAlign w:val="center"/>
                </w:tcPr>
                <w:p w14:paraId="0B46AE3F">
                  <w:pPr>
                    <w:spacing w:line="240" w:lineRule="auto"/>
                    <w:jc w:val="center"/>
                    <w:rPr>
                      <w:rFonts w:hint="default" w:eastAsia="仿宋"/>
                      <w:sz w:val="21"/>
                      <w:szCs w:val="21"/>
                      <w:lang w:val="en-US" w:eastAsia="zh-CN"/>
                    </w:rPr>
                  </w:pPr>
                  <w:r>
                    <w:rPr>
                      <w:rFonts w:hint="eastAsia"/>
                      <w:sz w:val="21"/>
                      <w:szCs w:val="21"/>
                      <w:lang w:val="en-US" w:eastAsia="zh-CN"/>
                    </w:rPr>
                    <w:t>436</w:t>
                  </w:r>
                </w:p>
              </w:tc>
            </w:tr>
            <w:tr w14:paraId="5F92F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13A69C8B">
                  <w:pPr>
                    <w:pStyle w:val="9"/>
                    <w:adjustRightInd w:val="0"/>
                    <w:snapToGrid w:val="0"/>
                    <w:spacing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w:t>
                  </w:r>
                </w:p>
              </w:tc>
              <w:tc>
                <w:tcPr>
                  <w:tcW w:w="655" w:type="pct"/>
                  <w:vAlign w:val="center"/>
                </w:tcPr>
                <w:p w14:paraId="6850FD06">
                  <w:pPr>
                    <w:spacing w:line="240" w:lineRule="auto"/>
                    <w:jc w:val="center"/>
                    <w:rPr>
                      <w:rFonts w:hint="default"/>
                      <w:sz w:val="21"/>
                      <w:szCs w:val="21"/>
                      <w:lang w:val="en-US" w:eastAsia="zh-CN"/>
                    </w:rPr>
                  </w:pPr>
                  <w:r>
                    <w:rPr>
                      <w:rFonts w:hint="eastAsia"/>
                      <w:sz w:val="21"/>
                      <w:szCs w:val="21"/>
                      <w:lang w:val="en-US" w:eastAsia="zh-CN"/>
                    </w:rPr>
                    <w:t>时家村</w:t>
                  </w:r>
                </w:p>
              </w:tc>
              <w:tc>
                <w:tcPr>
                  <w:tcW w:w="447" w:type="pct"/>
                  <w:vAlign w:val="center"/>
                </w:tcPr>
                <w:p w14:paraId="4DF22CCF">
                  <w:pPr>
                    <w:pStyle w:val="9"/>
                    <w:adjustRightInd w:val="0"/>
                    <w:snapToGrid w:val="0"/>
                    <w:spacing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-400</w:t>
                  </w:r>
                </w:p>
              </w:tc>
              <w:tc>
                <w:tcPr>
                  <w:tcW w:w="424" w:type="pct"/>
                  <w:vAlign w:val="center"/>
                </w:tcPr>
                <w:p w14:paraId="53D568E9">
                  <w:pPr>
                    <w:pStyle w:val="9"/>
                    <w:adjustRightInd w:val="0"/>
                    <w:snapToGrid w:val="0"/>
                    <w:spacing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269</w:t>
                  </w:r>
                </w:p>
              </w:tc>
              <w:tc>
                <w:tcPr>
                  <w:tcW w:w="521" w:type="pct"/>
                  <w:shd w:val="clear" w:color="auto" w:fill="auto"/>
                  <w:vAlign w:val="center"/>
                </w:tcPr>
                <w:p w14:paraId="2B057FB0">
                  <w:pPr>
                    <w:pStyle w:val="9"/>
                    <w:adjustRightInd w:val="0"/>
                    <w:snapToGrid w:val="0"/>
                    <w:spacing w:line="240" w:lineRule="auto"/>
                    <w:jc w:val="center"/>
                    <w:rPr>
                      <w:rFonts w:ascii="Times New Roman" w:hAnsi="Times New Roman" w:eastAsia="仿宋" w:cs="Times New Roman"/>
                      <w:kern w:val="2"/>
                      <w:sz w:val="21"/>
                      <w:szCs w:val="21"/>
                      <w:lang w:val="en-US" w:eastAsia="zh-CN" w:bidi="ar-SA"/>
                    </w:rPr>
                  </w:pPr>
                  <w:r>
                    <w:rPr>
                      <w:rFonts w:ascii="Times New Roman" w:hAnsi="Times New Roman"/>
                      <w:sz w:val="21"/>
                      <w:szCs w:val="21"/>
                    </w:rPr>
                    <w:t>居住区</w:t>
                  </w:r>
                </w:p>
              </w:tc>
              <w:tc>
                <w:tcPr>
                  <w:tcW w:w="407" w:type="pct"/>
                  <w:shd w:val="clear" w:color="auto" w:fill="auto"/>
                  <w:vAlign w:val="center"/>
                </w:tcPr>
                <w:p w14:paraId="4125E4BA">
                  <w:pPr>
                    <w:pStyle w:val="9"/>
                    <w:adjustRightInd w:val="0"/>
                    <w:snapToGrid w:val="0"/>
                    <w:spacing w:line="240" w:lineRule="auto"/>
                    <w:jc w:val="center"/>
                    <w:rPr>
                      <w:rFonts w:ascii="Times New Roman" w:hAnsi="Times New Roman" w:eastAsia="仿宋" w:cs="Times New Roman"/>
                      <w:kern w:val="2"/>
                      <w:sz w:val="21"/>
                      <w:szCs w:val="21"/>
                      <w:lang w:val="en-US" w:eastAsia="zh-CN" w:bidi="ar-SA"/>
                    </w:rPr>
                  </w:pPr>
                  <w:r>
                    <w:rPr>
                      <w:rFonts w:ascii="Times New Roman" w:hAnsi="Times New Roman"/>
                      <w:sz w:val="21"/>
                      <w:szCs w:val="21"/>
                    </w:rPr>
                    <w:t>人群</w:t>
                  </w:r>
                </w:p>
              </w:tc>
              <w:tc>
                <w:tcPr>
                  <w:tcW w:w="512" w:type="pct"/>
                  <w:shd w:val="clear" w:color="auto" w:fill="auto"/>
                  <w:vAlign w:val="center"/>
                </w:tcPr>
                <w:p w14:paraId="654151C9">
                  <w:pPr>
                    <w:pStyle w:val="9"/>
                    <w:adjustRightInd w:val="0"/>
                    <w:snapToGrid w:val="0"/>
                    <w:spacing w:line="240" w:lineRule="auto"/>
                    <w:jc w:val="center"/>
                    <w:rPr>
                      <w:rFonts w:ascii="Times New Roman" w:hAnsi="Times New Roman" w:eastAsia="仿宋" w:cs="Times New Roman"/>
                      <w:kern w:val="2"/>
                      <w:sz w:val="21"/>
                      <w:szCs w:val="21"/>
                      <w:lang w:val="en-US" w:eastAsia="zh-CN" w:bidi="ar-SA"/>
                    </w:rPr>
                  </w:pPr>
                  <w:r>
                    <w:rPr>
                      <w:rFonts w:ascii="Times New Roman" w:hAnsi="Times New Roman"/>
                      <w:sz w:val="21"/>
                      <w:szCs w:val="21"/>
                    </w:rPr>
                    <w:t>二类区</w:t>
                  </w:r>
                </w:p>
              </w:tc>
              <w:tc>
                <w:tcPr>
                  <w:tcW w:w="954" w:type="pct"/>
                  <w:shd w:val="clear" w:color="auto" w:fill="auto"/>
                  <w:vAlign w:val="center"/>
                </w:tcPr>
                <w:p w14:paraId="1D0067C5">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22</w:t>
                  </w:r>
                  <w:r>
                    <w:rPr>
                      <w:sz w:val="21"/>
                      <w:szCs w:val="21"/>
                    </w:rPr>
                    <w:t>户/</w:t>
                  </w:r>
                  <w:r>
                    <w:rPr>
                      <w:rFonts w:hint="eastAsia"/>
                      <w:sz w:val="21"/>
                      <w:szCs w:val="21"/>
                      <w:lang w:val="en-US" w:eastAsia="zh-CN"/>
                    </w:rPr>
                    <w:t>50</w:t>
                  </w:r>
                  <w:r>
                    <w:rPr>
                      <w:sz w:val="21"/>
                      <w:szCs w:val="21"/>
                    </w:rPr>
                    <w:t>人</w:t>
                  </w:r>
                </w:p>
              </w:tc>
              <w:tc>
                <w:tcPr>
                  <w:tcW w:w="390" w:type="pct"/>
                  <w:shd w:val="clear" w:color="auto" w:fill="auto"/>
                  <w:vAlign w:val="center"/>
                </w:tcPr>
                <w:p w14:paraId="6C6CBD3F">
                  <w:pPr>
                    <w:spacing w:line="240" w:lineRule="auto"/>
                    <w:jc w:val="center"/>
                    <w:rPr>
                      <w:rFonts w:hint="eastAsia"/>
                      <w:sz w:val="21"/>
                      <w:szCs w:val="21"/>
                      <w:lang w:val="en-US" w:eastAsia="zh-CN"/>
                    </w:rPr>
                  </w:pPr>
                  <w:r>
                    <w:rPr>
                      <w:rFonts w:hint="eastAsia"/>
                      <w:sz w:val="21"/>
                      <w:szCs w:val="21"/>
                      <w:lang w:val="en-US" w:eastAsia="zh-CN"/>
                    </w:rPr>
                    <w:t>NW</w:t>
                  </w:r>
                </w:p>
              </w:tc>
              <w:tc>
                <w:tcPr>
                  <w:tcW w:w="396" w:type="pct"/>
                  <w:shd w:val="clear" w:color="auto" w:fill="auto"/>
                  <w:vAlign w:val="center"/>
                </w:tcPr>
                <w:p w14:paraId="38445CA1">
                  <w:pPr>
                    <w:spacing w:line="240" w:lineRule="auto"/>
                    <w:jc w:val="center"/>
                    <w:rPr>
                      <w:rFonts w:hint="default"/>
                      <w:sz w:val="21"/>
                      <w:szCs w:val="21"/>
                      <w:lang w:val="en-US" w:eastAsia="zh-CN"/>
                    </w:rPr>
                  </w:pPr>
                  <w:r>
                    <w:rPr>
                      <w:rFonts w:hint="eastAsia"/>
                      <w:sz w:val="21"/>
                      <w:szCs w:val="21"/>
                      <w:lang w:val="en-US" w:eastAsia="zh-CN"/>
                    </w:rPr>
                    <w:t>480</w:t>
                  </w:r>
                </w:p>
              </w:tc>
            </w:tr>
          </w:tbl>
          <w:p w14:paraId="70257066">
            <w:pPr>
              <w:numPr>
                <w:ilvl w:val="0"/>
                <w:numId w:val="15"/>
              </w:numPr>
              <w:snapToGrid w:val="0"/>
              <w:spacing w:line="480" w:lineRule="exact"/>
              <w:ind w:firstLine="482" w:firstLineChars="200"/>
              <w:jc w:val="left"/>
              <w:rPr>
                <w:b/>
                <w:bCs/>
              </w:rPr>
            </w:pPr>
            <w:r>
              <w:rPr>
                <w:rFonts w:hint="eastAsia"/>
                <w:b/>
                <w:bCs/>
              </w:rPr>
              <w:t>地表水环境保护目标</w:t>
            </w:r>
          </w:p>
          <w:p w14:paraId="2F2D7CC8">
            <w:pPr>
              <w:pStyle w:val="2"/>
              <w:spacing w:before="0" w:after="0" w:line="480" w:lineRule="exact"/>
              <w:ind w:right="0" w:firstLine="480" w:firstLineChars="200"/>
              <w:rPr>
                <w:kern w:val="2"/>
                <w:sz w:val="24"/>
                <w:szCs w:val="24"/>
              </w:rPr>
            </w:pPr>
            <w:r>
              <w:rPr>
                <w:kern w:val="2"/>
                <w:sz w:val="24"/>
                <w:szCs w:val="24"/>
              </w:rPr>
              <w:t>本项目</w:t>
            </w:r>
            <w:r>
              <w:rPr>
                <w:rFonts w:hint="eastAsia"/>
                <w:kern w:val="2"/>
                <w:sz w:val="24"/>
                <w:szCs w:val="24"/>
              </w:rPr>
              <w:t>生活污水通过厂区内污水管网排入市政污水管网，接管至常州东方横山水处理有限公司，尾水排入三山港，三山港</w:t>
            </w:r>
            <w:r>
              <w:rPr>
                <w:rFonts w:hint="eastAsia"/>
                <w:kern w:val="2"/>
                <w:sz w:val="24"/>
                <w:szCs w:val="24"/>
                <w:lang w:val="en-US" w:eastAsia="zh-CN"/>
              </w:rPr>
              <w:t>紧邻</w:t>
            </w:r>
            <w:r>
              <w:rPr>
                <w:rFonts w:hint="eastAsia"/>
                <w:kern w:val="2"/>
                <w:sz w:val="24"/>
                <w:szCs w:val="24"/>
              </w:rPr>
              <w:t>本项目</w:t>
            </w:r>
            <w:r>
              <w:rPr>
                <w:rFonts w:hint="eastAsia"/>
                <w:kern w:val="2"/>
                <w:sz w:val="24"/>
                <w:szCs w:val="24"/>
                <w:lang w:val="en-US" w:eastAsia="zh-CN"/>
              </w:rPr>
              <w:t>所在地东厂界</w:t>
            </w:r>
            <w:r>
              <w:rPr>
                <w:kern w:val="2"/>
                <w:sz w:val="24"/>
                <w:szCs w:val="24"/>
              </w:rPr>
              <w:t>。</w:t>
            </w:r>
          </w:p>
          <w:p w14:paraId="6EBC0FDE">
            <w:pPr>
              <w:pStyle w:val="2"/>
              <w:spacing w:before="0" w:after="0" w:line="480" w:lineRule="exact"/>
              <w:ind w:right="0" w:firstLine="480" w:firstLineChars="200"/>
              <w:jc w:val="left"/>
            </w:pPr>
            <w:r>
              <w:rPr>
                <w:kern w:val="2"/>
                <w:sz w:val="24"/>
                <w:szCs w:val="24"/>
              </w:rPr>
              <w:t>本项目</w:t>
            </w:r>
            <w:r>
              <w:rPr>
                <w:rFonts w:hint="eastAsia"/>
                <w:kern w:val="2"/>
                <w:sz w:val="24"/>
                <w:szCs w:val="24"/>
              </w:rPr>
              <w:t>雨水经厂区内雨水管网直排进入本项目厂区</w:t>
            </w:r>
            <w:r>
              <w:rPr>
                <w:rFonts w:hint="eastAsia"/>
                <w:kern w:val="2"/>
                <w:sz w:val="24"/>
                <w:szCs w:val="24"/>
                <w:lang w:val="en-US" w:eastAsia="zh-CN"/>
              </w:rPr>
              <w:t>北</w:t>
            </w:r>
            <w:r>
              <w:rPr>
                <w:rFonts w:hint="eastAsia"/>
                <w:kern w:val="2"/>
                <w:sz w:val="24"/>
                <w:szCs w:val="24"/>
              </w:rPr>
              <w:t>侧的</w:t>
            </w:r>
            <w:r>
              <w:rPr>
                <w:rFonts w:hint="eastAsia"/>
                <w:kern w:val="2"/>
                <w:sz w:val="24"/>
                <w:szCs w:val="24"/>
                <w:lang w:val="en-US" w:eastAsia="zh-CN"/>
              </w:rPr>
              <w:t>时家</w:t>
            </w:r>
            <w:r>
              <w:rPr>
                <w:rFonts w:hint="eastAsia"/>
                <w:kern w:val="2"/>
                <w:sz w:val="24"/>
                <w:szCs w:val="24"/>
              </w:rPr>
              <w:t>河</w:t>
            </w:r>
            <w:r>
              <w:rPr>
                <w:kern w:val="2"/>
                <w:sz w:val="24"/>
                <w:szCs w:val="24"/>
              </w:rPr>
              <w:t>。</w:t>
            </w:r>
          </w:p>
          <w:p w14:paraId="621ACAD0">
            <w:pPr>
              <w:snapToGrid w:val="0"/>
              <w:spacing w:line="480" w:lineRule="exact"/>
              <w:ind w:firstLine="482" w:firstLineChars="200"/>
              <w:jc w:val="left"/>
              <w:rPr>
                <w:b/>
                <w:bCs/>
              </w:rPr>
            </w:pPr>
            <w:r>
              <w:rPr>
                <w:b/>
                <w:bCs/>
              </w:rPr>
              <w:t>2、声环境保护目标</w:t>
            </w:r>
          </w:p>
          <w:p w14:paraId="5C21CFFB">
            <w:pPr>
              <w:pStyle w:val="2"/>
              <w:spacing w:before="0" w:after="0" w:line="480" w:lineRule="exact"/>
              <w:ind w:right="0" w:firstLine="480" w:firstLineChars="200"/>
              <w:jc w:val="left"/>
              <w:rPr>
                <w:kern w:val="2"/>
                <w:sz w:val="24"/>
                <w:szCs w:val="24"/>
              </w:rPr>
            </w:pPr>
            <w:r>
              <w:rPr>
                <w:kern w:val="2"/>
                <w:sz w:val="24"/>
                <w:szCs w:val="24"/>
              </w:rPr>
              <w:t>本项目厂界外50米范围内无声环境保护目标。</w:t>
            </w:r>
          </w:p>
          <w:p w14:paraId="125EC684">
            <w:pPr>
              <w:snapToGrid w:val="0"/>
              <w:spacing w:line="480" w:lineRule="exact"/>
              <w:ind w:firstLine="482" w:firstLineChars="200"/>
              <w:jc w:val="left"/>
              <w:rPr>
                <w:b/>
                <w:bCs/>
              </w:rPr>
            </w:pPr>
            <w:r>
              <w:rPr>
                <w:rFonts w:hint="eastAsia"/>
                <w:b/>
                <w:bCs/>
              </w:rPr>
              <w:t>3、</w:t>
            </w:r>
            <w:r>
              <w:rPr>
                <w:b/>
                <w:bCs/>
              </w:rPr>
              <w:t>地下水环境保护目标</w:t>
            </w:r>
          </w:p>
          <w:p w14:paraId="24853A0C">
            <w:pPr>
              <w:pStyle w:val="2"/>
              <w:spacing w:before="0" w:after="0" w:line="480" w:lineRule="exact"/>
              <w:ind w:right="0" w:firstLine="480" w:firstLineChars="200"/>
              <w:jc w:val="left"/>
              <w:rPr>
                <w:kern w:val="2"/>
                <w:sz w:val="24"/>
                <w:szCs w:val="24"/>
              </w:rPr>
            </w:pPr>
            <w:r>
              <w:rPr>
                <w:kern w:val="2"/>
                <w:sz w:val="24"/>
                <w:szCs w:val="24"/>
              </w:rPr>
              <w:t>本项目厂界外500米范围内无地下水集中式饮用水水源和热水、矿泉水、温泉等特殊地下水资源。</w:t>
            </w:r>
          </w:p>
          <w:p w14:paraId="65D12689">
            <w:pPr>
              <w:snapToGrid w:val="0"/>
              <w:spacing w:line="480" w:lineRule="exact"/>
              <w:ind w:firstLine="482" w:firstLineChars="200"/>
              <w:jc w:val="left"/>
              <w:rPr>
                <w:b/>
                <w:bCs/>
              </w:rPr>
            </w:pPr>
            <w:r>
              <w:rPr>
                <w:b/>
                <w:bCs/>
              </w:rPr>
              <w:t>4、生态环境保护目标</w:t>
            </w:r>
          </w:p>
          <w:p w14:paraId="3327F78C">
            <w:pPr>
              <w:pStyle w:val="2"/>
              <w:spacing w:before="0" w:after="0" w:line="480" w:lineRule="exact"/>
              <w:ind w:right="0" w:rightChars="0" w:firstLine="480" w:firstLineChars="200"/>
              <w:jc w:val="left"/>
              <w:rPr>
                <w:rFonts w:ascii="Times New Roman" w:hAnsi="Times New Roman" w:eastAsia="仿宋" w:cs="Times New Roman"/>
                <w:kern w:val="0"/>
                <w:sz w:val="18"/>
                <w:szCs w:val="21"/>
                <w:lang w:val="en-US" w:eastAsia="zh-CN" w:bidi="ar-SA"/>
              </w:rPr>
            </w:pPr>
            <w:r>
              <w:rPr>
                <w:kern w:val="2"/>
                <w:sz w:val="24"/>
                <w:szCs w:val="24"/>
              </w:rPr>
              <w:t>本项目用地范围内无生态环境保护目标。</w:t>
            </w:r>
          </w:p>
        </w:tc>
      </w:tr>
      <w:tr w14:paraId="1D1B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clear" w:color="auto" w:fill="auto"/>
            <w:vAlign w:val="center"/>
          </w:tcPr>
          <w:p w14:paraId="690F6901">
            <w:pPr>
              <w:adjustRightInd w:val="0"/>
              <w:snapToGrid w:val="0"/>
              <w:jc w:val="center"/>
              <w:rPr>
                <w:kern w:val="0"/>
                <w:szCs w:val="21"/>
              </w:rPr>
            </w:pPr>
            <w:r>
              <w:rPr>
                <w:kern w:val="0"/>
                <w:szCs w:val="21"/>
              </w:rPr>
              <w:t>污染</w:t>
            </w:r>
          </w:p>
          <w:p w14:paraId="3F4F5843">
            <w:pPr>
              <w:adjustRightInd w:val="0"/>
              <w:snapToGrid w:val="0"/>
              <w:jc w:val="center"/>
              <w:rPr>
                <w:kern w:val="0"/>
                <w:szCs w:val="21"/>
              </w:rPr>
            </w:pPr>
            <w:r>
              <w:rPr>
                <w:kern w:val="0"/>
                <w:szCs w:val="21"/>
              </w:rPr>
              <w:t>物排</w:t>
            </w:r>
          </w:p>
          <w:p w14:paraId="2FB3311C">
            <w:pPr>
              <w:adjustRightInd w:val="0"/>
              <w:snapToGrid w:val="0"/>
              <w:jc w:val="center"/>
              <w:rPr>
                <w:kern w:val="0"/>
                <w:szCs w:val="21"/>
              </w:rPr>
            </w:pPr>
            <w:r>
              <w:rPr>
                <w:kern w:val="0"/>
                <w:szCs w:val="21"/>
              </w:rPr>
              <w:t>放控</w:t>
            </w:r>
          </w:p>
          <w:p w14:paraId="63662139">
            <w:pPr>
              <w:adjustRightInd w:val="0"/>
              <w:snapToGrid w:val="0"/>
              <w:jc w:val="center"/>
              <w:rPr>
                <w:kern w:val="0"/>
                <w:szCs w:val="21"/>
              </w:rPr>
            </w:pPr>
            <w:r>
              <w:rPr>
                <w:kern w:val="0"/>
                <w:szCs w:val="21"/>
              </w:rPr>
              <w:t>制标</w:t>
            </w:r>
          </w:p>
          <w:p w14:paraId="4F7C3FE9">
            <w:pPr>
              <w:adjustRightInd w:val="0"/>
              <w:snapToGrid w:val="0"/>
              <w:jc w:val="center"/>
              <w:rPr>
                <w:kern w:val="0"/>
                <w:szCs w:val="21"/>
              </w:rPr>
            </w:pPr>
            <w:r>
              <w:rPr>
                <w:kern w:val="0"/>
                <w:szCs w:val="21"/>
              </w:rPr>
              <w:t>准</w:t>
            </w:r>
          </w:p>
        </w:tc>
        <w:tc>
          <w:tcPr>
            <w:tcW w:w="8640" w:type="dxa"/>
            <w:shd w:val="clear" w:color="auto" w:fill="auto"/>
            <w:vAlign w:val="top"/>
          </w:tcPr>
          <w:p w14:paraId="6F50E3B2">
            <w:pPr>
              <w:spacing w:line="480" w:lineRule="exact"/>
              <w:ind w:firstLine="482" w:firstLineChars="200"/>
            </w:pPr>
            <w:r>
              <w:rPr>
                <w:b/>
                <w:bCs/>
              </w:rPr>
              <w:t>1、水污染物排放标准</w:t>
            </w:r>
          </w:p>
          <w:p w14:paraId="291937B2">
            <w:pPr>
              <w:pStyle w:val="2"/>
              <w:spacing w:before="0" w:after="0" w:line="480" w:lineRule="exact"/>
              <w:ind w:right="0" w:firstLine="480" w:firstLineChars="200"/>
              <w:rPr>
                <w:kern w:val="2"/>
                <w:sz w:val="24"/>
                <w:szCs w:val="24"/>
              </w:rPr>
            </w:pPr>
            <w:r>
              <w:rPr>
                <w:kern w:val="2"/>
                <w:sz w:val="24"/>
                <w:szCs w:val="24"/>
              </w:rPr>
              <w:t>本项目生活污水接管至常州东方横山水处理有限公司进行处理，尾水排入三山港。项目接管标准执行《污水排入城镇下水道水质标准》（GB/T31962-2015）表1中B等级标准；常州东方横山水处理有限公司处理后尾水排入三山港，常州东方横山水处理有限公司尾水排放执行《太湖地区城镇污水处理厂及重点工业行业水污染物排放限值》（DB32/1072-2018）表2标准及《城镇污水处理厂污染物排放标准》（GB18918-2002）表1一级A标准</w:t>
            </w:r>
            <w:r>
              <w:rPr>
                <w:sz w:val="24"/>
                <w:szCs w:val="24"/>
              </w:rPr>
              <w:t>；</w:t>
            </w:r>
            <w:r>
              <w:rPr>
                <w:kern w:val="2"/>
                <w:sz w:val="24"/>
                <w:szCs w:val="24"/>
              </w:rPr>
              <w:t>常州东方横山水处理有限公司</w:t>
            </w:r>
            <w:r>
              <w:rPr>
                <w:sz w:val="24"/>
                <w:szCs w:val="24"/>
              </w:rPr>
              <w:t>排污口位于重点保护区域，自2026年3月28日起尾水排放标准执行《城镇污水处理厂污染物排放标准》（DB32/4440-2022）中表1</w:t>
            </w:r>
            <w:r>
              <w:rPr>
                <w:rFonts w:hint="eastAsia"/>
                <w:sz w:val="24"/>
                <w:szCs w:val="24"/>
                <w:lang w:val="en-US" w:eastAsia="zh-CN"/>
              </w:rPr>
              <w:t>C</w:t>
            </w:r>
            <w:r>
              <w:rPr>
                <w:sz w:val="24"/>
                <w:szCs w:val="24"/>
              </w:rPr>
              <w:t>标准</w:t>
            </w:r>
            <w:r>
              <w:rPr>
                <w:rFonts w:hint="eastAsia"/>
                <w:kern w:val="2"/>
                <w:sz w:val="24"/>
                <w:szCs w:val="24"/>
              </w:rPr>
              <w:t>相应标准限值</w:t>
            </w:r>
            <w:r>
              <w:rPr>
                <w:rFonts w:hint="eastAsia"/>
                <w:kern w:val="2"/>
                <w:sz w:val="24"/>
                <w:szCs w:val="24"/>
                <w:lang w:eastAsia="zh-CN"/>
              </w:rPr>
              <w:t>。</w:t>
            </w:r>
            <w:r>
              <w:rPr>
                <w:rFonts w:hint="eastAsia"/>
                <w:kern w:val="2"/>
                <w:sz w:val="24"/>
                <w:szCs w:val="24"/>
                <w:lang w:val="en-US" w:eastAsia="zh-CN"/>
              </w:rPr>
              <w:t>本项目间接冷却水循环使用，不外排</w:t>
            </w:r>
            <w:r>
              <w:rPr>
                <w:rFonts w:hint="eastAsia" w:ascii="Times New Roman" w:hAnsi="Times New Roman" w:cs="Times New Roman"/>
                <w:color w:val="auto"/>
                <w:kern w:val="2"/>
                <w:sz w:val="24"/>
                <w:szCs w:val="24"/>
                <w:lang w:val="en-US" w:eastAsia="zh-CN" w:bidi="ar-SA"/>
              </w:rPr>
              <w:t>，</w:t>
            </w:r>
            <w:r>
              <w:rPr>
                <w:kern w:val="2"/>
                <w:sz w:val="24"/>
                <w:szCs w:val="24"/>
              </w:rPr>
              <w:t>详见表3-</w:t>
            </w:r>
            <w:r>
              <w:rPr>
                <w:rFonts w:hint="eastAsia"/>
                <w:kern w:val="2"/>
                <w:sz w:val="24"/>
                <w:szCs w:val="24"/>
                <w:lang w:val="en-US" w:eastAsia="zh-CN"/>
              </w:rPr>
              <w:t>5</w:t>
            </w:r>
            <w:r>
              <w:rPr>
                <w:kern w:val="2"/>
                <w:sz w:val="24"/>
                <w:szCs w:val="24"/>
              </w:rPr>
              <w:t>。</w:t>
            </w:r>
          </w:p>
          <w:p w14:paraId="49ED4E23">
            <w:pPr>
              <w:pStyle w:val="51"/>
              <w:spacing w:before="0" w:beforeLines="0" w:line="240" w:lineRule="auto"/>
              <w:ind w:firstLine="0" w:firstLineChars="0"/>
              <w:jc w:val="center"/>
              <w:rPr>
                <w:rFonts w:cs="Times New Roman"/>
                <w:b/>
                <w:sz w:val="21"/>
                <w:szCs w:val="21"/>
              </w:rPr>
            </w:pPr>
            <w:r>
              <w:rPr>
                <w:rFonts w:cs="Times New Roman"/>
                <w:b/>
                <w:sz w:val="21"/>
                <w:szCs w:val="21"/>
              </w:rPr>
              <w:t>表3-</w:t>
            </w:r>
            <w:r>
              <w:rPr>
                <w:rFonts w:hint="eastAsia" w:cs="Times New Roman"/>
                <w:b/>
                <w:sz w:val="21"/>
                <w:szCs w:val="21"/>
                <w:lang w:val="en-US" w:eastAsia="zh-CN"/>
              </w:rPr>
              <w:t>5</w:t>
            </w:r>
            <w:r>
              <w:rPr>
                <w:rFonts w:cs="Times New Roman"/>
                <w:b/>
                <w:sz w:val="21"/>
                <w:szCs w:val="21"/>
              </w:rPr>
              <w:t xml:space="preserve"> </w:t>
            </w:r>
            <w:r>
              <w:rPr>
                <w:rFonts w:hint="eastAsia" w:cs="Times New Roman"/>
                <w:b/>
                <w:sz w:val="21"/>
                <w:szCs w:val="21"/>
              </w:rPr>
              <w:t xml:space="preserve"> </w:t>
            </w:r>
            <w:r>
              <w:rPr>
                <w:rFonts w:cs="Times New Roman"/>
                <w:b/>
                <w:sz w:val="21"/>
                <w:szCs w:val="21"/>
              </w:rPr>
              <w:t>废水接管及排放标准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969"/>
              <w:gridCol w:w="2229"/>
              <w:gridCol w:w="1112"/>
              <w:gridCol w:w="1277"/>
              <w:gridCol w:w="878"/>
              <w:gridCol w:w="1120"/>
            </w:tblGrid>
            <w:tr w14:paraId="3D66F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26B89D1C">
                  <w:pPr>
                    <w:spacing w:line="240" w:lineRule="auto"/>
                    <w:jc w:val="center"/>
                    <w:rPr>
                      <w:b/>
                      <w:bCs/>
                      <w:sz w:val="21"/>
                      <w:szCs w:val="21"/>
                    </w:rPr>
                  </w:pPr>
                  <w:r>
                    <w:rPr>
                      <w:b/>
                      <w:bCs/>
                      <w:sz w:val="21"/>
                      <w:szCs w:val="21"/>
                    </w:rPr>
                    <w:t>项目</w:t>
                  </w:r>
                </w:p>
              </w:tc>
              <w:tc>
                <w:tcPr>
                  <w:tcW w:w="1898" w:type="pct"/>
                  <w:gridSpan w:val="2"/>
                  <w:vAlign w:val="center"/>
                </w:tcPr>
                <w:p w14:paraId="1B8427FA">
                  <w:pPr>
                    <w:spacing w:line="240" w:lineRule="auto"/>
                    <w:jc w:val="center"/>
                    <w:rPr>
                      <w:b/>
                      <w:bCs/>
                      <w:sz w:val="21"/>
                      <w:szCs w:val="21"/>
                    </w:rPr>
                  </w:pPr>
                  <w:r>
                    <w:rPr>
                      <w:b/>
                      <w:bCs/>
                      <w:sz w:val="21"/>
                      <w:szCs w:val="21"/>
                    </w:rPr>
                    <w:t>执行标准</w:t>
                  </w:r>
                </w:p>
              </w:tc>
              <w:tc>
                <w:tcPr>
                  <w:tcW w:w="660" w:type="pct"/>
                  <w:vAlign w:val="center"/>
                </w:tcPr>
                <w:p w14:paraId="3625051E">
                  <w:pPr>
                    <w:spacing w:line="240" w:lineRule="auto"/>
                    <w:jc w:val="center"/>
                    <w:rPr>
                      <w:b/>
                      <w:bCs/>
                      <w:sz w:val="21"/>
                      <w:szCs w:val="21"/>
                    </w:rPr>
                  </w:pPr>
                  <w:r>
                    <w:rPr>
                      <w:b/>
                      <w:bCs/>
                      <w:sz w:val="21"/>
                      <w:szCs w:val="21"/>
                    </w:rPr>
                    <w:t>取值表号及级别</w:t>
                  </w:r>
                </w:p>
              </w:tc>
              <w:tc>
                <w:tcPr>
                  <w:tcW w:w="758" w:type="pct"/>
                  <w:vAlign w:val="center"/>
                </w:tcPr>
                <w:p w14:paraId="1783C474">
                  <w:pPr>
                    <w:spacing w:line="240" w:lineRule="auto"/>
                    <w:jc w:val="center"/>
                    <w:rPr>
                      <w:b/>
                      <w:bCs/>
                      <w:sz w:val="21"/>
                      <w:szCs w:val="21"/>
                    </w:rPr>
                  </w:pPr>
                  <w:r>
                    <w:rPr>
                      <w:b/>
                      <w:bCs/>
                      <w:sz w:val="21"/>
                      <w:szCs w:val="21"/>
                    </w:rPr>
                    <w:t>污染物名称</w:t>
                  </w:r>
                </w:p>
              </w:tc>
              <w:tc>
                <w:tcPr>
                  <w:tcW w:w="521" w:type="pct"/>
                  <w:vAlign w:val="center"/>
                </w:tcPr>
                <w:p w14:paraId="0F277DE5">
                  <w:pPr>
                    <w:spacing w:line="240" w:lineRule="auto"/>
                    <w:jc w:val="center"/>
                    <w:rPr>
                      <w:b/>
                      <w:bCs/>
                      <w:sz w:val="21"/>
                      <w:szCs w:val="21"/>
                    </w:rPr>
                  </w:pPr>
                  <w:r>
                    <w:rPr>
                      <w:b/>
                      <w:bCs/>
                      <w:sz w:val="21"/>
                      <w:szCs w:val="21"/>
                    </w:rPr>
                    <w:t>单位</w:t>
                  </w:r>
                </w:p>
              </w:tc>
              <w:tc>
                <w:tcPr>
                  <w:tcW w:w="665" w:type="pct"/>
                  <w:vAlign w:val="center"/>
                </w:tcPr>
                <w:p w14:paraId="256B008C">
                  <w:pPr>
                    <w:spacing w:line="240" w:lineRule="auto"/>
                    <w:jc w:val="center"/>
                    <w:rPr>
                      <w:b/>
                      <w:bCs/>
                      <w:sz w:val="21"/>
                      <w:szCs w:val="21"/>
                    </w:rPr>
                  </w:pPr>
                  <w:r>
                    <w:rPr>
                      <w:b/>
                      <w:bCs/>
                      <w:sz w:val="21"/>
                      <w:szCs w:val="21"/>
                    </w:rPr>
                    <w:t>浓度限值</w:t>
                  </w:r>
                </w:p>
              </w:tc>
            </w:tr>
            <w:tr w14:paraId="2B97B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restart"/>
                  <w:vAlign w:val="center"/>
                </w:tcPr>
                <w:p w14:paraId="55E90D55">
                  <w:pPr>
                    <w:spacing w:line="240" w:lineRule="auto"/>
                    <w:jc w:val="center"/>
                    <w:rPr>
                      <w:sz w:val="21"/>
                      <w:szCs w:val="21"/>
                    </w:rPr>
                  </w:pPr>
                  <w:r>
                    <w:rPr>
                      <w:sz w:val="21"/>
                      <w:szCs w:val="21"/>
                    </w:rPr>
                    <w:t>项目污水接管口</w:t>
                  </w:r>
                </w:p>
              </w:tc>
              <w:tc>
                <w:tcPr>
                  <w:tcW w:w="575" w:type="pct"/>
                  <w:vMerge w:val="restart"/>
                  <w:vAlign w:val="center"/>
                </w:tcPr>
                <w:p w14:paraId="1750D558">
                  <w:pPr>
                    <w:spacing w:line="240" w:lineRule="auto"/>
                    <w:jc w:val="center"/>
                    <w:rPr>
                      <w:sz w:val="21"/>
                      <w:szCs w:val="21"/>
                    </w:rPr>
                  </w:pPr>
                  <w:r>
                    <w:rPr>
                      <w:sz w:val="21"/>
                      <w:szCs w:val="21"/>
                    </w:rPr>
                    <w:t>常州东方横山水处理有限公司接管标准</w:t>
                  </w:r>
                </w:p>
              </w:tc>
              <w:tc>
                <w:tcPr>
                  <w:tcW w:w="1323" w:type="pct"/>
                  <w:vMerge w:val="restart"/>
                  <w:vAlign w:val="center"/>
                </w:tcPr>
                <w:p w14:paraId="188E2D8E">
                  <w:pPr>
                    <w:spacing w:line="240" w:lineRule="auto"/>
                    <w:jc w:val="center"/>
                    <w:rPr>
                      <w:sz w:val="21"/>
                      <w:szCs w:val="21"/>
                    </w:rPr>
                  </w:pPr>
                  <w:r>
                    <w:rPr>
                      <w:sz w:val="21"/>
                      <w:szCs w:val="21"/>
                    </w:rPr>
                    <w:t>《污水排入城镇下水道水质标准》（GB/T31962-2015）</w:t>
                  </w:r>
                </w:p>
              </w:tc>
              <w:tc>
                <w:tcPr>
                  <w:tcW w:w="660" w:type="pct"/>
                  <w:vMerge w:val="restart"/>
                  <w:vAlign w:val="center"/>
                </w:tcPr>
                <w:p w14:paraId="4B5AAE98">
                  <w:pPr>
                    <w:spacing w:line="240" w:lineRule="auto"/>
                    <w:jc w:val="center"/>
                    <w:rPr>
                      <w:sz w:val="21"/>
                      <w:szCs w:val="21"/>
                    </w:rPr>
                  </w:pPr>
                  <w:r>
                    <w:rPr>
                      <w:sz w:val="21"/>
                      <w:szCs w:val="21"/>
                    </w:rPr>
                    <w:t>表1</w:t>
                  </w:r>
                </w:p>
                <w:p w14:paraId="07D2151B">
                  <w:pPr>
                    <w:spacing w:line="240" w:lineRule="auto"/>
                    <w:jc w:val="center"/>
                    <w:rPr>
                      <w:sz w:val="21"/>
                      <w:szCs w:val="21"/>
                    </w:rPr>
                  </w:pPr>
                  <w:r>
                    <w:rPr>
                      <w:sz w:val="21"/>
                      <w:szCs w:val="21"/>
                    </w:rPr>
                    <w:t>B等级</w:t>
                  </w:r>
                </w:p>
              </w:tc>
              <w:tc>
                <w:tcPr>
                  <w:tcW w:w="758" w:type="pct"/>
                  <w:vAlign w:val="center"/>
                </w:tcPr>
                <w:p w14:paraId="04989763">
                  <w:pPr>
                    <w:spacing w:line="240" w:lineRule="auto"/>
                    <w:jc w:val="center"/>
                    <w:rPr>
                      <w:sz w:val="21"/>
                      <w:szCs w:val="21"/>
                      <w:vertAlign w:val="subscript"/>
                    </w:rPr>
                  </w:pPr>
                  <w:r>
                    <w:rPr>
                      <w:sz w:val="21"/>
                      <w:szCs w:val="21"/>
                    </w:rPr>
                    <w:t>pH</w:t>
                  </w:r>
                </w:p>
              </w:tc>
              <w:tc>
                <w:tcPr>
                  <w:tcW w:w="521" w:type="pct"/>
                  <w:vAlign w:val="center"/>
                </w:tcPr>
                <w:p w14:paraId="6B6A56AA">
                  <w:pPr>
                    <w:spacing w:line="240" w:lineRule="auto"/>
                    <w:jc w:val="center"/>
                    <w:rPr>
                      <w:sz w:val="21"/>
                      <w:szCs w:val="21"/>
                      <w:vertAlign w:val="subscript"/>
                    </w:rPr>
                  </w:pPr>
                  <w:r>
                    <w:rPr>
                      <w:sz w:val="21"/>
                      <w:szCs w:val="21"/>
                    </w:rPr>
                    <w:t>无量纲</w:t>
                  </w:r>
                </w:p>
              </w:tc>
              <w:tc>
                <w:tcPr>
                  <w:tcW w:w="665" w:type="pct"/>
                  <w:vAlign w:val="center"/>
                </w:tcPr>
                <w:p w14:paraId="3571D313">
                  <w:pPr>
                    <w:spacing w:line="240" w:lineRule="auto"/>
                    <w:jc w:val="center"/>
                    <w:rPr>
                      <w:sz w:val="21"/>
                      <w:szCs w:val="21"/>
                    </w:rPr>
                  </w:pPr>
                  <w:r>
                    <w:rPr>
                      <w:sz w:val="21"/>
                      <w:szCs w:val="21"/>
                    </w:rPr>
                    <w:t>6.5～9.5</w:t>
                  </w:r>
                </w:p>
              </w:tc>
            </w:tr>
            <w:tr w14:paraId="5D54F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5CCBFF8E">
                  <w:pPr>
                    <w:spacing w:line="240" w:lineRule="auto"/>
                    <w:jc w:val="center"/>
                    <w:rPr>
                      <w:sz w:val="21"/>
                      <w:szCs w:val="21"/>
                    </w:rPr>
                  </w:pPr>
                </w:p>
              </w:tc>
              <w:tc>
                <w:tcPr>
                  <w:tcW w:w="575" w:type="pct"/>
                  <w:vMerge w:val="continue"/>
                  <w:vAlign w:val="center"/>
                </w:tcPr>
                <w:p w14:paraId="561C551B">
                  <w:pPr>
                    <w:spacing w:line="240" w:lineRule="auto"/>
                    <w:jc w:val="center"/>
                    <w:rPr>
                      <w:snapToGrid w:val="0"/>
                      <w:kern w:val="0"/>
                      <w:sz w:val="21"/>
                      <w:szCs w:val="21"/>
                    </w:rPr>
                  </w:pPr>
                </w:p>
              </w:tc>
              <w:tc>
                <w:tcPr>
                  <w:tcW w:w="1323" w:type="pct"/>
                  <w:vMerge w:val="continue"/>
                  <w:vAlign w:val="center"/>
                </w:tcPr>
                <w:p w14:paraId="75076E75">
                  <w:pPr>
                    <w:spacing w:line="240" w:lineRule="auto"/>
                    <w:jc w:val="center"/>
                    <w:rPr>
                      <w:snapToGrid w:val="0"/>
                      <w:kern w:val="0"/>
                      <w:sz w:val="21"/>
                      <w:szCs w:val="21"/>
                    </w:rPr>
                  </w:pPr>
                </w:p>
              </w:tc>
              <w:tc>
                <w:tcPr>
                  <w:tcW w:w="660" w:type="pct"/>
                  <w:vMerge w:val="continue"/>
                  <w:vAlign w:val="center"/>
                </w:tcPr>
                <w:p w14:paraId="6B7084B6">
                  <w:pPr>
                    <w:spacing w:line="240" w:lineRule="auto"/>
                    <w:jc w:val="center"/>
                    <w:rPr>
                      <w:sz w:val="21"/>
                      <w:szCs w:val="21"/>
                    </w:rPr>
                  </w:pPr>
                </w:p>
              </w:tc>
              <w:tc>
                <w:tcPr>
                  <w:tcW w:w="758" w:type="pct"/>
                  <w:vAlign w:val="center"/>
                </w:tcPr>
                <w:p w14:paraId="7978063A">
                  <w:pPr>
                    <w:spacing w:line="240" w:lineRule="auto"/>
                    <w:jc w:val="center"/>
                    <w:rPr>
                      <w:sz w:val="21"/>
                      <w:szCs w:val="21"/>
                    </w:rPr>
                  </w:pPr>
                  <w:r>
                    <w:rPr>
                      <w:sz w:val="21"/>
                      <w:szCs w:val="21"/>
                    </w:rPr>
                    <w:t>COD</w:t>
                  </w:r>
                </w:p>
              </w:tc>
              <w:tc>
                <w:tcPr>
                  <w:tcW w:w="521" w:type="pct"/>
                  <w:vAlign w:val="center"/>
                </w:tcPr>
                <w:p w14:paraId="4D174C63">
                  <w:pPr>
                    <w:spacing w:line="240" w:lineRule="auto"/>
                    <w:jc w:val="center"/>
                    <w:rPr>
                      <w:sz w:val="21"/>
                      <w:szCs w:val="21"/>
                    </w:rPr>
                  </w:pPr>
                  <w:r>
                    <w:rPr>
                      <w:sz w:val="21"/>
                      <w:szCs w:val="21"/>
                    </w:rPr>
                    <w:t>mg/L</w:t>
                  </w:r>
                </w:p>
              </w:tc>
              <w:tc>
                <w:tcPr>
                  <w:tcW w:w="665" w:type="pct"/>
                  <w:vAlign w:val="center"/>
                </w:tcPr>
                <w:p w14:paraId="7F8C9E87">
                  <w:pPr>
                    <w:pStyle w:val="53"/>
                    <w:spacing w:line="240" w:lineRule="auto"/>
                    <w:jc w:val="center"/>
                    <w:rPr>
                      <w:rFonts w:cs="Times New Roman"/>
                      <w:sz w:val="21"/>
                      <w:szCs w:val="21"/>
                    </w:rPr>
                  </w:pPr>
                  <w:r>
                    <w:rPr>
                      <w:rFonts w:cs="Times New Roman"/>
                      <w:sz w:val="21"/>
                      <w:szCs w:val="21"/>
                    </w:rPr>
                    <w:t>500</w:t>
                  </w:r>
                </w:p>
              </w:tc>
            </w:tr>
            <w:tr w14:paraId="349D1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134830FC">
                  <w:pPr>
                    <w:spacing w:line="240" w:lineRule="auto"/>
                    <w:jc w:val="center"/>
                    <w:rPr>
                      <w:sz w:val="21"/>
                      <w:szCs w:val="21"/>
                    </w:rPr>
                  </w:pPr>
                </w:p>
              </w:tc>
              <w:tc>
                <w:tcPr>
                  <w:tcW w:w="575" w:type="pct"/>
                  <w:vMerge w:val="continue"/>
                  <w:vAlign w:val="center"/>
                </w:tcPr>
                <w:p w14:paraId="0E8040F7">
                  <w:pPr>
                    <w:spacing w:line="240" w:lineRule="auto"/>
                    <w:jc w:val="center"/>
                    <w:rPr>
                      <w:sz w:val="21"/>
                      <w:szCs w:val="21"/>
                    </w:rPr>
                  </w:pPr>
                </w:p>
              </w:tc>
              <w:tc>
                <w:tcPr>
                  <w:tcW w:w="1323" w:type="pct"/>
                  <w:vMerge w:val="continue"/>
                  <w:vAlign w:val="center"/>
                </w:tcPr>
                <w:p w14:paraId="1FE464D5">
                  <w:pPr>
                    <w:spacing w:line="240" w:lineRule="auto"/>
                    <w:jc w:val="center"/>
                    <w:rPr>
                      <w:sz w:val="21"/>
                      <w:szCs w:val="21"/>
                    </w:rPr>
                  </w:pPr>
                </w:p>
              </w:tc>
              <w:tc>
                <w:tcPr>
                  <w:tcW w:w="660" w:type="pct"/>
                  <w:vMerge w:val="continue"/>
                  <w:vAlign w:val="center"/>
                </w:tcPr>
                <w:p w14:paraId="55334D00">
                  <w:pPr>
                    <w:spacing w:line="240" w:lineRule="auto"/>
                    <w:jc w:val="center"/>
                    <w:rPr>
                      <w:sz w:val="21"/>
                      <w:szCs w:val="21"/>
                    </w:rPr>
                  </w:pPr>
                </w:p>
              </w:tc>
              <w:tc>
                <w:tcPr>
                  <w:tcW w:w="758" w:type="pct"/>
                  <w:vAlign w:val="center"/>
                </w:tcPr>
                <w:p w14:paraId="2182E710">
                  <w:pPr>
                    <w:spacing w:line="240" w:lineRule="auto"/>
                    <w:jc w:val="center"/>
                    <w:rPr>
                      <w:sz w:val="21"/>
                      <w:szCs w:val="21"/>
                    </w:rPr>
                  </w:pPr>
                  <w:r>
                    <w:rPr>
                      <w:sz w:val="21"/>
                      <w:szCs w:val="21"/>
                    </w:rPr>
                    <w:t>SS</w:t>
                  </w:r>
                </w:p>
              </w:tc>
              <w:tc>
                <w:tcPr>
                  <w:tcW w:w="521" w:type="pct"/>
                  <w:vAlign w:val="center"/>
                </w:tcPr>
                <w:p w14:paraId="7154BB53">
                  <w:pPr>
                    <w:spacing w:line="240" w:lineRule="auto"/>
                    <w:jc w:val="center"/>
                    <w:rPr>
                      <w:sz w:val="21"/>
                      <w:szCs w:val="21"/>
                    </w:rPr>
                  </w:pPr>
                  <w:r>
                    <w:rPr>
                      <w:sz w:val="21"/>
                      <w:szCs w:val="21"/>
                    </w:rPr>
                    <w:t>mg/L</w:t>
                  </w:r>
                </w:p>
              </w:tc>
              <w:tc>
                <w:tcPr>
                  <w:tcW w:w="665" w:type="pct"/>
                  <w:vAlign w:val="center"/>
                </w:tcPr>
                <w:p w14:paraId="78D84732">
                  <w:pPr>
                    <w:spacing w:line="240" w:lineRule="auto"/>
                    <w:jc w:val="center"/>
                    <w:rPr>
                      <w:sz w:val="21"/>
                      <w:szCs w:val="21"/>
                    </w:rPr>
                  </w:pPr>
                  <w:r>
                    <w:rPr>
                      <w:sz w:val="21"/>
                      <w:szCs w:val="21"/>
                    </w:rPr>
                    <w:t>400</w:t>
                  </w:r>
                </w:p>
              </w:tc>
            </w:tr>
            <w:tr w14:paraId="07100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96" w:type="pct"/>
                  <w:vMerge w:val="continue"/>
                  <w:vAlign w:val="center"/>
                </w:tcPr>
                <w:p w14:paraId="2ACED273">
                  <w:pPr>
                    <w:spacing w:line="240" w:lineRule="auto"/>
                    <w:jc w:val="center"/>
                    <w:rPr>
                      <w:sz w:val="21"/>
                      <w:szCs w:val="21"/>
                    </w:rPr>
                  </w:pPr>
                </w:p>
              </w:tc>
              <w:tc>
                <w:tcPr>
                  <w:tcW w:w="575" w:type="pct"/>
                  <w:vMerge w:val="continue"/>
                  <w:vAlign w:val="center"/>
                </w:tcPr>
                <w:p w14:paraId="7D6EC129">
                  <w:pPr>
                    <w:spacing w:line="240" w:lineRule="auto"/>
                    <w:jc w:val="center"/>
                    <w:rPr>
                      <w:sz w:val="21"/>
                      <w:szCs w:val="21"/>
                    </w:rPr>
                  </w:pPr>
                </w:p>
              </w:tc>
              <w:tc>
                <w:tcPr>
                  <w:tcW w:w="1323" w:type="pct"/>
                  <w:vMerge w:val="continue"/>
                  <w:vAlign w:val="center"/>
                </w:tcPr>
                <w:p w14:paraId="7E9513A4">
                  <w:pPr>
                    <w:spacing w:line="240" w:lineRule="auto"/>
                    <w:jc w:val="center"/>
                    <w:rPr>
                      <w:sz w:val="21"/>
                      <w:szCs w:val="21"/>
                    </w:rPr>
                  </w:pPr>
                </w:p>
              </w:tc>
              <w:tc>
                <w:tcPr>
                  <w:tcW w:w="660" w:type="pct"/>
                  <w:vMerge w:val="continue"/>
                  <w:vAlign w:val="center"/>
                </w:tcPr>
                <w:p w14:paraId="547FB75D">
                  <w:pPr>
                    <w:spacing w:line="240" w:lineRule="auto"/>
                    <w:jc w:val="center"/>
                    <w:rPr>
                      <w:sz w:val="21"/>
                      <w:szCs w:val="21"/>
                    </w:rPr>
                  </w:pPr>
                </w:p>
              </w:tc>
              <w:tc>
                <w:tcPr>
                  <w:tcW w:w="758" w:type="pct"/>
                  <w:vAlign w:val="center"/>
                </w:tcPr>
                <w:p w14:paraId="4CF9CCB0">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521" w:type="pct"/>
                  <w:vAlign w:val="center"/>
                </w:tcPr>
                <w:p w14:paraId="19E337F2">
                  <w:pPr>
                    <w:spacing w:line="240" w:lineRule="auto"/>
                    <w:jc w:val="center"/>
                    <w:rPr>
                      <w:sz w:val="21"/>
                      <w:szCs w:val="21"/>
                    </w:rPr>
                  </w:pPr>
                  <w:r>
                    <w:rPr>
                      <w:sz w:val="21"/>
                      <w:szCs w:val="21"/>
                    </w:rPr>
                    <w:t>mg/L</w:t>
                  </w:r>
                </w:p>
              </w:tc>
              <w:tc>
                <w:tcPr>
                  <w:tcW w:w="665" w:type="pct"/>
                  <w:vAlign w:val="center"/>
                </w:tcPr>
                <w:p w14:paraId="084B96D4">
                  <w:pPr>
                    <w:spacing w:line="240" w:lineRule="auto"/>
                    <w:jc w:val="center"/>
                    <w:rPr>
                      <w:sz w:val="21"/>
                      <w:szCs w:val="21"/>
                    </w:rPr>
                  </w:pPr>
                  <w:r>
                    <w:rPr>
                      <w:sz w:val="21"/>
                      <w:szCs w:val="21"/>
                    </w:rPr>
                    <w:t>45</w:t>
                  </w:r>
                </w:p>
              </w:tc>
            </w:tr>
            <w:tr w14:paraId="191F6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40125515">
                  <w:pPr>
                    <w:spacing w:line="240" w:lineRule="auto"/>
                    <w:jc w:val="center"/>
                    <w:rPr>
                      <w:sz w:val="21"/>
                      <w:szCs w:val="21"/>
                    </w:rPr>
                  </w:pPr>
                </w:p>
              </w:tc>
              <w:tc>
                <w:tcPr>
                  <w:tcW w:w="575" w:type="pct"/>
                  <w:vMerge w:val="continue"/>
                  <w:vAlign w:val="center"/>
                </w:tcPr>
                <w:p w14:paraId="2FEEE426">
                  <w:pPr>
                    <w:spacing w:line="240" w:lineRule="auto"/>
                    <w:jc w:val="center"/>
                    <w:rPr>
                      <w:sz w:val="21"/>
                      <w:szCs w:val="21"/>
                    </w:rPr>
                  </w:pPr>
                </w:p>
              </w:tc>
              <w:tc>
                <w:tcPr>
                  <w:tcW w:w="1323" w:type="pct"/>
                  <w:vMerge w:val="continue"/>
                  <w:vAlign w:val="center"/>
                </w:tcPr>
                <w:p w14:paraId="474B80D0">
                  <w:pPr>
                    <w:spacing w:line="240" w:lineRule="auto"/>
                    <w:jc w:val="center"/>
                    <w:rPr>
                      <w:sz w:val="21"/>
                      <w:szCs w:val="21"/>
                    </w:rPr>
                  </w:pPr>
                </w:p>
              </w:tc>
              <w:tc>
                <w:tcPr>
                  <w:tcW w:w="660" w:type="pct"/>
                  <w:vMerge w:val="continue"/>
                  <w:vAlign w:val="center"/>
                </w:tcPr>
                <w:p w14:paraId="05C82024">
                  <w:pPr>
                    <w:spacing w:line="240" w:lineRule="auto"/>
                    <w:jc w:val="center"/>
                    <w:rPr>
                      <w:sz w:val="21"/>
                      <w:szCs w:val="21"/>
                    </w:rPr>
                  </w:pPr>
                </w:p>
              </w:tc>
              <w:tc>
                <w:tcPr>
                  <w:tcW w:w="758" w:type="pct"/>
                  <w:vAlign w:val="center"/>
                </w:tcPr>
                <w:p w14:paraId="5FC75500">
                  <w:pPr>
                    <w:spacing w:line="240" w:lineRule="auto"/>
                    <w:jc w:val="center"/>
                    <w:rPr>
                      <w:sz w:val="21"/>
                      <w:szCs w:val="21"/>
                    </w:rPr>
                  </w:pPr>
                  <w:r>
                    <w:rPr>
                      <w:sz w:val="21"/>
                      <w:szCs w:val="21"/>
                    </w:rPr>
                    <w:t>TN</w:t>
                  </w:r>
                </w:p>
              </w:tc>
              <w:tc>
                <w:tcPr>
                  <w:tcW w:w="521" w:type="pct"/>
                  <w:vAlign w:val="center"/>
                </w:tcPr>
                <w:p w14:paraId="2A9FE817">
                  <w:pPr>
                    <w:spacing w:line="240" w:lineRule="auto"/>
                    <w:jc w:val="center"/>
                    <w:rPr>
                      <w:sz w:val="21"/>
                      <w:szCs w:val="21"/>
                    </w:rPr>
                  </w:pPr>
                  <w:r>
                    <w:rPr>
                      <w:sz w:val="21"/>
                      <w:szCs w:val="21"/>
                    </w:rPr>
                    <w:t>mg/L</w:t>
                  </w:r>
                </w:p>
              </w:tc>
              <w:tc>
                <w:tcPr>
                  <w:tcW w:w="665" w:type="pct"/>
                  <w:vAlign w:val="center"/>
                </w:tcPr>
                <w:p w14:paraId="67B6C3CA">
                  <w:pPr>
                    <w:spacing w:line="240" w:lineRule="auto"/>
                    <w:jc w:val="center"/>
                    <w:rPr>
                      <w:sz w:val="21"/>
                      <w:szCs w:val="21"/>
                    </w:rPr>
                  </w:pPr>
                  <w:r>
                    <w:rPr>
                      <w:sz w:val="21"/>
                      <w:szCs w:val="21"/>
                    </w:rPr>
                    <w:t>70</w:t>
                  </w:r>
                </w:p>
              </w:tc>
            </w:tr>
            <w:tr w14:paraId="65509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411A149D">
                  <w:pPr>
                    <w:spacing w:line="240" w:lineRule="auto"/>
                    <w:jc w:val="center"/>
                    <w:rPr>
                      <w:sz w:val="21"/>
                      <w:szCs w:val="21"/>
                    </w:rPr>
                  </w:pPr>
                </w:p>
              </w:tc>
              <w:tc>
                <w:tcPr>
                  <w:tcW w:w="575" w:type="pct"/>
                  <w:vMerge w:val="continue"/>
                  <w:vAlign w:val="center"/>
                </w:tcPr>
                <w:p w14:paraId="7F63211B">
                  <w:pPr>
                    <w:spacing w:line="240" w:lineRule="auto"/>
                    <w:jc w:val="center"/>
                    <w:rPr>
                      <w:sz w:val="21"/>
                      <w:szCs w:val="21"/>
                    </w:rPr>
                  </w:pPr>
                </w:p>
              </w:tc>
              <w:tc>
                <w:tcPr>
                  <w:tcW w:w="1323" w:type="pct"/>
                  <w:vMerge w:val="continue"/>
                  <w:vAlign w:val="center"/>
                </w:tcPr>
                <w:p w14:paraId="47E676DC">
                  <w:pPr>
                    <w:spacing w:line="240" w:lineRule="auto"/>
                    <w:jc w:val="center"/>
                    <w:rPr>
                      <w:sz w:val="21"/>
                      <w:szCs w:val="21"/>
                    </w:rPr>
                  </w:pPr>
                </w:p>
              </w:tc>
              <w:tc>
                <w:tcPr>
                  <w:tcW w:w="660" w:type="pct"/>
                  <w:vMerge w:val="continue"/>
                  <w:vAlign w:val="center"/>
                </w:tcPr>
                <w:p w14:paraId="2ECE87AB">
                  <w:pPr>
                    <w:spacing w:line="240" w:lineRule="auto"/>
                    <w:jc w:val="center"/>
                    <w:rPr>
                      <w:sz w:val="21"/>
                      <w:szCs w:val="21"/>
                    </w:rPr>
                  </w:pPr>
                </w:p>
              </w:tc>
              <w:tc>
                <w:tcPr>
                  <w:tcW w:w="758" w:type="pct"/>
                  <w:vAlign w:val="center"/>
                </w:tcPr>
                <w:p w14:paraId="1314FFC1">
                  <w:pPr>
                    <w:spacing w:line="240" w:lineRule="auto"/>
                    <w:jc w:val="center"/>
                    <w:rPr>
                      <w:sz w:val="21"/>
                      <w:szCs w:val="21"/>
                    </w:rPr>
                  </w:pPr>
                  <w:r>
                    <w:rPr>
                      <w:sz w:val="21"/>
                      <w:szCs w:val="21"/>
                    </w:rPr>
                    <w:t>TP</w:t>
                  </w:r>
                </w:p>
              </w:tc>
              <w:tc>
                <w:tcPr>
                  <w:tcW w:w="521" w:type="pct"/>
                  <w:vAlign w:val="center"/>
                </w:tcPr>
                <w:p w14:paraId="20D080C6">
                  <w:pPr>
                    <w:spacing w:line="240" w:lineRule="auto"/>
                    <w:jc w:val="center"/>
                    <w:rPr>
                      <w:sz w:val="21"/>
                      <w:szCs w:val="21"/>
                    </w:rPr>
                  </w:pPr>
                  <w:r>
                    <w:rPr>
                      <w:sz w:val="21"/>
                      <w:szCs w:val="21"/>
                    </w:rPr>
                    <w:t>mg/L</w:t>
                  </w:r>
                </w:p>
              </w:tc>
              <w:tc>
                <w:tcPr>
                  <w:tcW w:w="665" w:type="pct"/>
                  <w:vAlign w:val="center"/>
                </w:tcPr>
                <w:p w14:paraId="75A7E118">
                  <w:pPr>
                    <w:spacing w:line="240" w:lineRule="auto"/>
                    <w:jc w:val="center"/>
                    <w:rPr>
                      <w:sz w:val="21"/>
                      <w:szCs w:val="21"/>
                    </w:rPr>
                  </w:pPr>
                  <w:r>
                    <w:rPr>
                      <w:sz w:val="21"/>
                      <w:szCs w:val="21"/>
                    </w:rPr>
                    <w:t>8</w:t>
                  </w:r>
                </w:p>
              </w:tc>
            </w:tr>
            <w:tr w14:paraId="4AB82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restart"/>
                  <w:vAlign w:val="center"/>
                </w:tcPr>
                <w:p w14:paraId="4533C9A9">
                  <w:pPr>
                    <w:spacing w:line="240" w:lineRule="auto"/>
                    <w:jc w:val="center"/>
                    <w:rPr>
                      <w:sz w:val="21"/>
                      <w:szCs w:val="21"/>
                    </w:rPr>
                  </w:pPr>
                  <w:r>
                    <w:rPr>
                      <w:sz w:val="21"/>
                      <w:szCs w:val="21"/>
                    </w:rPr>
                    <w:t>常州东方横山水处理有限公司排口</w:t>
                  </w:r>
                </w:p>
              </w:tc>
              <w:tc>
                <w:tcPr>
                  <w:tcW w:w="1898" w:type="pct"/>
                  <w:gridSpan w:val="2"/>
                  <w:vMerge w:val="restart"/>
                  <w:tcMar>
                    <w:left w:w="0" w:type="dxa"/>
                    <w:right w:w="0" w:type="dxa"/>
                  </w:tcMar>
                  <w:vAlign w:val="center"/>
                </w:tcPr>
                <w:p w14:paraId="460F6F20">
                  <w:pPr>
                    <w:pStyle w:val="53"/>
                    <w:spacing w:line="240" w:lineRule="auto"/>
                    <w:jc w:val="center"/>
                    <w:rPr>
                      <w:rFonts w:cs="Times New Roman"/>
                      <w:sz w:val="21"/>
                      <w:szCs w:val="21"/>
                    </w:rPr>
                  </w:pPr>
                  <w:r>
                    <w:rPr>
                      <w:rFonts w:cs="Times New Roman"/>
                      <w:sz w:val="21"/>
                      <w:szCs w:val="21"/>
                    </w:rPr>
                    <w:t>《太湖地区城镇污水处理厂及重点工业行业水污染物排放限值》（DB32/1072-2018）</w:t>
                  </w:r>
                </w:p>
              </w:tc>
              <w:tc>
                <w:tcPr>
                  <w:tcW w:w="660" w:type="pct"/>
                  <w:vMerge w:val="restart"/>
                  <w:vAlign w:val="center"/>
                </w:tcPr>
                <w:p w14:paraId="51D3BECF">
                  <w:pPr>
                    <w:spacing w:line="240" w:lineRule="auto"/>
                    <w:jc w:val="center"/>
                    <w:rPr>
                      <w:sz w:val="21"/>
                      <w:szCs w:val="21"/>
                    </w:rPr>
                  </w:pPr>
                  <w:r>
                    <w:rPr>
                      <w:sz w:val="21"/>
                      <w:szCs w:val="21"/>
                    </w:rPr>
                    <w:t>表2</w:t>
                  </w:r>
                </w:p>
              </w:tc>
              <w:tc>
                <w:tcPr>
                  <w:tcW w:w="758" w:type="pct"/>
                  <w:vAlign w:val="center"/>
                </w:tcPr>
                <w:p w14:paraId="5884DE4D">
                  <w:pPr>
                    <w:spacing w:line="240" w:lineRule="auto"/>
                    <w:jc w:val="center"/>
                    <w:rPr>
                      <w:sz w:val="21"/>
                      <w:szCs w:val="21"/>
                    </w:rPr>
                  </w:pPr>
                  <w:r>
                    <w:rPr>
                      <w:sz w:val="21"/>
                      <w:szCs w:val="21"/>
                    </w:rPr>
                    <w:t>COD</w:t>
                  </w:r>
                </w:p>
              </w:tc>
              <w:tc>
                <w:tcPr>
                  <w:tcW w:w="521" w:type="pct"/>
                  <w:vAlign w:val="center"/>
                </w:tcPr>
                <w:p w14:paraId="5790B7D8">
                  <w:pPr>
                    <w:spacing w:line="240" w:lineRule="auto"/>
                    <w:jc w:val="center"/>
                    <w:rPr>
                      <w:sz w:val="21"/>
                      <w:szCs w:val="21"/>
                    </w:rPr>
                  </w:pPr>
                  <w:r>
                    <w:rPr>
                      <w:sz w:val="21"/>
                      <w:szCs w:val="21"/>
                    </w:rPr>
                    <w:t>mg/L</w:t>
                  </w:r>
                </w:p>
              </w:tc>
              <w:tc>
                <w:tcPr>
                  <w:tcW w:w="665" w:type="pct"/>
                  <w:vAlign w:val="center"/>
                </w:tcPr>
                <w:p w14:paraId="3877C0CD">
                  <w:pPr>
                    <w:spacing w:line="240" w:lineRule="auto"/>
                    <w:jc w:val="center"/>
                    <w:rPr>
                      <w:sz w:val="21"/>
                      <w:szCs w:val="21"/>
                    </w:rPr>
                  </w:pPr>
                  <w:r>
                    <w:rPr>
                      <w:sz w:val="21"/>
                      <w:szCs w:val="21"/>
                    </w:rPr>
                    <w:t>50</w:t>
                  </w:r>
                </w:p>
              </w:tc>
            </w:tr>
            <w:tr w14:paraId="0B0EC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1318F05C">
                  <w:pPr>
                    <w:spacing w:line="240" w:lineRule="auto"/>
                    <w:jc w:val="center"/>
                    <w:rPr>
                      <w:sz w:val="21"/>
                      <w:szCs w:val="21"/>
                    </w:rPr>
                  </w:pPr>
                </w:p>
              </w:tc>
              <w:tc>
                <w:tcPr>
                  <w:tcW w:w="1898" w:type="pct"/>
                  <w:gridSpan w:val="2"/>
                  <w:vMerge w:val="continue"/>
                  <w:vAlign w:val="center"/>
                </w:tcPr>
                <w:p w14:paraId="065B13AF">
                  <w:pPr>
                    <w:pStyle w:val="53"/>
                    <w:spacing w:line="240" w:lineRule="auto"/>
                    <w:jc w:val="center"/>
                    <w:rPr>
                      <w:rFonts w:cs="Times New Roman"/>
                      <w:sz w:val="21"/>
                      <w:szCs w:val="21"/>
                    </w:rPr>
                  </w:pPr>
                </w:p>
              </w:tc>
              <w:tc>
                <w:tcPr>
                  <w:tcW w:w="660" w:type="pct"/>
                  <w:vMerge w:val="continue"/>
                  <w:vAlign w:val="center"/>
                </w:tcPr>
                <w:p w14:paraId="53B5724A">
                  <w:pPr>
                    <w:spacing w:line="240" w:lineRule="auto"/>
                    <w:jc w:val="center"/>
                    <w:rPr>
                      <w:sz w:val="21"/>
                      <w:szCs w:val="21"/>
                    </w:rPr>
                  </w:pPr>
                </w:p>
              </w:tc>
              <w:tc>
                <w:tcPr>
                  <w:tcW w:w="758" w:type="pct"/>
                  <w:vAlign w:val="center"/>
                </w:tcPr>
                <w:p w14:paraId="1B527B88">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521" w:type="pct"/>
                  <w:vAlign w:val="center"/>
                </w:tcPr>
                <w:p w14:paraId="577F5455">
                  <w:pPr>
                    <w:spacing w:line="240" w:lineRule="auto"/>
                    <w:jc w:val="center"/>
                    <w:rPr>
                      <w:sz w:val="21"/>
                      <w:szCs w:val="21"/>
                    </w:rPr>
                  </w:pPr>
                  <w:r>
                    <w:rPr>
                      <w:sz w:val="21"/>
                      <w:szCs w:val="21"/>
                    </w:rPr>
                    <w:t>mg/L</w:t>
                  </w:r>
                </w:p>
              </w:tc>
              <w:tc>
                <w:tcPr>
                  <w:tcW w:w="665" w:type="pct"/>
                  <w:vAlign w:val="center"/>
                </w:tcPr>
                <w:p w14:paraId="1504A885">
                  <w:pPr>
                    <w:spacing w:line="240" w:lineRule="auto"/>
                    <w:jc w:val="center"/>
                    <w:rPr>
                      <w:sz w:val="21"/>
                      <w:szCs w:val="21"/>
                    </w:rPr>
                  </w:pPr>
                  <w:r>
                    <w:rPr>
                      <w:sz w:val="21"/>
                      <w:szCs w:val="21"/>
                    </w:rPr>
                    <w:t>4（6）*</w:t>
                  </w:r>
                </w:p>
              </w:tc>
            </w:tr>
            <w:tr w14:paraId="1C3ED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4A629842">
                  <w:pPr>
                    <w:spacing w:line="240" w:lineRule="auto"/>
                    <w:jc w:val="center"/>
                    <w:rPr>
                      <w:sz w:val="21"/>
                      <w:szCs w:val="21"/>
                    </w:rPr>
                  </w:pPr>
                </w:p>
              </w:tc>
              <w:tc>
                <w:tcPr>
                  <w:tcW w:w="1898" w:type="pct"/>
                  <w:gridSpan w:val="2"/>
                  <w:vMerge w:val="continue"/>
                  <w:vAlign w:val="center"/>
                </w:tcPr>
                <w:p w14:paraId="544320CB">
                  <w:pPr>
                    <w:pStyle w:val="53"/>
                    <w:spacing w:line="240" w:lineRule="auto"/>
                    <w:jc w:val="center"/>
                    <w:rPr>
                      <w:rFonts w:cs="Times New Roman"/>
                      <w:sz w:val="21"/>
                      <w:szCs w:val="21"/>
                    </w:rPr>
                  </w:pPr>
                </w:p>
              </w:tc>
              <w:tc>
                <w:tcPr>
                  <w:tcW w:w="660" w:type="pct"/>
                  <w:vMerge w:val="continue"/>
                  <w:vAlign w:val="center"/>
                </w:tcPr>
                <w:p w14:paraId="4D2A701F">
                  <w:pPr>
                    <w:spacing w:line="240" w:lineRule="auto"/>
                    <w:jc w:val="center"/>
                    <w:rPr>
                      <w:sz w:val="21"/>
                      <w:szCs w:val="21"/>
                    </w:rPr>
                  </w:pPr>
                </w:p>
              </w:tc>
              <w:tc>
                <w:tcPr>
                  <w:tcW w:w="758" w:type="pct"/>
                  <w:vAlign w:val="center"/>
                </w:tcPr>
                <w:p w14:paraId="78CFACFC">
                  <w:pPr>
                    <w:spacing w:line="240" w:lineRule="auto"/>
                    <w:jc w:val="center"/>
                    <w:rPr>
                      <w:sz w:val="21"/>
                      <w:szCs w:val="21"/>
                    </w:rPr>
                  </w:pPr>
                  <w:r>
                    <w:rPr>
                      <w:sz w:val="21"/>
                      <w:szCs w:val="21"/>
                    </w:rPr>
                    <w:t>TN</w:t>
                  </w:r>
                </w:p>
              </w:tc>
              <w:tc>
                <w:tcPr>
                  <w:tcW w:w="521" w:type="pct"/>
                  <w:vAlign w:val="center"/>
                </w:tcPr>
                <w:p w14:paraId="5A37E4DF">
                  <w:pPr>
                    <w:spacing w:line="240" w:lineRule="auto"/>
                    <w:jc w:val="center"/>
                    <w:rPr>
                      <w:sz w:val="21"/>
                      <w:szCs w:val="21"/>
                    </w:rPr>
                  </w:pPr>
                  <w:r>
                    <w:rPr>
                      <w:sz w:val="21"/>
                      <w:szCs w:val="21"/>
                    </w:rPr>
                    <w:t>mg/L</w:t>
                  </w:r>
                </w:p>
              </w:tc>
              <w:tc>
                <w:tcPr>
                  <w:tcW w:w="665" w:type="pct"/>
                  <w:vAlign w:val="center"/>
                </w:tcPr>
                <w:p w14:paraId="5014F215">
                  <w:pPr>
                    <w:spacing w:line="240" w:lineRule="auto"/>
                    <w:jc w:val="center"/>
                    <w:rPr>
                      <w:sz w:val="21"/>
                      <w:szCs w:val="21"/>
                    </w:rPr>
                  </w:pPr>
                  <w:r>
                    <w:rPr>
                      <w:sz w:val="21"/>
                      <w:szCs w:val="21"/>
                    </w:rPr>
                    <w:t>12（15）*</w:t>
                  </w:r>
                </w:p>
              </w:tc>
            </w:tr>
            <w:tr w14:paraId="023A9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1A213672">
                  <w:pPr>
                    <w:spacing w:line="240" w:lineRule="auto"/>
                    <w:jc w:val="center"/>
                    <w:rPr>
                      <w:sz w:val="21"/>
                      <w:szCs w:val="21"/>
                    </w:rPr>
                  </w:pPr>
                </w:p>
              </w:tc>
              <w:tc>
                <w:tcPr>
                  <w:tcW w:w="1898" w:type="pct"/>
                  <w:gridSpan w:val="2"/>
                  <w:vMerge w:val="continue"/>
                  <w:vAlign w:val="center"/>
                </w:tcPr>
                <w:p w14:paraId="71B7D740">
                  <w:pPr>
                    <w:pStyle w:val="53"/>
                    <w:spacing w:line="240" w:lineRule="auto"/>
                    <w:jc w:val="center"/>
                    <w:rPr>
                      <w:rFonts w:cs="Times New Roman"/>
                      <w:sz w:val="21"/>
                      <w:szCs w:val="21"/>
                    </w:rPr>
                  </w:pPr>
                </w:p>
              </w:tc>
              <w:tc>
                <w:tcPr>
                  <w:tcW w:w="660" w:type="pct"/>
                  <w:vMerge w:val="continue"/>
                  <w:vAlign w:val="center"/>
                </w:tcPr>
                <w:p w14:paraId="5436A287">
                  <w:pPr>
                    <w:spacing w:line="240" w:lineRule="auto"/>
                    <w:jc w:val="center"/>
                    <w:rPr>
                      <w:sz w:val="21"/>
                      <w:szCs w:val="21"/>
                    </w:rPr>
                  </w:pPr>
                </w:p>
              </w:tc>
              <w:tc>
                <w:tcPr>
                  <w:tcW w:w="758" w:type="pct"/>
                  <w:vAlign w:val="center"/>
                </w:tcPr>
                <w:p w14:paraId="5AFED19A">
                  <w:pPr>
                    <w:spacing w:line="240" w:lineRule="auto"/>
                    <w:jc w:val="center"/>
                    <w:rPr>
                      <w:sz w:val="21"/>
                      <w:szCs w:val="21"/>
                    </w:rPr>
                  </w:pPr>
                  <w:r>
                    <w:rPr>
                      <w:sz w:val="21"/>
                      <w:szCs w:val="21"/>
                    </w:rPr>
                    <w:t>TP</w:t>
                  </w:r>
                </w:p>
              </w:tc>
              <w:tc>
                <w:tcPr>
                  <w:tcW w:w="521" w:type="pct"/>
                  <w:vAlign w:val="center"/>
                </w:tcPr>
                <w:p w14:paraId="2BAA62FB">
                  <w:pPr>
                    <w:spacing w:line="240" w:lineRule="auto"/>
                    <w:jc w:val="center"/>
                    <w:rPr>
                      <w:sz w:val="21"/>
                      <w:szCs w:val="21"/>
                    </w:rPr>
                  </w:pPr>
                  <w:r>
                    <w:rPr>
                      <w:sz w:val="21"/>
                      <w:szCs w:val="21"/>
                    </w:rPr>
                    <w:t>mg/L</w:t>
                  </w:r>
                </w:p>
              </w:tc>
              <w:tc>
                <w:tcPr>
                  <w:tcW w:w="665" w:type="pct"/>
                  <w:vAlign w:val="center"/>
                </w:tcPr>
                <w:p w14:paraId="70B3D0BA">
                  <w:pPr>
                    <w:spacing w:line="240" w:lineRule="auto"/>
                    <w:jc w:val="center"/>
                    <w:rPr>
                      <w:sz w:val="21"/>
                      <w:szCs w:val="21"/>
                    </w:rPr>
                  </w:pPr>
                  <w:r>
                    <w:rPr>
                      <w:sz w:val="21"/>
                      <w:szCs w:val="21"/>
                    </w:rPr>
                    <w:t>0.5</w:t>
                  </w:r>
                </w:p>
              </w:tc>
            </w:tr>
            <w:tr w14:paraId="25CF4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05CBAC8F">
                  <w:pPr>
                    <w:spacing w:line="240" w:lineRule="auto"/>
                    <w:jc w:val="center"/>
                    <w:rPr>
                      <w:sz w:val="21"/>
                      <w:szCs w:val="21"/>
                    </w:rPr>
                  </w:pPr>
                </w:p>
              </w:tc>
              <w:tc>
                <w:tcPr>
                  <w:tcW w:w="1898" w:type="pct"/>
                  <w:gridSpan w:val="2"/>
                  <w:vMerge w:val="restart"/>
                  <w:tcMar>
                    <w:left w:w="0" w:type="dxa"/>
                    <w:right w:w="0" w:type="dxa"/>
                  </w:tcMar>
                  <w:vAlign w:val="center"/>
                </w:tcPr>
                <w:p w14:paraId="7D2E76A3">
                  <w:pPr>
                    <w:pStyle w:val="53"/>
                    <w:spacing w:line="240" w:lineRule="auto"/>
                    <w:jc w:val="center"/>
                    <w:rPr>
                      <w:rFonts w:cs="Times New Roman"/>
                      <w:sz w:val="21"/>
                      <w:szCs w:val="21"/>
                    </w:rPr>
                  </w:pPr>
                  <w:r>
                    <w:rPr>
                      <w:rFonts w:cs="Times New Roman"/>
                      <w:sz w:val="21"/>
                      <w:szCs w:val="21"/>
                    </w:rPr>
                    <w:t>《城镇污水处理厂污染物排放标准》（GB18918-2002）</w:t>
                  </w:r>
                </w:p>
              </w:tc>
              <w:tc>
                <w:tcPr>
                  <w:tcW w:w="660" w:type="pct"/>
                  <w:vMerge w:val="restart"/>
                  <w:vAlign w:val="center"/>
                </w:tcPr>
                <w:p w14:paraId="012F7C0D">
                  <w:pPr>
                    <w:spacing w:line="240" w:lineRule="auto"/>
                    <w:jc w:val="center"/>
                    <w:rPr>
                      <w:sz w:val="21"/>
                      <w:szCs w:val="21"/>
                    </w:rPr>
                  </w:pPr>
                  <w:r>
                    <w:rPr>
                      <w:sz w:val="21"/>
                      <w:szCs w:val="21"/>
                    </w:rPr>
                    <w:t>表1</w:t>
                  </w:r>
                </w:p>
                <w:p w14:paraId="4AD126F5">
                  <w:pPr>
                    <w:spacing w:line="240" w:lineRule="auto"/>
                    <w:jc w:val="center"/>
                    <w:rPr>
                      <w:sz w:val="21"/>
                      <w:szCs w:val="21"/>
                    </w:rPr>
                  </w:pPr>
                  <w:r>
                    <w:rPr>
                      <w:sz w:val="21"/>
                      <w:szCs w:val="21"/>
                    </w:rPr>
                    <w:t>一级A</w:t>
                  </w:r>
                </w:p>
              </w:tc>
              <w:tc>
                <w:tcPr>
                  <w:tcW w:w="758" w:type="pct"/>
                  <w:vAlign w:val="center"/>
                </w:tcPr>
                <w:p w14:paraId="2354BB95">
                  <w:pPr>
                    <w:snapToGrid w:val="0"/>
                    <w:spacing w:line="240" w:lineRule="auto"/>
                    <w:jc w:val="center"/>
                    <w:rPr>
                      <w:sz w:val="21"/>
                      <w:szCs w:val="21"/>
                    </w:rPr>
                  </w:pPr>
                  <w:r>
                    <w:rPr>
                      <w:sz w:val="21"/>
                      <w:szCs w:val="21"/>
                    </w:rPr>
                    <w:t>pH</w:t>
                  </w:r>
                </w:p>
              </w:tc>
              <w:tc>
                <w:tcPr>
                  <w:tcW w:w="521" w:type="pct"/>
                  <w:vAlign w:val="center"/>
                </w:tcPr>
                <w:p w14:paraId="666318C3">
                  <w:pPr>
                    <w:spacing w:line="240" w:lineRule="auto"/>
                    <w:jc w:val="center"/>
                    <w:rPr>
                      <w:sz w:val="21"/>
                      <w:szCs w:val="21"/>
                    </w:rPr>
                  </w:pPr>
                  <w:r>
                    <w:rPr>
                      <w:sz w:val="21"/>
                      <w:szCs w:val="21"/>
                    </w:rPr>
                    <w:t>无量纲</w:t>
                  </w:r>
                </w:p>
              </w:tc>
              <w:tc>
                <w:tcPr>
                  <w:tcW w:w="665" w:type="pct"/>
                  <w:vAlign w:val="center"/>
                </w:tcPr>
                <w:p w14:paraId="23F8705F">
                  <w:pPr>
                    <w:spacing w:line="240" w:lineRule="auto"/>
                    <w:jc w:val="center"/>
                    <w:rPr>
                      <w:sz w:val="21"/>
                      <w:szCs w:val="21"/>
                    </w:rPr>
                  </w:pPr>
                  <w:r>
                    <w:rPr>
                      <w:sz w:val="21"/>
                      <w:szCs w:val="21"/>
                    </w:rPr>
                    <w:t>6~9</w:t>
                  </w:r>
                </w:p>
              </w:tc>
            </w:tr>
            <w:tr w14:paraId="62B93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1BCDFCAB">
                  <w:pPr>
                    <w:spacing w:line="240" w:lineRule="auto"/>
                    <w:jc w:val="center"/>
                    <w:rPr>
                      <w:sz w:val="21"/>
                      <w:szCs w:val="21"/>
                    </w:rPr>
                  </w:pPr>
                </w:p>
              </w:tc>
              <w:tc>
                <w:tcPr>
                  <w:tcW w:w="1898" w:type="pct"/>
                  <w:gridSpan w:val="2"/>
                  <w:vMerge w:val="continue"/>
                  <w:tcMar>
                    <w:left w:w="0" w:type="dxa"/>
                    <w:right w:w="0" w:type="dxa"/>
                  </w:tcMar>
                  <w:vAlign w:val="center"/>
                </w:tcPr>
                <w:p w14:paraId="61760D24">
                  <w:pPr>
                    <w:pStyle w:val="53"/>
                    <w:spacing w:line="240" w:lineRule="auto"/>
                    <w:jc w:val="center"/>
                    <w:rPr>
                      <w:rFonts w:cs="Times New Roman"/>
                      <w:sz w:val="21"/>
                      <w:szCs w:val="21"/>
                    </w:rPr>
                  </w:pPr>
                </w:p>
              </w:tc>
              <w:tc>
                <w:tcPr>
                  <w:tcW w:w="660" w:type="pct"/>
                  <w:vMerge w:val="continue"/>
                  <w:vAlign w:val="center"/>
                </w:tcPr>
                <w:p w14:paraId="0E8ED4DB">
                  <w:pPr>
                    <w:spacing w:line="240" w:lineRule="auto"/>
                    <w:jc w:val="center"/>
                    <w:rPr>
                      <w:sz w:val="21"/>
                      <w:szCs w:val="21"/>
                    </w:rPr>
                  </w:pPr>
                </w:p>
              </w:tc>
              <w:tc>
                <w:tcPr>
                  <w:tcW w:w="758" w:type="pct"/>
                  <w:vAlign w:val="center"/>
                </w:tcPr>
                <w:p w14:paraId="673864E8">
                  <w:pPr>
                    <w:spacing w:line="240" w:lineRule="auto"/>
                    <w:jc w:val="center"/>
                    <w:rPr>
                      <w:sz w:val="21"/>
                      <w:szCs w:val="21"/>
                    </w:rPr>
                  </w:pPr>
                  <w:r>
                    <w:rPr>
                      <w:sz w:val="21"/>
                      <w:szCs w:val="21"/>
                    </w:rPr>
                    <w:t>SS</w:t>
                  </w:r>
                </w:p>
              </w:tc>
              <w:tc>
                <w:tcPr>
                  <w:tcW w:w="521" w:type="pct"/>
                  <w:vAlign w:val="center"/>
                </w:tcPr>
                <w:p w14:paraId="1A6B0CD5">
                  <w:pPr>
                    <w:spacing w:line="240" w:lineRule="auto"/>
                    <w:jc w:val="center"/>
                    <w:rPr>
                      <w:sz w:val="21"/>
                      <w:szCs w:val="21"/>
                    </w:rPr>
                  </w:pPr>
                  <w:r>
                    <w:rPr>
                      <w:sz w:val="21"/>
                      <w:szCs w:val="21"/>
                    </w:rPr>
                    <w:t>mg/L</w:t>
                  </w:r>
                </w:p>
              </w:tc>
              <w:tc>
                <w:tcPr>
                  <w:tcW w:w="665" w:type="pct"/>
                  <w:vAlign w:val="center"/>
                </w:tcPr>
                <w:p w14:paraId="5DAA9F55">
                  <w:pPr>
                    <w:spacing w:line="240" w:lineRule="auto"/>
                    <w:jc w:val="center"/>
                    <w:rPr>
                      <w:sz w:val="21"/>
                      <w:szCs w:val="21"/>
                    </w:rPr>
                  </w:pPr>
                  <w:r>
                    <w:rPr>
                      <w:sz w:val="21"/>
                      <w:szCs w:val="21"/>
                    </w:rPr>
                    <w:t>10</w:t>
                  </w:r>
                </w:p>
              </w:tc>
            </w:tr>
            <w:tr w14:paraId="5FE48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232AFBF1">
                  <w:pPr>
                    <w:spacing w:line="240" w:lineRule="auto"/>
                    <w:jc w:val="center"/>
                    <w:rPr>
                      <w:sz w:val="21"/>
                      <w:szCs w:val="21"/>
                    </w:rPr>
                  </w:pPr>
                </w:p>
              </w:tc>
              <w:tc>
                <w:tcPr>
                  <w:tcW w:w="1898" w:type="pct"/>
                  <w:gridSpan w:val="2"/>
                  <w:vMerge w:val="restart"/>
                  <w:tcMar>
                    <w:left w:w="0" w:type="dxa"/>
                    <w:right w:w="0" w:type="dxa"/>
                  </w:tcMar>
                  <w:vAlign w:val="center"/>
                </w:tcPr>
                <w:p w14:paraId="4B282347">
                  <w:pPr>
                    <w:pStyle w:val="53"/>
                    <w:spacing w:line="300" w:lineRule="exact"/>
                    <w:jc w:val="center"/>
                    <w:rPr>
                      <w:rFonts w:cs="Times New Roman"/>
                      <w:sz w:val="21"/>
                      <w:szCs w:val="21"/>
                    </w:rPr>
                  </w:pPr>
                  <w:r>
                    <w:rPr>
                      <w:rFonts w:cs="Times New Roman"/>
                      <w:sz w:val="21"/>
                      <w:szCs w:val="21"/>
                    </w:rPr>
                    <w:t>《城镇污水处理厂污染物排放标准》（DB32/4440-2022）</w:t>
                  </w:r>
                </w:p>
                <w:p w14:paraId="3BE4216C">
                  <w:pPr>
                    <w:pStyle w:val="53"/>
                    <w:spacing w:line="300" w:lineRule="exact"/>
                    <w:jc w:val="center"/>
                    <w:rPr>
                      <w:rFonts w:cs="Times New Roman"/>
                      <w:sz w:val="21"/>
                      <w:szCs w:val="21"/>
                    </w:rPr>
                  </w:pPr>
                  <w:r>
                    <w:rPr>
                      <w:rFonts w:cs="Times New Roman"/>
                      <w:sz w:val="21"/>
                      <w:szCs w:val="21"/>
                    </w:rPr>
                    <w:t>（2026年3月28日起施行）</w:t>
                  </w:r>
                </w:p>
              </w:tc>
              <w:tc>
                <w:tcPr>
                  <w:tcW w:w="660" w:type="pct"/>
                  <w:vMerge w:val="restart"/>
                  <w:vAlign w:val="center"/>
                </w:tcPr>
                <w:p w14:paraId="65353F3D">
                  <w:pPr>
                    <w:pStyle w:val="53"/>
                    <w:spacing w:line="260" w:lineRule="exact"/>
                    <w:jc w:val="center"/>
                    <w:rPr>
                      <w:rFonts w:cs="Times New Roman"/>
                      <w:sz w:val="21"/>
                      <w:szCs w:val="21"/>
                    </w:rPr>
                  </w:pPr>
                  <w:r>
                    <w:rPr>
                      <w:rFonts w:cs="Times New Roman"/>
                      <w:sz w:val="21"/>
                      <w:szCs w:val="21"/>
                    </w:rPr>
                    <w:t xml:space="preserve">表1 </w:t>
                  </w:r>
                  <w:r>
                    <w:rPr>
                      <w:rFonts w:hint="eastAsia" w:cs="Times New Roman"/>
                      <w:sz w:val="21"/>
                      <w:szCs w:val="21"/>
                      <w:lang w:val="en-US" w:eastAsia="zh-CN"/>
                    </w:rPr>
                    <w:t>C</w:t>
                  </w:r>
                  <w:r>
                    <w:rPr>
                      <w:rFonts w:cs="Times New Roman"/>
                      <w:sz w:val="21"/>
                      <w:szCs w:val="21"/>
                    </w:rPr>
                    <w:t>标准</w:t>
                  </w:r>
                </w:p>
              </w:tc>
              <w:tc>
                <w:tcPr>
                  <w:tcW w:w="1277" w:type="dxa"/>
                  <w:vAlign w:val="center"/>
                </w:tcPr>
                <w:p w14:paraId="43EE79E0">
                  <w:pPr>
                    <w:pStyle w:val="53"/>
                    <w:spacing w:line="290" w:lineRule="exact"/>
                    <w:jc w:val="center"/>
                    <w:rPr>
                      <w:rFonts w:cs="Times New Roman"/>
                      <w:sz w:val="21"/>
                      <w:szCs w:val="21"/>
                    </w:rPr>
                  </w:pPr>
                  <w:r>
                    <w:rPr>
                      <w:rFonts w:hint="default" w:ascii="Times New Roman" w:hAnsi="Times New Roman" w:eastAsia="仿宋" w:cs="Times New Roman"/>
                      <w:sz w:val="21"/>
                      <w:szCs w:val="21"/>
                    </w:rPr>
                    <w:t>pH</w:t>
                  </w:r>
                </w:p>
              </w:tc>
              <w:tc>
                <w:tcPr>
                  <w:tcW w:w="878" w:type="dxa"/>
                  <w:vAlign w:val="center"/>
                </w:tcPr>
                <w:p w14:paraId="51DD2A51">
                  <w:pPr>
                    <w:pStyle w:val="53"/>
                    <w:spacing w:line="290" w:lineRule="exact"/>
                    <w:jc w:val="center"/>
                    <w:rPr>
                      <w:rFonts w:cs="Times New Roman"/>
                      <w:sz w:val="21"/>
                      <w:szCs w:val="21"/>
                    </w:rPr>
                  </w:pPr>
                  <w:r>
                    <w:rPr>
                      <w:rFonts w:hint="default" w:ascii="Times New Roman" w:hAnsi="Times New Roman" w:eastAsia="仿宋" w:cs="Times New Roman"/>
                      <w:sz w:val="21"/>
                      <w:szCs w:val="21"/>
                    </w:rPr>
                    <w:t>－</w:t>
                  </w:r>
                </w:p>
              </w:tc>
              <w:tc>
                <w:tcPr>
                  <w:tcW w:w="1120" w:type="dxa"/>
                  <w:vAlign w:val="center"/>
                </w:tcPr>
                <w:p w14:paraId="4E1608C8">
                  <w:pPr>
                    <w:pStyle w:val="53"/>
                    <w:spacing w:line="290" w:lineRule="exact"/>
                    <w:jc w:val="center"/>
                    <w:rPr>
                      <w:rFonts w:cs="Times New Roman"/>
                      <w:sz w:val="21"/>
                      <w:szCs w:val="21"/>
                    </w:rPr>
                  </w:pPr>
                  <w:r>
                    <w:rPr>
                      <w:rFonts w:hint="default" w:ascii="Times New Roman" w:hAnsi="Times New Roman" w:eastAsia="仿宋" w:cs="Times New Roman"/>
                      <w:sz w:val="21"/>
                      <w:szCs w:val="21"/>
                    </w:rPr>
                    <w:t>6~9</w:t>
                  </w:r>
                </w:p>
              </w:tc>
            </w:tr>
            <w:tr w14:paraId="50033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4E7B140A">
                  <w:pPr>
                    <w:spacing w:line="240" w:lineRule="auto"/>
                    <w:jc w:val="center"/>
                    <w:rPr>
                      <w:sz w:val="21"/>
                      <w:szCs w:val="21"/>
                    </w:rPr>
                  </w:pPr>
                </w:p>
              </w:tc>
              <w:tc>
                <w:tcPr>
                  <w:tcW w:w="1898" w:type="pct"/>
                  <w:gridSpan w:val="2"/>
                  <w:vMerge w:val="continue"/>
                  <w:tcMar>
                    <w:left w:w="0" w:type="dxa"/>
                    <w:right w:w="0" w:type="dxa"/>
                  </w:tcMar>
                  <w:vAlign w:val="center"/>
                </w:tcPr>
                <w:p w14:paraId="6A57DE15">
                  <w:pPr>
                    <w:pStyle w:val="53"/>
                    <w:spacing w:line="260" w:lineRule="exact"/>
                    <w:jc w:val="center"/>
                    <w:rPr>
                      <w:rFonts w:cs="Times New Roman"/>
                      <w:sz w:val="21"/>
                      <w:szCs w:val="21"/>
                    </w:rPr>
                  </w:pPr>
                </w:p>
              </w:tc>
              <w:tc>
                <w:tcPr>
                  <w:tcW w:w="660" w:type="pct"/>
                  <w:vMerge w:val="continue"/>
                  <w:vAlign w:val="center"/>
                </w:tcPr>
                <w:p w14:paraId="3C8D07F8">
                  <w:pPr>
                    <w:pStyle w:val="53"/>
                    <w:spacing w:line="260" w:lineRule="exact"/>
                    <w:jc w:val="center"/>
                    <w:rPr>
                      <w:rFonts w:cs="Times New Roman"/>
                      <w:sz w:val="21"/>
                      <w:szCs w:val="21"/>
                    </w:rPr>
                  </w:pPr>
                </w:p>
              </w:tc>
              <w:tc>
                <w:tcPr>
                  <w:tcW w:w="1277" w:type="dxa"/>
                  <w:vAlign w:val="center"/>
                </w:tcPr>
                <w:p w14:paraId="5B8E71FF">
                  <w:pPr>
                    <w:pStyle w:val="53"/>
                    <w:spacing w:line="290" w:lineRule="exact"/>
                    <w:jc w:val="center"/>
                    <w:rPr>
                      <w:rFonts w:cs="Times New Roman"/>
                      <w:sz w:val="21"/>
                      <w:szCs w:val="21"/>
                    </w:rPr>
                  </w:pPr>
                  <w:r>
                    <w:rPr>
                      <w:rFonts w:hint="default" w:ascii="Times New Roman" w:hAnsi="Times New Roman" w:eastAsia="仿宋" w:cs="Times New Roman"/>
                      <w:sz w:val="21"/>
                      <w:szCs w:val="21"/>
                    </w:rPr>
                    <w:t>COD</w:t>
                  </w:r>
                </w:p>
              </w:tc>
              <w:tc>
                <w:tcPr>
                  <w:tcW w:w="878" w:type="dxa"/>
                  <w:vAlign w:val="center"/>
                </w:tcPr>
                <w:p w14:paraId="5B163BB2">
                  <w:pPr>
                    <w:pStyle w:val="53"/>
                    <w:spacing w:line="290" w:lineRule="exact"/>
                    <w:jc w:val="center"/>
                    <w:rPr>
                      <w:rFonts w:cs="Times New Roman"/>
                      <w:sz w:val="21"/>
                      <w:szCs w:val="21"/>
                    </w:rPr>
                  </w:pPr>
                  <w:r>
                    <w:rPr>
                      <w:rFonts w:hint="default" w:ascii="Times New Roman" w:hAnsi="Times New Roman" w:eastAsia="仿宋" w:cs="Times New Roman"/>
                      <w:sz w:val="21"/>
                      <w:szCs w:val="21"/>
                    </w:rPr>
                    <w:t>mg/L</w:t>
                  </w:r>
                </w:p>
              </w:tc>
              <w:tc>
                <w:tcPr>
                  <w:tcW w:w="1120" w:type="dxa"/>
                  <w:vAlign w:val="center"/>
                </w:tcPr>
                <w:p w14:paraId="6244F498">
                  <w:pPr>
                    <w:pStyle w:val="53"/>
                    <w:spacing w:line="290" w:lineRule="exact"/>
                    <w:jc w:val="center"/>
                    <w:rPr>
                      <w:rFonts w:cs="Times New Roman"/>
                      <w:sz w:val="21"/>
                      <w:szCs w:val="21"/>
                    </w:rPr>
                  </w:pPr>
                  <w:r>
                    <w:rPr>
                      <w:rFonts w:hint="eastAsia"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0</w:t>
                  </w:r>
                </w:p>
              </w:tc>
            </w:tr>
            <w:tr w14:paraId="4E5AF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66C6EAC9">
                  <w:pPr>
                    <w:spacing w:line="240" w:lineRule="auto"/>
                    <w:jc w:val="center"/>
                    <w:rPr>
                      <w:sz w:val="21"/>
                      <w:szCs w:val="21"/>
                    </w:rPr>
                  </w:pPr>
                </w:p>
              </w:tc>
              <w:tc>
                <w:tcPr>
                  <w:tcW w:w="1898" w:type="pct"/>
                  <w:gridSpan w:val="2"/>
                  <w:vMerge w:val="continue"/>
                  <w:tcMar>
                    <w:left w:w="0" w:type="dxa"/>
                    <w:right w:w="0" w:type="dxa"/>
                  </w:tcMar>
                  <w:vAlign w:val="center"/>
                </w:tcPr>
                <w:p w14:paraId="5CFA1E94">
                  <w:pPr>
                    <w:pStyle w:val="53"/>
                    <w:spacing w:line="260" w:lineRule="exact"/>
                    <w:jc w:val="center"/>
                    <w:rPr>
                      <w:rFonts w:cs="Times New Roman"/>
                      <w:sz w:val="21"/>
                      <w:szCs w:val="21"/>
                    </w:rPr>
                  </w:pPr>
                </w:p>
              </w:tc>
              <w:tc>
                <w:tcPr>
                  <w:tcW w:w="660" w:type="pct"/>
                  <w:vMerge w:val="continue"/>
                  <w:vAlign w:val="center"/>
                </w:tcPr>
                <w:p w14:paraId="1525EA41">
                  <w:pPr>
                    <w:pStyle w:val="53"/>
                    <w:spacing w:line="260" w:lineRule="exact"/>
                    <w:jc w:val="center"/>
                    <w:rPr>
                      <w:rFonts w:cs="Times New Roman"/>
                      <w:sz w:val="21"/>
                      <w:szCs w:val="21"/>
                    </w:rPr>
                  </w:pPr>
                </w:p>
              </w:tc>
              <w:tc>
                <w:tcPr>
                  <w:tcW w:w="1277" w:type="dxa"/>
                  <w:vAlign w:val="center"/>
                </w:tcPr>
                <w:p w14:paraId="6695A74E">
                  <w:pPr>
                    <w:pStyle w:val="53"/>
                    <w:spacing w:line="290" w:lineRule="exact"/>
                    <w:jc w:val="center"/>
                    <w:rPr>
                      <w:rFonts w:cs="Times New Roman"/>
                      <w:sz w:val="21"/>
                      <w:szCs w:val="21"/>
                    </w:rPr>
                  </w:pPr>
                  <w:r>
                    <w:rPr>
                      <w:rFonts w:hint="default" w:ascii="Times New Roman" w:hAnsi="Times New Roman" w:eastAsia="仿宋" w:cs="Times New Roman"/>
                      <w:sz w:val="21"/>
                      <w:szCs w:val="21"/>
                    </w:rPr>
                    <w:t>SS</w:t>
                  </w:r>
                </w:p>
              </w:tc>
              <w:tc>
                <w:tcPr>
                  <w:tcW w:w="878" w:type="dxa"/>
                  <w:vAlign w:val="center"/>
                </w:tcPr>
                <w:p w14:paraId="3F439D20">
                  <w:pPr>
                    <w:pStyle w:val="53"/>
                    <w:spacing w:line="290" w:lineRule="exact"/>
                    <w:jc w:val="center"/>
                    <w:rPr>
                      <w:rFonts w:cs="Times New Roman"/>
                      <w:sz w:val="21"/>
                      <w:szCs w:val="21"/>
                    </w:rPr>
                  </w:pPr>
                  <w:r>
                    <w:rPr>
                      <w:rFonts w:hint="default" w:ascii="Times New Roman" w:hAnsi="Times New Roman" w:eastAsia="仿宋" w:cs="Times New Roman"/>
                      <w:sz w:val="21"/>
                      <w:szCs w:val="21"/>
                    </w:rPr>
                    <w:t>mg/L</w:t>
                  </w:r>
                </w:p>
              </w:tc>
              <w:tc>
                <w:tcPr>
                  <w:tcW w:w="1120" w:type="dxa"/>
                  <w:vAlign w:val="center"/>
                </w:tcPr>
                <w:p w14:paraId="661D9D9A">
                  <w:pPr>
                    <w:pStyle w:val="53"/>
                    <w:spacing w:line="290" w:lineRule="exact"/>
                    <w:jc w:val="center"/>
                    <w:rPr>
                      <w:rFonts w:cs="Times New Roman"/>
                      <w:sz w:val="21"/>
                      <w:szCs w:val="21"/>
                    </w:rPr>
                  </w:pPr>
                  <w:r>
                    <w:rPr>
                      <w:rFonts w:hint="default" w:ascii="Times New Roman" w:hAnsi="Times New Roman" w:eastAsia="仿宋" w:cs="Times New Roman"/>
                      <w:sz w:val="21"/>
                      <w:szCs w:val="21"/>
                    </w:rPr>
                    <w:t>10</w:t>
                  </w:r>
                </w:p>
              </w:tc>
            </w:tr>
            <w:tr w14:paraId="63CD6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01058F4D">
                  <w:pPr>
                    <w:spacing w:line="240" w:lineRule="auto"/>
                    <w:jc w:val="center"/>
                    <w:rPr>
                      <w:sz w:val="21"/>
                      <w:szCs w:val="21"/>
                    </w:rPr>
                  </w:pPr>
                </w:p>
              </w:tc>
              <w:tc>
                <w:tcPr>
                  <w:tcW w:w="1898" w:type="pct"/>
                  <w:gridSpan w:val="2"/>
                  <w:vMerge w:val="continue"/>
                  <w:tcMar>
                    <w:left w:w="0" w:type="dxa"/>
                    <w:right w:w="0" w:type="dxa"/>
                  </w:tcMar>
                  <w:vAlign w:val="center"/>
                </w:tcPr>
                <w:p w14:paraId="731080E2">
                  <w:pPr>
                    <w:pStyle w:val="53"/>
                    <w:spacing w:line="260" w:lineRule="exact"/>
                    <w:jc w:val="center"/>
                    <w:rPr>
                      <w:rFonts w:cs="Times New Roman"/>
                      <w:sz w:val="21"/>
                      <w:szCs w:val="21"/>
                    </w:rPr>
                  </w:pPr>
                </w:p>
              </w:tc>
              <w:tc>
                <w:tcPr>
                  <w:tcW w:w="660" w:type="pct"/>
                  <w:vMerge w:val="continue"/>
                  <w:vAlign w:val="center"/>
                </w:tcPr>
                <w:p w14:paraId="60FBDF72">
                  <w:pPr>
                    <w:pStyle w:val="53"/>
                    <w:spacing w:line="260" w:lineRule="exact"/>
                    <w:jc w:val="center"/>
                    <w:rPr>
                      <w:rFonts w:cs="Times New Roman"/>
                      <w:sz w:val="21"/>
                      <w:szCs w:val="21"/>
                    </w:rPr>
                  </w:pPr>
                </w:p>
              </w:tc>
              <w:tc>
                <w:tcPr>
                  <w:tcW w:w="1277" w:type="dxa"/>
                  <w:vAlign w:val="center"/>
                </w:tcPr>
                <w:p w14:paraId="00F27612">
                  <w:pPr>
                    <w:pStyle w:val="53"/>
                    <w:spacing w:line="290" w:lineRule="exact"/>
                    <w:jc w:val="center"/>
                    <w:rPr>
                      <w:rFonts w:cs="Times New Roman"/>
                      <w:sz w:val="21"/>
                      <w:szCs w:val="21"/>
                    </w:rPr>
                  </w:pPr>
                  <w:r>
                    <w:rPr>
                      <w:rFonts w:hint="default" w:ascii="Times New Roman" w:hAnsi="Times New Roman" w:eastAsia="仿宋" w:cs="Times New Roman"/>
                      <w:sz w:val="21"/>
                      <w:szCs w:val="21"/>
                    </w:rPr>
                    <w:t>氨氮</w:t>
                  </w:r>
                </w:p>
              </w:tc>
              <w:tc>
                <w:tcPr>
                  <w:tcW w:w="878" w:type="dxa"/>
                  <w:vAlign w:val="center"/>
                </w:tcPr>
                <w:p w14:paraId="5BBE773F">
                  <w:pPr>
                    <w:pStyle w:val="53"/>
                    <w:spacing w:line="290" w:lineRule="exact"/>
                    <w:jc w:val="center"/>
                    <w:rPr>
                      <w:rFonts w:cs="Times New Roman"/>
                      <w:sz w:val="21"/>
                      <w:szCs w:val="21"/>
                    </w:rPr>
                  </w:pPr>
                  <w:r>
                    <w:rPr>
                      <w:rFonts w:hint="default" w:ascii="Times New Roman" w:hAnsi="Times New Roman" w:eastAsia="仿宋" w:cs="Times New Roman"/>
                      <w:sz w:val="21"/>
                      <w:szCs w:val="21"/>
                    </w:rPr>
                    <w:t>mg/L</w:t>
                  </w:r>
                </w:p>
              </w:tc>
              <w:tc>
                <w:tcPr>
                  <w:tcW w:w="1120" w:type="dxa"/>
                  <w:vAlign w:val="center"/>
                </w:tcPr>
                <w:p w14:paraId="1E1303D3">
                  <w:pPr>
                    <w:pStyle w:val="53"/>
                    <w:spacing w:line="290" w:lineRule="exact"/>
                    <w:jc w:val="center"/>
                    <w:rPr>
                      <w:rFonts w:cs="Times New Roman"/>
                      <w:sz w:val="21"/>
                      <w:szCs w:val="21"/>
                    </w:rPr>
                  </w:pPr>
                  <w:r>
                    <w:rPr>
                      <w:rFonts w:hint="eastAsia" w:ascii="Times New Roman" w:hAnsi="Times New Roman" w:eastAsia="仿宋" w:cs="Times New Roman"/>
                      <w:sz w:val="21"/>
                      <w:szCs w:val="21"/>
                      <w:lang w:val="en-US" w:eastAsia="zh-CN"/>
                    </w:rPr>
                    <w:t>4</w:t>
                  </w:r>
                  <w:r>
                    <w:rPr>
                      <w:rFonts w:hint="default" w:ascii="Times New Roman" w:hAnsi="Times New Roman" w:eastAsia="仿宋" w:cs="Times New Roman"/>
                      <w:sz w:val="21"/>
                      <w:szCs w:val="21"/>
                    </w:rPr>
                    <w:t>（</w:t>
                  </w:r>
                  <w:r>
                    <w:rPr>
                      <w:rFonts w:hint="eastAsia"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p>
              </w:tc>
            </w:tr>
            <w:tr w14:paraId="45899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5F7A7719">
                  <w:pPr>
                    <w:spacing w:line="240" w:lineRule="auto"/>
                    <w:jc w:val="center"/>
                    <w:rPr>
                      <w:sz w:val="21"/>
                      <w:szCs w:val="21"/>
                    </w:rPr>
                  </w:pPr>
                </w:p>
              </w:tc>
              <w:tc>
                <w:tcPr>
                  <w:tcW w:w="1898" w:type="pct"/>
                  <w:gridSpan w:val="2"/>
                  <w:vMerge w:val="continue"/>
                  <w:tcMar>
                    <w:left w:w="0" w:type="dxa"/>
                    <w:right w:w="0" w:type="dxa"/>
                  </w:tcMar>
                  <w:vAlign w:val="center"/>
                </w:tcPr>
                <w:p w14:paraId="076FBD2E">
                  <w:pPr>
                    <w:pStyle w:val="53"/>
                    <w:spacing w:line="260" w:lineRule="exact"/>
                    <w:jc w:val="center"/>
                    <w:rPr>
                      <w:rFonts w:cs="Times New Roman"/>
                      <w:sz w:val="21"/>
                      <w:szCs w:val="21"/>
                    </w:rPr>
                  </w:pPr>
                </w:p>
              </w:tc>
              <w:tc>
                <w:tcPr>
                  <w:tcW w:w="660" w:type="pct"/>
                  <w:vMerge w:val="continue"/>
                  <w:vAlign w:val="center"/>
                </w:tcPr>
                <w:p w14:paraId="3B85A8E3">
                  <w:pPr>
                    <w:pStyle w:val="53"/>
                    <w:spacing w:line="260" w:lineRule="exact"/>
                    <w:jc w:val="center"/>
                    <w:rPr>
                      <w:rFonts w:cs="Times New Roman"/>
                      <w:sz w:val="21"/>
                      <w:szCs w:val="21"/>
                    </w:rPr>
                  </w:pPr>
                </w:p>
              </w:tc>
              <w:tc>
                <w:tcPr>
                  <w:tcW w:w="1277" w:type="dxa"/>
                  <w:vAlign w:val="center"/>
                </w:tcPr>
                <w:p w14:paraId="7E332106">
                  <w:pPr>
                    <w:pStyle w:val="53"/>
                    <w:spacing w:line="290" w:lineRule="exact"/>
                    <w:jc w:val="center"/>
                    <w:rPr>
                      <w:rFonts w:cs="Times New Roman"/>
                      <w:sz w:val="21"/>
                      <w:szCs w:val="21"/>
                    </w:rPr>
                  </w:pPr>
                  <w:r>
                    <w:rPr>
                      <w:rFonts w:hint="default" w:ascii="Times New Roman" w:hAnsi="Times New Roman" w:eastAsia="仿宋" w:cs="Times New Roman"/>
                      <w:sz w:val="21"/>
                      <w:szCs w:val="21"/>
                    </w:rPr>
                    <w:t>TP</w:t>
                  </w:r>
                </w:p>
              </w:tc>
              <w:tc>
                <w:tcPr>
                  <w:tcW w:w="878" w:type="dxa"/>
                  <w:vAlign w:val="center"/>
                </w:tcPr>
                <w:p w14:paraId="3EB2C8D3">
                  <w:pPr>
                    <w:pStyle w:val="53"/>
                    <w:spacing w:line="290" w:lineRule="exact"/>
                    <w:jc w:val="center"/>
                    <w:rPr>
                      <w:rFonts w:cs="Times New Roman"/>
                      <w:sz w:val="21"/>
                      <w:szCs w:val="21"/>
                    </w:rPr>
                  </w:pPr>
                  <w:r>
                    <w:rPr>
                      <w:rFonts w:hint="default" w:ascii="Times New Roman" w:hAnsi="Times New Roman" w:eastAsia="仿宋" w:cs="Times New Roman"/>
                      <w:sz w:val="21"/>
                      <w:szCs w:val="21"/>
                    </w:rPr>
                    <w:t>mg/L</w:t>
                  </w:r>
                </w:p>
              </w:tc>
              <w:tc>
                <w:tcPr>
                  <w:tcW w:w="1120" w:type="dxa"/>
                  <w:vAlign w:val="center"/>
                </w:tcPr>
                <w:p w14:paraId="32C2472A">
                  <w:pPr>
                    <w:pStyle w:val="53"/>
                    <w:spacing w:line="290" w:lineRule="exact"/>
                    <w:jc w:val="center"/>
                    <w:rPr>
                      <w:rFonts w:cs="Times New Roman"/>
                      <w:sz w:val="21"/>
                      <w:szCs w:val="21"/>
                    </w:rPr>
                  </w:pPr>
                  <w:r>
                    <w:rPr>
                      <w:rFonts w:hint="default" w:ascii="Times New Roman" w:hAnsi="Times New Roman" w:eastAsia="仿宋" w:cs="Times New Roman"/>
                      <w:sz w:val="21"/>
                      <w:szCs w:val="21"/>
                    </w:rPr>
                    <w:t>0.</w:t>
                  </w:r>
                  <w:r>
                    <w:rPr>
                      <w:rFonts w:hint="eastAsia" w:ascii="Times New Roman" w:hAnsi="Times New Roman" w:eastAsia="仿宋" w:cs="Times New Roman"/>
                      <w:sz w:val="21"/>
                      <w:szCs w:val="21"/>
                      <w:lang w:val="en-US" w:eastAsia="zh-CN"/>
                    </w:rPr>
                    <w:t>5</w:t>
                  </w:r>
                </w:p>
              </w:tc>
            </w:tr>
            <w:tr w14:paraId="1D3F7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6C13A604">
                  <w:pPr>
                    <w:spacing w:line="240" w:lineRule="auto"/>
                    <w:jc w:val="center"/>
                    <w:rPr>
                      <w:sz w:val="21"/>
                      <w:szCs w:val="21"/>
                    </w:rPr>
                  </w:pPr>
                </w:p>
              </w:tc>
              <w:tc>
                <w:tcPr>
                  <w:tcW w:w="1898" w:type="pct"/>
                  <w:gridSpan w:val="2"/>
                  <w:vMerge w:val="continue"/>
                  <w:tcMar>
                    <w:left w:w="0" w:type="dxa"/>
                    <w:right w:w="0" w:type="dxa"/>
                  </w:tcMar>
                  <w:vAlign w:val="center"/>
                </w:tcPr>
                <w:p w14:paraId="2ED583A6">
                  <w:pPr>
                    <w:pStyle w:val="53"/>
                    <w:spacing w:line="260" w:lineRule="exact"/>
                    <w:jc w:val="center"/>
                    <w:rPr>
                      <w:rFonts w:cs="Times New Roman"/>
                      <w:sz w:val="21"/>
                      <w:szCs w:val="21"/>
                    </w:rPr>
                  </w:pPr>
                </w:p>
              </w:tc>
              <w:tc>
                <w:tcPr>
                  <w:tcW w:w="660" w:type="pct"/>
                  <w:vMerge w:val="continue"/>
                  <w:vAlign w:val="center"/>
                </w:tcPr>
                <w:p w14:paraId="070F92E2">
                  <w:pPr>
                    <w:pStyle w:val="53"/>
                    <w:spacing w:line="260" w:lineRule="exact"/>
                    <w:jc w:val="center"/>
                    <w:rPr>
                      <w:rFonts w:cs="Times New Roman"/>
                      <w:sz w:val="21"/>
                      <w:szCs w:val="21"/>
                    </w:rPr>
                  </w:pPr>
                </w:p>
              </w:tc>
              <w:tc>
                <w:tcPr>
                  <w:tcW w:w="1277" w:type="dxa"/>
                  <w:vAlign w:val="center"/>
                </w:tcPr>
                <w:p w14:paraId="05A69EFF">
                  <w:pPr>
                    <w:pStyle w:val="53"/>
                    <w:spacing w:line="290" w:lineRule="exact"/>
                    <w:jc w:val="center"/>
                    <w:rPr>
                      <w:rFonts w:cs="Times New Roman"/>
                      <w:sz w:val="21"/>
                      <w:szCs w:val="21"/>
                    </w:rPr>
                  </w:pPr>
                  <w:r>
                    <w:rPr>
                      <w:rFonts w:hint="default" w:ascii="Times New Roman" w:hAnsi="Times New Roman" w:eastAsia="仿宋" w:cs="Times New Roman"/>
                      <w:sz w:val="21"/>
                      <w:szCs w:val="21"/>
                    </w:rPr>
                    <w:t>TN</w:t>
                  </w:r>
                </w:p>
              </w:tc>
              <w:tc>
                <w:tcPr>
                  <w:tcW w:w="878" w:type="dxa"/>
                  <w:vAlign w:val="center"/>
                </w:tcPr>
                <w:p w14:paraId="6A4B1B16">
                  <w:pPr>
                    <w:pStyle w:val="53"/>
                    <w:spacing w:line="290" w:lineRule="exact"/>
                    <w:jc w:val="center"/>
                    <w:rPr>
                      <w:rFonts w:cs="Times New Roman"/>
                      <w:sz w:val="21"/>
                      <w:szCs w:val="21"/>
                    </w:rPr>
                  </w:pPr>
                  <w:r>
                    <w:rPr>
                      <w:rFonts w:hint="default" w:ascii="Times New Roman" w:hAnsi="Times New Roman" w:eastAsia="仿宋" w:cs="Times New Roman"/>
                      <w:sz w:val="21"/>
                      <w:szCs w:val="21"/>
                    </w:rPr>
                    <w:t>mg/L</w:t>
                  </w:r>
                </w:p>
              </w:tc>
              <w:tc>
                <w:tcPr>
                  <w:tcW w:w="1120" w:type="dxa"/>
                  <w:vAlign w:val="center"/>
                </w:tcPr>
                <w:p w14:paraId="088FF85D">
                  <w:pPr>
                    <w:pStyle w:val="53"/>
                    <w:spacing w:line="290" w:lineRule="exact"/>
                    <w:jc w:val="center"/>
                    <w:rPr>
                      <w:rFonts w:cs="Times New Roman"/>
                      <w:sz w:val="21"/>
                      <w:szCs w:val="21"/>
                    </w:rPr>
                  </w:pPr>
                  <w:r>
                    <w:rPr>
                      <w:rFonts w:hint="default" w:ascii="Times New Roman" w:hAnsi="Times New Roman" w:eastAsia="仿宋" w:cs="Times New Roman"/>
                      <w:sz w:val="21"/>
                      <w:szCs w:val="21"/>
                    </w:rPr>
                    <w:t>1</w:t>
                  </w:r>
                  <w:r>
                    <w:rPr>
                      <w:rFonts w:hint="eastAsia"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（1</w:t>
                  </w:r>
                  <w:r>
                    <w:rPr>
                      <w:rFonts w:hint="eastAsia"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w:t>
                  </w:r>
                </w:p>
              </w:tc>
            </w:tr>
          </w:tbl>
          <w:p w14:paraId="5DB37712">
            <w:pPr>
              <w:spacing w:line="240" w:lineRule="auto"/>
              <w:ind w:firstLine="402" w:firstLineChars="200"/>
              <w:rPr>
                <w:b/>
                <w:bCs/>
                <w:sz w:val="20"/>
                <w:szCs w:val="20"/>
              </w:rPr>
            </w:pPr>
            <w:r>
              <w:rPr>
                <w:b/>
                <w:bCs/>
                <w:sz w:val="20"/>
                <w:szCs w:val="20"/>
              </w:rPr>
              <w:t>注：</w:t>
            </w:r>
            <w:r>
              <w:rPr>
                <w:rFonts w:hint="eastAsia" w:ascii="仿宋" w:hAnsi="仿宋" w:cs="仿宋"/>
                <w:b/>
                <w:bCs/>
                <w:sz w:val="20"/>
                <w:szCs w:val="20"/>
              </w:rPr>
              <w:t>①</w:t>
            </w:r>
            <w:r>
              <w:rPr>
                <w:b/>
                <w:bCs/>
                <w:sz w:val="20"/>
                <w:szCs w:val="20"/>
                <w:vertAlign w:val="superscript"/>
              </w:rPr>
              <w:t>*</w:t>
            </w:r>
            <w:r>
              <w:rPr>
                <w:b/>
                <w:bCs/>
                <w:sz w:val="20"/>
                <w:szCs w:val="20"/>
              </w:rPr>
              <w:t>括号外数值为水温＞12℃时的控制指标，括号内数值为水温≤12℃时的控制指标。</w:t>
            </w:r>
          </w:p>
          <w:p w14:paraId="31701967">
            <w:pPr>
              <w:spacing w:line="480" w:lineRule="exact"/>
              <w:ind w:firstLine="482" w:firstLineChars="200"/>
              <w:rPr>
                <w:rFonts w:ascii="Times New Roman" w:hAnsi="Times New Roman" w:cs="Times New Roman"/>
                <w:b/>
                <w:bCs/>
              </w:rPr>
            </w:pPr>
            <w:r>
              <w:rPr>
                <w:rFonts w:hint="eastAsia" w:ascii="Times New Roman" w:hAnsi="Times New Roman" w:cs="Times New Roman"/>
                <w:b/>
                <w:bCs/>
                <w:lang w:val="en-US" w:eastAsia="zh-CN"/>
              </w:rPr>
              <w:t>2、大气</w:t>
            </w:r>
            <w:r>
              <w:rPr>
                <w:rFonts w:ascii="Times New Roman" w:hAnsi="Times New Roman" w:cs="Times New Roman"/>
                <w:b/>
                <w:bCs/>
              </w:rPr>
              <w:t>污染物排放标准</w:t>
            </w:r>
          </w:p>
          <w:p w14:paraId="707BB046">
            <w:pPr>
              <w:spacing w:after="120" w:afterLines="50" w:line="480" w:lineRule="exact"/>
              <w:ind w:firstLine="480" w:firstLineChars="200"/>
              <w:rPr>
                <w:rFonts w:hint="default"/>
                <w:lang w:val="en-US" w:eastAsia="zh-CN"/>
              </w:rPr>
            </w:pPr>
            <w:r>
              <w:rPr>
                <w:rFonts w:hint="eastAsia"/>
              </w:rPr>
              <w:t>本项目天然气燃烧产生的颗粒物、二氧化硫、氮氧化物和熔化、压铸工段产生的颗粒物执行《铸造工业大气污染物排放标准》（GB39726-2020），压铸工段使用脱模剂产生的非甲烷总烃执行《大气污染物综合排放标准》（DB32/4041-2021）</w:t>
            </w:r>
            <w:r>
              <w:rPr>
                <w:rFonts w:hint="eastAsia"/>
                <w:lang w:val="en-US" w:eastAsia="zh-CN"/>
              </w:rPr>
              <w:t>，详见表3-6、表3-7。</w:t>
            </w:r>
          </w:p>
          <w:p w14:paraId="74295A5A">
            <w:pPr>
              <w:pStyle w:val="51"/>
              <w:spacing w:before="0" w:beforeLines="0" w:line="240" w:lineRule="auto"/>
              <w:ind w:firstLine="0" w:firstLineChars="0"/>
              <w:jc w:val="center"/>
              <w:rPr>
                <w:rFonts w:cs="Times New Roman"/>
                <w:b/>
                <w:sz w:val="21"/>
                <w:szCs w:val="21"/>
              </w:rPr>
            </w:pPr>
            <w:r>
              <w:rPr>
                <w:rFonts w:cs="Times New Roman"/>
                <w:b/>
                <w:sz w:val="21"/>
                <w:szCs w:val="21"/>
              </w:rPr>
              <w:t>表</w:t>
            </w:r>
            <w:r>
              <w:rPr>
                <w:rFonts w:hint="eastAsia" w:cs="Times New Roman"/>
                <w:b/>
                <w:sz w:val="21"/>
                <w:szCs w:val="21"/>
                <w:lang w:val="en-US" w:eastAsia="zh-CN"/>
              </w:rPr>
              <w:t>3-6</w:t>
            </w:r>
            <w:r>
              <w:rPr>
                <w:rFonts w:cs="Times New Roman"/>
                <w:b/>
                <w:sz w:val="21"/>
                <w:szCs w:val="21"/>
              </w:rPr>
              <w:t xml:space="preserve"> </w:t>
            </w:r>
            <w:r>
              <w:rPr>
                <w:rFonts w:hint="eastAsia" w:cs="Times New Roman"/>
                <w:b/>
                <w:sz w:val="21"/>
                <w:szCs w:val="21"/>
              </w:rPr>
              <w:t xml:space="preserve"> </w:t>
            </w:r>
            <w:r>
              <w:rPr>
                <w:rFonts w:cs="Times New Roman"/>
                <w:b/>
                <w:sz w:val="21"/>
                <w:szCs w:val="21"/>
              </w:rPr>
              <w:t>废气排放标准限值表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0"/>
              <w:gridCol w:w="1067"/>
              <w:gridCol w:w="1759"/>
              <w:gridCol w:w="1097"/>
              <w:gridCol w:w="841"/>
              <w:gridCol w:w="932"/>
              <w:gridCol w:w="1099"/>
              <w:gridCol w:w="726"/>
            </w:tblGrid>
            <w:tr w14:paraId="15C3F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vMerge w:val="restart"/>
                  <w:noWrap w:val="0"/>
                  <w:vAlign w:val="center"/>
                </w:tcPr>
                <w:p w14:paraId="5E918863">
                  <w:pPr>
                    <w:spacing w:line="240" w:lineRule="auto"/>
                    <w:jc w:val="center"/>
                    <w:rPr>
                      <w:b/>
                      <w:bCs/>
                      <w:sz w:val="21"/>
                      <w:szCs w:val="21"/>
                    </w:rPr>
                  </w:pPr>
                  <w:r>
                    <w:rPr>
                      <w:rFonts w:hint="eastAsia"/>
                      <w:b/>
                      <w:bCs/>
                      <w:sz w:val="21"/>
                      <w:szCs w:val="21"/>
                    </w:rPr>
                    <w:t>产生工段</w:t>
                  </w:r>
                </w:p>
              </w:tc>
              <w:tc>
                <w:tcPr>
                  <w:tcW w:w="633" w:type="pct"/>
                  <w:vMerge w:val="restart"/>
                  <w:noWrap w:val="0"/>
                  <w:vAlign w:val="center"/>
                </w:tcPr>
                <w:p w14:paraId="06F9B4F6">
                  <w:pPr>
                    <w:spacing w:line="240" w:lineRule="auto"/>
                    <w:jc w:val="center"/>
                    <w:rPr>
                      <w:b/>
                      <w:bCs/>
                      <w:sz w:val="21"/>
                      <w:szCs w:val="21"/>
                    </w:rPr>
                  </w:pPr>
                  <w:r>
                    <w:rPr>
                      <w:b/>
                      <w:bCs/>
                      <w:sz w:val="21"/>
                      <w:szCs w:val="21"/>
                    </w:rPr>
                    <w:t>污染物</w:t>
                  </w:r>
                </w:p>
              </w:tc>
              <w:tc>
                <w:tcPr>
                  <w:tcW w:w="1044" w:type="pct"/>
                  <w:vMerge w:val="restart"/>
                  <w:noWrap w:val="0"/>
                  <w:vAlign w:val="center"/>
                </w:tcPr>
                <w:p w14:paraId="49E657CD">
                  <w:pPr>
                    <w:spacing w:line="240" w:lineRule="auto"/>
                    <w:jc w:val="center"/>
                    <w:rPr>
                      <w:b/>
                      <w:bCs/>
                      <w:sz w:val="21"/>
                      <w:szCs w:val="21"/>
                    </w:rPr>
                  </w:pPr>
                  <w:r>
                    <w:rPr>
                      <w:b/>
                      <w:bCs/>
                      <w:sz w:val="21"/>
                      <w:szCs w:val="21"/>
                    </w:rPr>
                    <w:t>执行标准</w:t>
                  </w:r>
                </w:p>
              </w:tc>
              <w:tc>
                <w:tcPr>
                  <w:tcW w:w="651" w:type="pct"/>
                  <w:vMerge w:val="restart"/>
                  <w:noWrap w:val="0"/>
                  <w:vAlign w:val="center"/>
                </w:tcPr>
                <w:p w14:paraId="119410B2">
                  <w:pPr>
                    <w:spacing w:line="240" w:lineRule="auto"/>
                    <w:jc w:val="center"/>
                    <w:rPr>
                      <w:b/>
                      <w:bCs/>
                      <w:sz w:val="21"/>
                      <w:szCs w:val="21"/>
                    </w:rPr>
                  </w:pPr>
                  <w:r>
                    <w:rPr>
                      <w:b/>
                      <w:bCs/>
                      <w:sz w:val="21"/>
                      <w:szCs w:val="21"/>
                    </w:rPr>
                    <w:t>最高允许排放浓度mg/m</w:t>
                  </w:r>
                  <w:r>
                    <w:rPr>
                      <w:b/>
                      <w:bCs/>
                      <w:sz w:val="21"/>
                      <w:szCs w:val="21"/>
                      <w:vertAlign w:val="superscript"/>
                    </w:rPr>
                    <w:t>3</w:t>
                  </w:r>
                </w:p>
              </w:tc>
              <w:tc>
                <w:tcPr>
                  <w:tcW w:w="1052" w:type="pct"/>
                  <w:gridSpan w:val="2"/>
                  <w:noWrap w:val="0"/>
                  <w:vAlign w:val="center"/>
                </w:tcPr>
                <w:p w14:paraId="3BBFCDD7">
                  <w:pPr>
                    <w:spacing w:line="240" w:lineRule="auto"/>
                    <w:jc w:val="center"/>
                    <w:rPr>
                      <w:b/>
                      <w:bCs/>
                      <w:sz w:val="21"/>
                      <w:szCs w:val="21"/>
                    </w:rPr>
                  </w:pPr>
                  <w:r>
                    <w:rPr>
                      <w:b/>
                      <w:bCs/>
                      <w:sz w:val="21"/>
                      <w:szCs w:val="21"/>
                    </w:rPr>
                    <w:t>最高允许排放速率</w:t>
                  </w:r>
                </w:p>
              </w:tc>
              <w:tc>
                <w:tcPr>
                  <w:tcW w:w="1083" w:type="pct"/>
                  <w:gridSpan w:val="2"/>
                  <w:noWrap w:val="0"/>
                  <w:tcMar>
                    <w:left w:w="0" w:type="dxa"/>
                    <w:right w:w="0" w:type="dxa"/>
                  </w:tcMar>
                  <w:vAlign w:val="center"/>
                </w:tcPr>
                <w:p w14:paraId="0AEE724C">
                  <w:pPr>
                    <w:spacing w:line="240" w:lineRule="auto"/>
                    <w:jc w:val="center"/>
                    <w:rPr>
                      <w:b/>
                      <w:bCs/>
                      <w:sz w:val="21"/>
                      <w:szCs w:val="21"/>
                    </w:rPr>
                  </w:pPr>
                  <w:r>
                    <w:rPr>
                      <w:b/>
                      <w:bCs/>
                      <w:sz w:val="21"/>
                      <w:szCs w:val="21"/>
                    </w:rPr>
                    <w:t>无组织监控浓度限值</w:t>
                  </w:r>
                </w:p>
              </w:tc>
            </w:tr>
            <w:tr w14:paraId="26B8C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vMerge w:val="continue"/>
                  <w:noWrap w:val="0"/>
                  <w:vAlign w:val="center"/>
                </w:tcPr>
                <w:p w14:paraId="672D5026">
                  <w:pPr>
                    <w:spacing w:line="240" w:lineRule="auto"/>
                    <w:jc w:val="center"/>
                    <w:rPr>
                      <w:b/>
                      <w:bCs/>
                      <w:sz w:val="21"/>
                      <w:szCs w:val="21"/>
                    </w:rPr>
                  </w:pPr>
                </w:p>
              </w:tc>
              <w:tc>
                <w:tcPr>
                  <w:tcW w:w="633" w:type="pct"/>
                  <w:vMerge w:val="continue"/>
                  <w:noWrap w:val="0"/>
                  <w:vAlign w:val="center"/>
                </w:tcPr>
                <w:p w14:paraId="0B2A6836">
                  <w:pPr>
                    <w:spacing w:line="240" w:lineRule="auto"/>
                    <w:jc w:val="center"/>
                    <w:rPr>
                      <w:b/>
                      <w:bCs/>
                      <w:sz w:val="21"/>
                      <w:szCs w:val="21"/>
                    </w:rPr>
                  </w:pPr>
                </w:p>
              </w:tc>
              <w:tc>
                <w:tcPr>
                  <w:tcW w:w="1044" w:type="pct"/>
                  <w:vMerge w:val="continue"/>
                  <w:noWrap w:val="0"/>
                  <w:vAlign w:val="center"/>
                </w:tcPr>
                <w:p w14:paraId="18922706">
                  <w:pPr>
                    <w:spacing w:line="240" w:lineRule="auto"/>
                    <w:jc w:val="center"/>
                    <w:rPr>
                      <w:b/>
                      <w:bCs/>
                      <w:sz w:val="21"/>
                      <w:szCs w:val="21"/>
                    </w:rPr>
                  </w:pPr>
                </w:p>
              </w:tc>
              <w:tc>
                <w:tcPr>
                  <w:tcW w:w="651" w:type="pct"/>
                  <w:vMerge w:val="continue"/>
                  <w:noWrap w:val="0"/>
                  <w:vAlign w:val="center"/>
                </w:tcPr>
                <w:p w14:paraId="598B236A">
                  <w:pPr>
                    <w:spacing w:line="240" w:lineRule="auto"/>
                    <w:jc w:val="center"/>
                    <w:rPr>
                      <w:b/>
                      <w:bCs/>
                      <w:sz w:val="21"/>
                      <w:szCs w:val="21"/>
                    </w:rPr>
                  </w:pPr>
                </w:p>
              </w:tc>
              <w:tc>
                <w:tcPr>
                  <w:tcW w:w="499" w:type="pct"/>
                  <w:noWrap w:val="0"/>
                  <w:vAlign w:val="center"/>
                </w:tcPr>
                <w:p w14:paraId="12AF68B8">
                  <w:pPr>
                    <w:spacing w:line="240" w:lineRule="auto"/>
                    <w:jc w:val="center"/>
                    <w:rPr>
                      <w:b/>
                      <w:bCs/>
                      <w:sz w:val="21"/>
                      <w:szCs w:val="21"/>
                    </w:rPr>
                  </w:pPr>
                  <w:r>
                    <w:rPr>
                      <w:b/>
                      <w:bCs/>
                      <w:sz w:val="21"/>
                      <w:szCs w:val="21"/>
                    </w:rPr>
                    <w:t>排气筒m</w:t>
                  </w:r>
                </w:p>
              </w:tc>
              <w:tc>
                <w:tcPr>
                  <w:tcW w:w="553" w:type="pct"/>
                  <w:noWrap w:val="0"/>
                  <w:vAlign w:val="center"/>
                </w:tcPr>
                <w:p w14:paraId="0239A526">
                  <w:pPr>
                    <w:spacing w:line="240" w:lineRule="auto"/>
                    <w:jc w:val="center"/>
                    <w:rPr>
                      <w:b/>
                      <w:bCs/>
                      <w:sz w:val="21"/>
                      <w:szCs w:val="21"/>
                    </w:rPr>
                  </w:pPr>
                  <w:r>
                    <w:rPr>
                      <w:b/>
                      <w:bCs/>
                      <w:sz w:val="21"/>
                      <w:szCs w:val="21"/>
                    </w:rPr>
                    <w:t>速率kg/h</w:t>
                  </w:r>
                </w:p>
              </w:tc>
              <w:tc>
                <w:tcPr>
                  <w:tcW w:w="652" w:type="pct"/>
                  <w:noWrap w:val="0"/>
                  <w:vAlign w:val="center"/>
                </w:tcPr>
                <w:p w14:paraId="0394D317">
                  <w:pPr>
                    <w:spacing w:line="240" w:lineRule="auto"/>
                    <w:jc w:val="center"/>
                    <w:rPr>
                      <w:b/>
                      <w:bCs/>
                      <w:sz w:val="21"/>
                      <w:szCs w:val="21"/>
                    </w:rPr>
                  </w:pPr>
                  <w:r>
                    <w:rPr>
                      <w:b/>
                      <w:bCs/>
                      <w:sz w:val="21"/>
                      <w:szCs w:val="21"/>
                    </w:rPr>
                    <w:t>监控点</w:t>
                  </w:r>
                </w:p>
              </w:tc>
              <w:tc>
                <w:tcPr>
                  <w:tcW w:w="431" w:type="pct"/>
                  <w:noWrap w:val="0"/>
                  <w:vAlign w:val="center"/>
                </w:tcPr>
                <w:p w14:paraId="235162B6">
                  <w:pPr>
                    <w:spacing w:line="240" w:lineRule="auto"/>
                    <w:jc w:val="center"/>
                    <w:rPr>
                      <w:b/>
                      <w:bCs/>
                      <w:sz w:val="21"/>
                      <w:szCs w:val="21"/>
                    </w:rPr>
                  </w:pPr>
                  <w:r>
                    <w:rPr>
                      <w:b/>
                      <w:bCs/>
                      <w:sz w:val="21"/>
                      <w:szCs w:val="21"/>
                    </w:rPr>
                    <w:t>浓度mg/m</w:t>
                  </w:r>
                  <w:r>
                    <w:rPr>
                      <w:b/>
                      <w:bCs/>
                      <w:sz w:val="21"/>
                      <w:szCs w:val="21"/>
                      <w:vertAlign w:val="superscript"/>
                    </w:rPr>
                    <w:t>3</w:t>
                  </w:r>
                </w:p>
              </w:tc>
            </w:tr>
            <w:tr w14:paraId="36B52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noWrap w:val="0"/>
                  <w:vAlign w:val="center"/>
                </w:tcPr>
                <w:p w14:paraId="35C2327A">
                  <w:pPr>
                    <w:pStyle w:val="53"/>
                    <w:spacing w:line="240" w:lineRule="auto"/>
                    <w:jc w:val="center"/>
                    <w:rPr>
                      <w:rFonts w:cs="Times New Roman"/>
                      <w:sz w:val="21"/>
                      <w:szCs w:val="21"/>
                    </w:rPr>
                  </w:pPr>
                  <w:r>
                    <w:rPr>
                      <w:rFonts w:hint="eastAsia" w:cs="Times New Roman"/>
                      <w:sz w:val="21"/>
                      <w:szCs w:val="21"/>
                    </w:rPr>
                    <w:t>压铸</w:t>
                  </w:r>
                </w:p>
              </w:tc>
              <w:tc>
                <w:tcPr>
                  <w:tcW w:w="633" w:type="pct"/>
                  <w:noWrap w:val="0"/>
                  <w:vAlign w:val="center"/>
                </w:tcPr>
                <w:p w14:paraId="35E2E757">
                  <w:pPr>
                    <w:pStyle w:val="53"/>
                    <w:spacing w:line="240" w:lineRule="auto"/>
                    <w:jc w:val="center"/>
                    <w:rPr>
                      <w:rFonts w:hint="eastAsia" w:cs="Times New Roman"/>
                      <w:sz w:val="21"/>
                      <w:szCs w:val="21"/>
                    </w:rPr>
                  </w:pPr>
                  <w:r>
                    <w:rPr>
                      <w:rFonts w:hint="eastAsia" w:cs="Times New Roman"/>
                      <w:sz w:val="21"/>
                      <w:szCs w:val="21"/>
                    </w:rPr>
                    <w:t>非甲烷总烃</w:t>
                  </w:r>
                </w:p>
              </w:tc>
              <w:tc>
                <w:tcPr>
                  <w:tcW w:w="1044" w:type="pct"/>
                  <w:noWrap w:val="0"/>
                  <w:vAlign w:val="center"/>
                </w:tcPr>
                <w:p w14:paraId="4188196E">
                  <w:pPr>
                    <w:pStyle w:val="53"/>
                    <w:spacing w:line="240" w:lineRule="auto"/>
                    <w:jc w:val="center"/>
                    <w:rPr>
                      <w:rFonts w:hint="eastAsia" w:cs="Times New Roman"/>
                      <w:sz w:val="21"/>
                      <w:szCs w:val="21"/>
                    </w:rPr>
                  </w:pPr>
                  <w:r>
                    <w:rPr>
                      <w:rFonts w:cs="Times New Roman"/>
                      <w:sz w:val="21"/>
                      <w:szCs w:val="21"/>
                    </w:rPr>
                    <w:t>大气污染物综合排放标准DB32/4041-2021</w:t>
                  </w:r>
                </w:p>
              </w:tc>
              <w:tc>
                <w:tcPr>
                  <w:tcW w:w="651" w:type="pct"/>
                  <w:noWrap w:val="0"/>
                  <w:vAlign w:val="center"/>
                </w:tcPr>
                <w:p w14:paraId="0CA25F7B">
                  <w:pPr>
                    <w:pStyle w:val="53"/>
                    <w:spacing w:line="240" w:lineRule="auto"/>
                    <w:jc w:val="center"/>
                    <w:rPr>
                      <w:rFonts w:cs="Times New Roman"/>
                      <w:sz w:val="21"/>
                      <w:szCs w:val="21"/>
                    </w:rPr>
                  </w:pPr>
                  <w:r>
                    <w:rPr>
                      <w:rFonts w:hint="eastAsia" w:cs="Times New Roman"/>
                      <w:sz w:val="21"/>
                      <w:szCs w:val="21"/>
                    </w:rPr>
                    <w:t>60</w:t>
                  </w:r>
                </w:p>
              </w:tc>
              <w:tc>
                <w:tcPr>
                  <w:tcW w:w="499" w:type="pct"/>
                  <w:vMerge w:val="restart"/>
                  <w:noWrap w:val="0"/>
                  <w:vAlign w:val="center"/>
                </w:tcPr>
                <w:p w14:paraId="5DCD4678">
                  <w:pPr>
                    <w:pStyle w:val="53"/>
                    <w:spacing w:line="240" w:lineRule="auto"/>
                    <w:jc w:val="center"/>
                    <w:rPr>
                      <w:rFonts w:cs="Times New Roman"/>
                      <w:sz w:val="21"/>
                      <w:szCs w:val="21"/>
                    </w:rPr>
                  </w:pPr>
                  <w:r>
                    <w:rPr>
                      <w:rFonts w:hint="eastAsia" w:cs="Times New Roman"/>
                      <w:sz w:val="21"/>
                      <w:szCs w:val="21"/>
                    </w:rPr>
                    <w:t>15</w:t>
                  </w:r>
                </w:p>
              </w:tc>
              <w:tc>
                <w:tcPr>
                  <w:tcW w:w="553" w:type="pct"/>
                  <w:noWrap w:val="0"/>
                  <w:vAlign w:val="center"/>
                </w:tcPr>
                <w:p w14:paraId="28D7A659">
                  <w:pPr>
                    <w:pStyle w:val="53"/>
                    <w:spacing w:line="240" w:lineRule="auto"/>
                    <w:jc w:val="center"/>
                    <w:rPr>
                      <w:rFonts w:hint="eastAsia" w:cs="Times New Roman"/>
                      <w:sz w:val="21"/>
                      <w:szCs w:val="21"/>
                    </w:rPr>
                  </w:pPr>
                  <w:r>
                    <w:rPr>
                      <w:rFonts w:hint="eastAsia" w:cs="Times New Roman"/>
                      <w:sz w:val="21"/>
                      <w:szCs w:val="21"/>
                    </w:rPr>
                    <w:t>3</w:t>
                  </w:r>
                </w:p>
              </w:tc>
              <w:tc>
                <w:tcPr>
                  <w:tcW w:w="652" w:type="pct"/>
                  <w:noWrap w:val="0"/>
                  <w:vAlign w:val="center"/>
                </w:tcPr>
                <w:p w14:paraId="3E78C287">
                  <w:pPr>
                    <w:pStyle w:val="53"/>
                    <w:spacing w:line="240" w:lineRule="auto"/>
                    <w:jc w:val="center"/>
                    <w:rPr>
                      <w:rFonts w:hint="eastAsia" w:cs="Times New Roman"/>
                      <w:sz w:val="21"/>
                      <w:szCs w:val="21"/>
                    </w:rPr>
                  </w:pPr>
                  <w:r>
                    <w:rPr>
                      <w:rFonts w:hint="eastAsia" w:cs="Times New Roman"/>
                      <w:sz w:val="21"/>
                      <w:szCs w:val="21"/>
                    </w:rPr>
                    <w:t>厂界</w:t>
                  </w:r>
                </w:p>
              </w:tc>
              <w:tc>
                <w:tcPr>
                  <w:tcW w:w="431" w:type="pct"/>
                  <w:noWrap w:val="0"/>
                  <w:vAlign w:val="center"/>
                </w:tcPr>
                <w:p w14:paraId="5368CD65">
                  <w:pPr>
                    <w:pStyle w:val="53"/>
                    <w:spacing w:line="240" w:lineRule="auto"/>
                    <w:jc w:val="center"/>
                    <w:rPr>
                      <w:rFonts w:hint="eastAsia" w:cs="Times New Roman"/>
                      <w:sz w:val="21"/>
                      <w:szCs w:val="21"/>
                    </w:rPr>
                  </w:pPr>
                  <w:r>
                    <w:rPr>
                      <w:rFonts w:hint="eastAsia" w:cs="Times New Roman"/>
                      <w:sz w:val="21"/>
                      <w:szCs w:val="21"/>
                    </w:rPr>
                    <w:t>4</w:t>
                  </w:r>
                </w:p>
              </w:tc>
            </w:tr>
            <w:tr w14:paraId="603B1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noWrap w:val="0"/>
                  <w:vAlign w:val="center"/>
                </w:tcPr>
                <w:p w14:paraId="1DDEAE6F">
                  <w:pPr>
                    <w:pStyle w:val="53"/>
                    <w:spacing w:line="240" w:lineRule="auto"/>
                    <w:jc w:val="center"/>
                    <w:rPr>
                      <w:rFonts w:cs="Times New Roman"/>
                      <w:sz w:val="21"/>
                      <w:szCs w:val="21"/>
                    </w:rPr>
                  </w:pPr>
                  <w:r>
                    <w:rPr>
                      <w:rFonts w:hint="eastAsia" w:cs="Times New Roman"/>
                      <w:sz w:val="21"/>
                      <w:szCs w:val="21"/>
                    </w:rPr>
                    <w:t>熔化、压铸</w:t>
                  </w:r>
                </w:p>
              </w:tc>
              <w:tc>
                <w:tcPr>
                  <w:tcW w:w="633" w:type="pct"/>
                  <w:noWrap w:val="0"/>
                  <w:vAlign w:val="center"/>
                </w:tcPr>
                <w:p w14:paraId="198CE630">
                  <w:pPr>
                    <w:pStyle w:val="53"/>
                    <w:spacing w:line="240" w:lineRule="auto"/>
                    <w:jc w:val="center"/>
                    <w:rPr>
                      <w:rFonts w:hint="eastAsia" w:cs="Times New Roman"/>
                      <w:sz w:val="21"/>
                      <w:szCs w:val="21"/>
                    </w:rPr>
                  </w:pPr>
                  <w:r>
                    <w:rPr>
                      <w:rFonts w:hint="eastAsia" w:cs="Times New Roman"/>
                      <w:sz w:val="21"/>
                      <w:szCs w:val="21"/>
                    </w:rPr>
                    <w:t>颗粒物</w:t>
                  </w:r>
                </w:p>
              </w:tc>
              <w:tc>
                <w:tcPr>
                  <w:tcW w:w="1044" w:type="pct"/>
                  <w:vMerge w:val="restart"/>
                  <w:noWrap w:val="0"/>
                  <w:vAlign w:val="center"/>
                </w:tcPr>
                <w:p w14:paraId="13F6666F">
                  <w:pPr>
                    <w:pStyle w:val="53"/>
                    <w:spacing w:line="240" w:lineRule="auto"/>
                    <w:jc w:val="center"/>
                    <w:rPr>
                      <w:rFonts w:cs="Times New Roman"/>
                      <w:sz w:val="21"/>
                      <w:szCs w:val="21"/>
                    </w:rPr>
                  </w:pPr>
                  <w:r>
                    <w:rPr>
                      <w:rFonts w:cs="Times New Roman"/>
                      <w:sz w:val="21"/>
                      <w:szCs w:val="21"/>
                    </w:rPr>
                    <w:t>铸造工业大气污染物排放标准GB39726</w:t>
                  </w:r>
                  <w:r>
                    <w:rPr>
                      <w:rFonts w:hint="eastAsia" w:cs="Times New Roman"/>
                      <w:sz w:val="21"/>
                      <w:szCs w:val="21"/>
                    </w:rPr>
                    <w:t>-</w:t>
                  </w:r>
                  <w:r>
                    <w:rPr>
                      <w:rFonts w:cs="Times New Roman"/>
                      <w:sz w:val="21"/>
                      <w:szCs w:val="21"/>
                    </w:rPr>
                    <w:t>2020</w:t>
                  </w:r>
                </w:p>
              </w:tc>
              <w:tc>
                <w:tcPr>
                  <w:tcW w:w="651" w:type="pct"/>
                  <w:noWrap w:val="0"/>
                  <w:vAlign w:val="center"/>
                </w:tcPr>
                <w:p w14:paraId="11454F3F">
                  <w:pPr>
                    <w:pStyle w:val="53"/>
                    <w:spacing w:line="240" w:lineRule="auto"/>
                    <w:jc w:val="center"/>
                    <w:rPr>
                      <w:rFonts w:cs="Times New Roman"/>
                      <w:sz w:val="21"/>
                      <w:szCs w:val="21"/>
                    </w:rPr>
                  </w:pPr>
                  <w:r>
                    <w:rPr>
                      <w:rFonts w:hint="eastAsia" w:cs="Times New Roman"/>
                      <w:sz w:val="21"/>
                      <w:szCs w:val="21"/>
                    </w:rPr>
                    <w:t>30</w:t>
                  </w:r>
                </w:p>
              </w:tc>
              <w:tc>
                <w:tcPr>
                  <w:tcW w:w="499" w:type="pct"/>
                  <w:vMerge w:val="continue"/>
                  <w:noWrap w:val="0"/>
                  <w:vAlign w:val="center"/>
                </w:tcPr>
                <w:p w14:paraId="42F801FB">
                  <w:pPr>
                    <w:pStyle w:val="53"/>
                    <w:spacing w:line="240" w:lineRule="auto"/>
                    <w:jc w:val="center"/>
                    <w:rPr>
                      <w:rFonts w:cs="Times New Roman"/>
                      <w:sz w:val="21"/>
                      <w:szCs w:val="21"/>
                    </w:rPr>
                  </w:pPr>
                </w:p>
              </w:tc>
              <w:tc>
                <w:tcPr>
                  <w:tcW w:w="553" w:type="pct"/>
                  <w:noWrap w:val="0"/>
                  <w:vAlign w:val="center"/>
                </w:tcPr>
                <w:p w14:paraId="280085C5">
                  <w:pPr>
                    <w:pStyle w:val="53"/>
                    <w:spacing w:line="240" w:lineRule="auto"/>
                    <w:jc w:val="center"/>
                    <w:rPr>
                      <w:rFonts w:cs="Times New Roman"/>
                      <w:sz w:val="21"/>
                      <w:szCs w:val="21"/>
                    </w:rPr>
                  </w:pPr>
                  <w:r>
                    <w:rPr>
                      <w:rFonts w:cs="Times New Roman"/>
                      <w:sz w:val="21"/>
                      <w:szCs w:val="21"/>
                    </w:rPr>
                    <w:t>--</w:t>
                  </w:r>
                </w:p>
              </w:tc>
              <w:tc>
                <w:tcPr>
                  <w:tcW w:w="652" w:type="pct"/>
                  <w:noWrap w:val="0"/>
                  <w:vAlign w:val="center"/>
                </w:tcPr>
                <w:p w14:paraId="5EE2B8F8">
                  <w:pPr>
                    <w:pStyle w:val="53"/>
                    <w:spacing w:line="240" w:lineRule="auto"/>
                    <w:jc w:val="center"/>
                    <w:rPr>
                      <w:rFonts w:cs="Times New Roman"/>
                      <w:sz w:val="21"/>
                      <w:szCs w:val="21"/>
                    </w:rPr>
                  </w:pPr>
                  <w:r>
                    <w:rPr>
                      <w:rFonts w:hint="eastAsia" w:cs="Times New Roman"/>
                      <w:sz w:val="21"/>
                      <w:szCs w:val="21"/>
                    </w:rPr>
                    <w:t>厂界</w:t>
                  </w:r>
                </w:p>
              </w:tc>
              <w:tc>
                <w:tcPr>
                  <w:tcW w:w="431" w:type="pct"/>
                  <w:noWrap w:val="0"/>
                  <w:vAlign w:val="center"/>
                </w:tcPr>
                <w:p w14:paraId="750BCEFF">
                  <w:pPr>
                    <w:pStyle w:val="53"/>
                    <w:spacing w:line="240" w:lineRule="auto"/>
                    <w:jc w:val="center"/>
                    <w:rPr>
                      <w:rFonts w:cs="Times New Roman"/>
                      <w:sz w:val="21"/>
                      <w:szCs w:val="21"/>
                    </w:rPr>
                  </w:pPr>
                  <w:r>
                    <w:rPr>
                      <w:rFonts w:hint="eastAsia" w:cs="Times New Roman"/>
                      <w:sz w:val="21"/>
                      <w:szCs w:val="21"/>
                    </w:rPr>
                    <w:t>0.5</w:t>
                  </w:r>
                </w:p>
              </w:tc>
            </w:tr>
            <w:tr w14:paraId="056F0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vMerge w:val="restart"/>
                  <w:noWrap w:val="0"/>
                  <w:vAlign w:val="center"/>
                </w:tcPr>
                <w:p w14:paraId="458F97F3">
                  <w:pPr>
                    <w:pStyle w:val="53"/>
                    <w:spacing w:line="240" w:lineRule="auto"/>
                    <w:jc w:val="center"/>
                    <w:rPr>
                      <w:rFonts w:cs="Times New Roman"/>
                      <w:sz w:val="21"/>
                      <w:szCs w:val="21"/>
                    </w:rPr>
                  </w:pPr>
                  <w:r>
                    <w:rPr>
                      <w:rFonts w:hint="eastAsia" w:cs="Times New Roman"/>
                      <w:sz w:val="21"/>
                      <w:szCs w:val="21"/>
                    </w:rPr>
                    <w:t>天然气燃烧</w:t>
                  </w:r>
                </w:p>
              </w:tc>
              <w:tc>
                <w:tcPr>
                  <w:tcW w:w="633" w:type="pct"/>
                  <w:noWrap w:val="0"/>
                  <w:vAlign w:val="center"/>
                </w:tcPr>
                <w:p w14:paraId="187652D9">
                  <w:pPr>
                    <w:pStyle w:val="53"/>
                    <w:spacing w:line="240" w:lineRule="auto"/>
                    <w:jc w:val="center"/>
                    <w:rPr>
                      <w:rFonts w:cs="Times New Roman"/>
                      <w:sz w:val="21"/>
                      <w:szCs w:val="21"/>
                    </w:rPr>
                  </w:pPr>
                  <w:r>
                    <w:rPr>
                      <w:rFonts w:cs="Times New Roman"/>
                      <w:sz w:val="21"/>
                      <w:szCs w:val="21"/>
                    </w:rPr>
                    <w:t>颗粒物</w:t>
                  </w:r>
                </w:p>
              </w:tc>
              <w:tc>
                <w:tcPr>
                  <w:tcW w:w="1044" w:type="pct"/>
                  <w:vMerge w:val="continue"/>
                  <w:noWrap w:val="0"/>
                  <w:vAlign w:val="center"/>
                </w:tcPr>
                <w:p w14:paraId="25E1C22C">
                  <w:pPr>
                    <w:pStyle w:val="53"/>
                    <w:spacing w:line="240" w:lineRule="auto"/>
                    <w:jc w:val="center"/>
                    <w:rPr>
                      <w:rFonts w:hint="eastAsia" w:cs="Times New Roman"/>
                      <w:sz w:val="21"/>
                      <w:szCs w:val="21"/>
                    </w:rPr>
                  </w:pPr>
                </w:p>
              </w:tc>
              <w:tc>
                <w:tcPr>
                  <w:tcW w:w="651" w:type="pct"/>
                  <w:noWrap w:val="0"/>
                  <w:vAlign w:val="center"/>
                </w:tcPr>
                <w:p w14:paraId="6A17017B">
                  <w:pPr>
                    <w:pStyle w:val="53"/>
                    <w:spacing w:line="240" w:lineRule="auto"/>
                    <w:jc w:val="center"/>
                    <w:rPr>
                      <w:rFonts w:cs="Times New Roman"/>
                      <w:sz w:val="21"/>
                      <w:szCs w:val="21"/>
                    </w:rPr>
                  </w:pPr>
                  <w:r>
                    <w:rPr>
                      <w:rFonts w:hint="eastAsia" w:cs="Times New Roman"/>
                      <w:sz w:val="21"/>
                      <w:szCs w:val="21"/>
                    </w:rPr>
                    <w:t>3</w:t>
                  </w:r>
                  <w:r>
                    <w:rPr>
                      <w:rFonts w:cs="Times New Roman"/>
                      <w:sz w:val="21"/>
                      <w:szCs w:val="21"/>
                    </w:rPr>
                    <w:t>0</w:t>
                  </w:r>
                </w:p>
              </w:tc>
              <w:tc>
                <w:tcPr>
                  <w:tcW w:w="499" w:type="pct"/>
                  <w:vMerge w:val="continue"/>
                  <w:noWrap w:val="0"/>
                  <w:vAlign w:val="center"/>
                </w:tcPr>
                <w:p w14:paraId="630980AF">
                  <w:pPr>
                    <w:pStyle w:val="53"/>
                    <w:spacing w:line="240" w:lineRule="auto"/>
                    <w:jc w:val="center"/>
                    <w:rPr>
                      <w:rFonts w:hint="eastAsia" w:cs="Times New Roman"/>
                      <w:sz w:val="21"/>
                      <w:szCs w:val="21"/>
                    </w:rPr>
                  </w:pPr>
                </w:p>
              </w:tc>
              <w:tc>
                <w:tcPr>
                  <w:tcW w:w="553" w:type="pct"/>
                  <w:noWrap w:val="0"/>
                  <w:vAlign w:val="center"/>
                </w:tcPr>
                <w:p w14:paraId="537EF332">
                  <w:pPr>
                    <w:pStyle w:val="53"/>
                    <w:spacing w:line="240" w:lineRule="auto"/>
                    <w:jc w:val="center"/>
                    <w:rPr>
                      <w:rFonts w:hint="eastAsia" w:cs="Times New Roman"/>
                      <w:sz w:val="21"/>
                      <w:szCs w:val="21"/>
                    </w:rPr>
                  </w:pPr>
                  <w:r>
                    <w:rPr>
                      <w:rFonts w:cs="Times New Roman"/>
                      <w:sz w:val="21"/>
                      <w:szCs w:val="21"/>
                    </w:rPr>
                    <w:t>--</w:t>
                  </w:r>
                </w:p>
              </w:tc>
              <w:tc>
                <w:tcPr>
                  <w:tcW w:w="652" w:type="pct"/>
                  <w:noWrap w:val="0"/>
                  <w:vAlign w:val="center"/>
                </w:tcPr>
                <w:p w14:paraId="0064D2D3">
                  <w:pPr>
                    <w:spacing w:line="240" w:lineRule="auto"/>
                    <w:jc w:val="center"/>
                    <w:rPr>
                      <w:rFonts w:cs="Times New Roman"/>
                      <w:sz w:val="21"/>
                      <w:szCs w:val="21"/>
                    </w:rPr>
                  </w:pPr>
                  <w:r>
                    <w:rPr>
                      <w:rFonts w:cs="Times New Roman"/>
                      <w:sz w:val="21"/>
                      <w:szCs w:val="21"/>
                    </w:rPr>
                    <w:t>--</w:t>
                  </w:r>
                </w:p>
              </w:tc>
              <w:tc>
                <w:tcPr>
                  <w:tcW w:w="431" w:type="pct"/>
                  <w:noWrap w:val="0"/>
                  <w:vAlign w:val="center"/>
                </w:tcPr>
                <w:p w14:paraId="53C8508C">
                  <w:pPr>
                    <w:spacing w:line="240" w:lineRule="auto"/>
                    <w:jc w:val="center"/>
                    <w:rPr>
                      <w:rFonts w:hint="eastAsia" w:cs="Times New Roman"/>
                      <w:sz w:val="21"/>
                      <w:szCs w:val="21"/>
                    </w:rPr>
                  </w:pPr>
                  <w:r>
                    <w:rPr>
                      <w:rFonts w:cs="Times New Roman"/>
                      <w:sz w:val="21"/>
                      <w:szCs w:val="21"/>
                    </w:rPr>
                    <w:t>--</w:t>
                  </w:r>
                </w:p>
              </w:tc>
            </w:tr>
            <w:tr w14:paraId="6ED64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vMerge w:val="continue"/>
                  <w:noWrap w:val="0"/>
                  <w:vAlign w:val="center"/>
                </w:tcPr>
                <w:p w14:paraId="5AEA9EA6">
                  <w:pPr>
                    <w:pStyle w:val="53"/>
                    <w:spacing w:line="240" w:lineRule="auto"/>
                    <w:jc w:val="center"/>
                    <w:rPr>
                      <w:rFonts w:hint="eastAsia" w:cs="Times New Roman"/>
                      <w:sz w:val="21"/>
                      <w:szCs w:val="21"/>
                    </w:rPr>
                  </w:pPr>
                </w:p>
              </w:tc>
              <w:tc>
                <w:tcPr>
                  <w:tcW w:w="633" w:type="pct"/>
                  <w:noWrap w:val="0"/>
                  <w:vAlign w:val="center"/>
                </w:tcPr>
                <w:p w14:paraId="73194F2E">
                  <w:pPr>
                    <w:pStyle w:val="53"/>
                    <w:spacing w:line="240" w:lineRule="auto"/>
                    <w:jc w:val="center"/>
                    <w:rPr>
                      <w:rFonts w:cs="Times New Roman"/>
                      <w:sz w:val="21"/>
                      <w:szCs w:val="21"/>
                    </w:rPr>
                  </w:pPr>
                  <w:r>
                    <w:rPr>
                      <w:rFonts w:hint="eastAsia" w:cs="Times New Roman"/>
                      <w:sz w:val="21"/>
                      <w:szCs w:val="21"/>
                    </w:rPr>
                    <w:t>NOx</w:t>
                  </w:r>
                </w:p>
              </w:tc>
              <w:tc>
                <w:tcPr>
                  <w:tcW w:w="1044" w:type="pct"/>
                  <w:vMerge w:val="continue"/>
                  <w:noWrap w:val="0"/>
                  <w:vAlign w:val="center"/>
                </w:tcPr>
                <w:p w14:paraId="36E60869">
                  <w:pPr>
                    <w:pStyle w:val="53"/>
                    <w:spacing w:line="240" w:lineRule="auto"/>
                    <w:jc w:val="center"/>
                    <w:rPr>
                      <w:rFonts w:hint="eastAsia" w:cs="Times New Roman"/>
                      <w:sz w:val="21"/>
                      <w:szCs w:val="21"/>
                    </w:rPr>
                  </w:pPr>
                </w:p>
              </w:tc>
              <w:tc>
                <w:tcPr>
                  <w:tcW w:w="651" w:type="pct"/>
                  <w:noWrap w:val="0"/>
                  <w:vAlign w:val="center"/>
                </w:tcPr>
                <w:p w14:paraId="74C4513F">
                  <w:pPr>
                    <w:pStyle w:val="53"/>
                    <w:spacing w:line="240" w:lineRule="auto"/>
                    <w:jc w:val="center"/>
                    <w:rPr>
                      <w:rFonts w:cs="Times New Roman"/>
                      <w:sz w:val="21"/>
                      <w:szCs w:val="21"/>
                    </w:rPr>
                  </w:pPr>
                  <w:r>
                    <w:rPr>
                      <w:rFonts w:hint="eastAsia" w:cs="Times New Roman"/>
                      <w:sz w:val="21"/>
                      <w:szCs w:val="21"/>
                    </w:rPr>
                    <w:t>400</w:t>
                  </w:r>
                </w:p>
              </w:tc>
              <w:tc>
                <w:tcPr>
                  <w:tcW w:w="499" w:type="pct"/>
                  <w:vMerge w:val="continue"/>
                  <w:noWrap w:val="0"/>
                  <w:vAlign w:val="center"/>
                </w:tcPr>
                <w:p w14:paraId="10C8CB00">
                  <w:pPr>
                    <w:pStyle w:val="53"/>
                    <w:spacing w:line="240" w:lineRule="auto"/>
                    <w:jc w:val="center"/>
                    <w:rPr>
                      <w:rFonts w:hint="eastAsia" w:cs="Times New Roman"/>
                      <w:sz w:val="21"/>
                      <w:szCs w:val="21"/>
                    </w:rPr>
                  </w:pPr>
                </w:p>
              </w:tc>
              <w:tc>
                <w:tcPr>
                  <w:tcW w:w="553" w:type="pct"/>
                  <w:noWrap w:val="0"/>
                  <w:vAlign w:val="center"/>
                </w:tcPr>
                <w:p w14:paraId="1420E627">
                  <w:pPr>
                    <w:pStyle w:val="53"/>
                    <w:spacing w:line="240" w:lineRule="auto"/>
                    <w:jc w:val="center"/>
                    <w:rPr>
                      <w:rFonts w:hint="eastAsia" w:cs="Times New Roman"/>
                      <w:sz w:val="21"/>
                      <w:szCs w:val="21"/>
                    </w:rPr>
                  </w:pPr>
                  <w:r>
                    <w:rPr>
                      <w:rFonts w:cs="Times New Roman"/>
                      <w:sz w:val="21"/>
                      <w:szCs w:val="21"/>
                    </w:rPr>
                    <w:t>--</w:t>
                  </w:r>
                </w:p>
              </w:tc>
              <w:tc>
                <w:tcPr>
                  <w:tcW w:w="652" w:type="pct"/>
                  <w:noWrap w:val="0"/>
                  <w:vAlign w:val="center"/>
                </w:tcPr>
                <w:p w14:paraId="16A4C6A9">
                  <w:pPr>
                    <w:pStyle w:val="53"/>
                    <w:spacing w:line="240" w:lineRule="auto"/>
                    <w:jc w:val="center"/>
                    <w:rPr>
                      <w:rFonts w:cs="Times New Roman"/>
                      <w:sz w:val="21"/>
                      <w:szCs w:val="21"/>
                    </w:rPr>
                  </w:pPr>
                  <w:r>
                    <w:rPr>
                      <w:rFonts w:cs="Times New Roman"/>
                      <w:sz w:val="21"/>
                      <w:szCs w:val="21"/>
                    </w:rPr>
                    <w:t>--</w:t>
                  </w:r>
                </w:p>
              </w:tc>
              <w:tc>
                <w:tcPr>
                  <w:tcW w:w="431" w:type="pct"/>
                  <w:noWrap w:val="0"/>
                  <w:vAlign w:val="center"/>
                </w:tcPr>
                <w:p w14:paraId="76B1BAC4">
                  <w:pPr>
                    <w:pStyle w:val="53"/>
                    <w:spacing w:line="240" w:lineRule="auto"/>
                    <w:jc w:val="center"/>
                    <w:rPr>
                      <w:rFonts w:hint="eastAsia" w:cs="Times New Roman"/>
                      <w:sz w:val="21"/>
                      <w:szCs w:val="21"/>
                    </w:rPr>
                  </w:pPr>
                  <w:r>
                    <w:rPr>
                      <w:rFonts w:cs="Times New Roman"/>
                      <w:sz w:val="21"/>
                      <w:szCs w:val="21"/>
                    </w:rPr>
                    <w:t>--</w:t>
                  </w:r>
                </w:p>
              </w:tc>
            </w:tr>
            <w:tr w14:paraId="7EAFC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34" w:type="pct"/>
                  <w:vMerge w:val="continue"/>
                  <w:noWrap w:val="0"/>
                  <w:vAlign w:val="center"/>
                </w:tcPr>
                <w:p w14:paraId="2BAAF570">
                  <w:pPr>
                    <w:pStyle w:val="53"/>
                    <w:spacing w:line="240" w:lineRule="auto"/>
                    <w:jc w:val="center"/>
                    <w:rPr>
                      <w:rFonts w:hint="eastAsia" w:cs="Times New Roman"/>
                      <w:sz w:val="21"/>
                      <w:szCs w:val="21"/>
                    </w:rPr>
                  </w:pPr>
                </w:p>
              </w:tc>
              <w:tc>
                <w:tcPr>
                  <w:tcW w:w="633" w:type="pct"/>
                  <w:noWrap w:val="0"/>
                  <w:vAlign w:val="center"/>
                </w:tcPr>
                <w:p w14:paraId="6AEFCEFD">
                  <w:pPr>
                    <w:pStyle w:val="53"/>
                    <w:spacing w:line="240" w:lineRule="auto"/>
                    <w:jc w:val="center"/>
                    <w:rPr>
                      <w:rFonts w:cs="Times New Roman"/>
                      <w:sz w:val="21"/>
                      <w:szCs w:val="21"/>
                    </w:rPr>
                  </w:pPr>
                  <w:r>
                    <w:rPr>
                      <w:rFonts w:hint="eastAsia" w:cs="Times New Roman"/>
                      <w:sz w:val="21"/>
                      <w:szCs w:val="21"/>
                    </w:rPr>
                    <w:t>SO</w:t>
                  </w:r>
                  <w:r>
                    <w:rPr>
                      <w:rFonts w:hint="eastAsia" w:cs="Times New Roman"/>
                      <w:sz w:val="21"/>
                      <w:szCs w:val="21"/>
                      <w:vertAlign w:val="subscript"/>
                    </w:rPr>
                    <w:t>2</w:t>
                  </w:r>
                </w:p>
              </w:tc>
              <w:tc>
                <w:tcPr>
                  <w:tcW w:w="1044" w:type="pct"/>
                  <w:vMerge w:val="continue"/>
                  <w:noWrap w:val="0"/>
                  <w:vAlign w:val="center"/>
                </w:tcPr>
                <w:p w14:paraId="5D27899F">
                  <w:pPr>
                    <w:pStyle w:val="53"/>
                    <w:spacing w:line="240" w:lineRule="auto"/>
                    <w:jc w:val="center"/>
                    <w:rPr>
                      <w:rFonts w:hint="eastAsia" w:cs="Times New Roman"/>
                      <w:sz w:val="21"/>
                      <w:szCs w:val="21"/>
                    </w:rPr>
                  </w:pPr>
                </w:p>
              </w:tc>
              <w:tc>
                <w:tcPr>
                  <w:tcW w:w="651" w:type="pct"/>
                  <w:noWrap w:val="0"/>
                  <w:vAlign w:val="center"/>
                </w:tcPr>
                <w:p w14:paraId="2ACFED10">
                  <w:pPr>
                    <w:pStyle w:val="53"/>
                    <w:spacing w:line="240" w:lineRule="auto"/>
                    <w:jc w:val="center"/>
                    <w:rPr>
                      <w:rFonts w:cs="Times New Roman"/>
                      <w:sz w:val="21"/>
                      <w:szCs w:val="21"/>
                    </w:rPr>
                  </w:pPr>
                  <w:r>
                    <w:rPr>
                      <w:rFonts w:hint="eastAsia" w:cs="Times New Roman"/>
                      <w:sz w:val="21"/>
                      <w:szCs w:val="21"/>
                    </w:rPr>
                    <w:t>100</w:t>
                  </w:r>
                </w:p>
              </w:tc>
              <w:tc>
                <w:tcPr>
                  <w:tcW w:w="499" w:type="pct"/>
                  <w:vMerge w:val="continue"/>
                  <w:noWrap w:val="0"/>
                  <w:vAlign w:val="center"/>
                </w:tcPr>
                <w:p w14:paraId="28406C2D">
                  <w:pPr>
                    <w:pStyle w:val="53"/>
                    <w:spacing w:line="240" w:lineRule="auto"/>
                    <w:jc w:val="center"/>
                    <w:rPr>
                      <w:rFonts w:hint="eastAsia" w:cs="Times New Roman"/>
                      <w:sz w:val="21"/>
                      <w:szCs w:val="21"/>
                    </w:rPr>
                  </w:pPr>
                </w:p>
              </w:tc>
              <w:tc>
                <w:tcPr>
                  <w:tcW w:w="553" w:type="pct"/>
                  <w:noWrap w:val="0"/>
                  <w:vAlign w:val="center"/>
                </w:tcPr>
                <w:p w14:paraId="07DE46EA">
                  <w:pPr>
                    <w:pStyle w:val="53"/>
                    <w:spacing w:line="240" w:lineRule="auto"/>
                    <w:jc w:val="center"/>
                    <w:rPr>
                      <w:rFonts w:hint="eastAsia" w:cs="Times New Roman"/>
                      <w:sz w:val="21"/>
                      <w:szCs w:val="21"/>
                    </w:rPr>
                  </w:pPr>
                  <w:r>
                    <w:rPr>
                      <w:rFonts w:cs="Times New Roman"/>
                      <w:sz w:val="21"/>
                      <w:szCs w:val="21"/>
                    </w:rPr>
                    <w:t>--</w:t>
                  </w:r>
                </w:p>
              </w:tc>
              <w:tc>
                <w:tcPr>
                  <w:tcW w:w="652" w:type="pct"/>
                  <w:noWrap w:val="0"/>
                  <w:vAlign w:val="center"/>
                </w:tcPr>
                <w:p w14:paraId="65FD3475">
                  <w:pPr>
                    <w:pStyle w:val="53"/>
                    <w:spacing w:line="240" w:lineRule="auto"/>
                    <w:jc w:val="center"/>
                    <w:rPr>
                      <w:rFonts w:cs="Times New Roman"/>
                      <w:sz w:val="21"/>
                      <w:szCs w:val="21"/>
                    </w:rPr>
                  </w:pPr>
                  <w:r>
                    <w:rPr>
                      <w:rFonts w:cs="Times New Roman"/>
                      <w:sz w:val="21"/>
                      <w:szCs w:val="21"/>
                    </w:rPr>
                    <w:t>--</w:t>
                  </w:r>
                </w:p>
              </w:tc>
              <w:tc>
                <w:tcPr>
                  <w:tcW w:w="431" w:type="pct"/>
                  <w:noWrap w:val="0"/>
                  <w:vAlign w:val="center"/>
                </w:tcPr>
                <w:p w14:paraId="4A43CE1B">
                  <w:pPr>
                    <w:pStyle w:val="53"/>
                    <w:spacing w:line="240" w:lineRule="auto"/>
                    <w:jc w:val="center"/>
                    <w:rPr>
                      <w:rFonts w:hint="eastAsia" w:cs="Times New Roman"/>
                      <w:sz w:val="21"/>
                      <w:szCs w:val="21"/>
                    </w:rPr>
                  </w:pPr>
                  <w:r>
                    <w:rPr>
                      <w:rFonts w:cs="Times New Roman"/>
                      <w:sz w:val="21"/>
                      <w:szCs w:val="21"/>
                    </w:rPr>
                    <w:t>--</w:t>
                  </w:r>
                </w:p>
              </w:tc>
            </w:tr>
          </w:tbl>
          <w:p w14:paraId="7D7A6B78">
            <w:pPr>
              <w:spacing w:line="240" w:lineRule="auto"/>
              <w:rPr>
                <w:b/>
                <w:bCs/>
                <w:sz w:val="21"/>
                <w:szCs w:val="21"/>
              </w:rPr>
            </w:pPr>
            <w:r>
              <w:rPr>
                <w:rFonts w:hint="eastAsia"/>
                <w:b/>
                <w:bCs/>
                <w:sz w:val="21"/>
                <w:szCs w:val="21"/>
              </w:rPr>
              <w:t>注：实测的大气污染物排放浓度，应按照下式换算为基准氧含量条件下的排放浓度，并以此作为达标判定的依据。</w:t>
            </w:r>
          </w:p>
          <w:p w14:paraId="346BD316">
            <w:pPr>
              <w:pStyle w:val="5"/>
              <w:spacing w:line="240" w:lineRule="auto"/>
              <w:jc w:val="center"/>
            </w:pPr>
            <w:r>
              <w:drawing>
                <wp:inline distT="0" distB="0" distL="114300" distR="114300">
                  <wp:extent cx="955675" cy="403860"/>
                  <wp:effectExtent l="0" t="0" r="15875" b="152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6"/>
                          <a:stretch>
                            <a:fillRect/>
                          </a:stretch>
                        </pic:blipFill>
                        <pic:spPr>
                          <a:xfrm>
                            <a:off x="0" y="0"/>
                            <a:ext cx="955675" cy="403860"/>
                          </a:xfrm>
                          <a:prstGeom prst="rect">
                            <a:avLst/>
                          </a:prstGeom>
                          <a:noFill/>
                          <a:ln>
                            <a:noFill/>
                          </a:ln>
                        </pic:spPr>
                      </pic:pic>
                    </a:graphicData>
                  </a:graphic>
                </wp:inline>
              </w:drawing>
            </w:r>
          </w:p>
          <w:p w14:paraId="5096A893">
            <w:pPr>
              <w:spacing w:line="480" w:lineRule="exact"/>
              <w:ind w:firstLine="480" w:firstLineChars="200"/>
            </w:pPr>
            <w:r>
              <w:t>式中：</w:t>
            </w:r>
          </w:p>
          <w:p w14:paraId="5B8B8A79">
            <w:pPr>
              <w:spacing w:line="480" w:lineRule="exact"/>
              <w:ind w:firstLine="480" w:firstLineChars="200"/>
            </w:pPr>
            <w:r>
              <w:t>ρ基——大气污染物基准排放质量浓度，mg/m</w:t>
            </w:r>
            <w:r>
              <w:rPr>
                <w:vertAlign w:val="superscript"/>
              </w:rPr>
              <w:t>3</w:t>
            </w:r>
            <w:r>
              <w:t>；</w:t>
            </w:r>
          </w:p>
          <w:p w14:paraId="31A15F7A">
            <w:pPr>
              <w:spacing w:line="480" w:lineRule="exact"/>
              <w:ind w:firstLine="480" w:firstLineChars="200"/>
            </w:pPr>
            <w:r>
              <w:t>O基——干烟气基准含氧量，%；</w:t>
            </w:r>
          </w:p>
          <w:p w14:paraId="3C9A9C14">
            <w:pPr>
              <w:spacing w:line="480" w:lineRule="exact"/>
              <w:ind w:firstLine="480" w:firstLineChars="200"/>
            </w:pPr>
            <w:r>
              <w:t>O实——实测的干烟气含氧量，%；</w:t>
            </w:r>
          </w:p>
          <w:p w14:paraId="065ECE0D">
            <w:pPr>
              <w:spacing w:line="480" w:lineRule="exact"/>
              <w:ind w:firstLine="480" w:firstLineChars="200"/>
              <w:rPr>
                <w:rFonts w:hint="default"/>
                <w:lang w:val="en-US" w:eastAsia="zh-CN"/>
              </w:rPr>
            </w:pPr>
            <w:r>
              <w:t>ρ实——实际大气污染物排放质量浓度，mg/m</w:t>
            </w:r>
            <w:r>
              <w:rPr>
                <w:vertAlign w:val="superscript"/>
              </w:rPr>
              <w:t>3</w:t>
            </w:r>
            <w:r>
              <w:t>。</w:t>
            </w:r>
          </w:p>
          <w:p w14:paraId="6EFF39F6">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表3-</w:t>
            </w:r>
            <w:r>
              <w:rPr>
                <w:rFonts w:hint="eastAsia" w:ascii="Times New Roman" w:hAnsi="Times New Roman" w:cs="Times New Roman"/>
                <w:b/>
                <w:color w:val="auto"/>
                <w:sz w:val="21"/>
                <w:szCs w:val="21"/>
                <w:lang w:val="en-US" w:eastAsia="zh-CN"/>
              </w:rPr>
              <w:t>7</w:t>
            </w:r>
            <w:r>
              <w:rPr>
                <w:rFonts w:hint="default" w:ascii="Times New Roman" w:hAnsi="Times New Roman" w:eastAsia="仿宋" w:cs="Times New Roman"/>
                <w:b/>
                <w:color w:val="auto"/>
                <w:sz w:val="21"/>
                <w:szCs w:val="21"/>
                <w:lang w:val="en-US" w:eastAsia="zh-CN"/>
              </w:rPr>
              <w:t xml:space="preserve">  厂区内</w:t>
            </w:r>
            <w:r>
              <w:rPr>
                <w:rFonts w:hint="eastAsia" w:ascii="Times New Roman" w:hAnsi="Times New Roman" w:cs="Times New Roman"/>
                <w:b/>
                <w:color w:val="auto"/>
                <w:sz w:val="21"/>
                <w:szCs w:val="21"/>
                <w:lang w:val="en-US" w:eastAsia="zh-CN"/>
              </w:rPr>
              <w:t>颗粒物、</w:t>
            </w:r>
            <w:r>
              <w:rPr>
                <w:rFonts w:hint="default" w:ascii="Times New Roman" w:hAnsi="Times New Roman" w:eastAsia="仿宋" w:cs="Times New Roman"/>
                <w:b/>
                <w:color w:val="auto"/>
                <w:sz w:val="21"/>
                <w:szCs w:val="21"/>
                <w:lang w:val="en-US" w:eastAsia="zh-CN"/>
              </w:rPr>
              <w:t>VOCs无组织排放限值</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823"/>
              <w:gridCol w:w="1338"/>
              <w:gridCol w:w="2653"/>
              <w:gridCol w:w="1291"/>
            </w:tblGrid>
            <w:tr w14:paraId="26B14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pct"/>
                  <w:tcBorders>
                    <w:tl2br w:val="nil"/>
                    <w:tr2bl w:val="nil"/>
                  </w:tcBorders>
                  <w:noWrap w:val="0"/>
                  <w:vAlign w:val="center"/>
                </w:tcPr>
                <w:p w14:paraId="36F7924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污染物项目</w:t>
                  </w:r>
                </w:p>
              </w:tc>
              <w:tc>
                <w:tcPr>
                  <w:tcW w:w="1082" w:type="pct"/>
                  <w:tcBorders>
                    <w:tl2br w:val="nil"/>
                    <w:tr2bl w:val="nil"/>
                  </w:tcBorders>
                  <w:noWrap w:val="0"/>
                  <w:vAlign w:val="center"/>
                </w:tcPr>
                <w:p w14:paraId="4F97A74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eastAsia" w:ascii="Times New Roman" w:hAnsi="Times New Roman" w:cs="Times New Roman"/>
                      <w:b/>
                      <w:color w:val="auto"/>
                      <w:sz w:val="21"/>
                      <w:szCs w:val="21"/>
                      <w:lang w:val="en-US" w:eastAsia="zh-CN"/>
                    </w:rPr>
                    <w:t>执行标准</w:t>
                  </w:r>
                </w:p>
              </w:tc>
              <w:tc>
                <w:tcPr>
                  <w:tcW w:w="794" w:type="pct"/>
                  <w:tcBorders>
                    <w:tl2br w:val="nil"/>
                    <w:tr2bl w:val="nil"/>
                  </w:tcBorders>
                  <w:noWrap w:val="0"/>
                  <w:vAlign w:val="center"/>
                </w:tcPr>
                <w:p w14:paraId="655F8E2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特别排放限值mg/m</w:t>
                  </w:r>
                  <w:r>
                    <w:rPr>
                      <w:rFonts w:hint="default" w:ascii="Times New Roman" w:hAnsi="Times New Roman" w:eastAsia="仿宋" w:cs="Times New Roman"/>
                      <w:b/>
                      <w:color w:val="auto"/>
                      <w:sz w:val="21"/>
                      <w:szCs w:val="21"/>
                      <w:vertAlign w:val="superscript"/>
                      <w:lang w:val="en-US" w:eastAsia="zh-CN"/>
                    </w:rPr>
                    <w:t>3</w:t>
                  </w:r>
                </w:p>
              </w:tc>
              <w:tc>
                <w:tcPr>
                  <w:tcW w:w="1574" w:type="pct"/>
                  <w:tcBorders>
                    <w:tl2br w:val="nil"/>
                    <w:tr2bl w:val="nil"/>
                  </w:tcBorders>
                  <w:noWrap w:val="0"/>
                  <w:vAlign w:val="center"/>
                </w:tcPr>
                <w:p w14:paraId="7A5276B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限值含义</w:t>
                  </w:r>
                </w:p>
              </w:tc>
              <w:tc>
                <w:tcPr>
                  <w:tcW w:w="766" w:type="pct"/>
                  <w:tcBorders>
                    <w:tl2br w:val="nil"/>
                    <w:tr2bl w:val="nil"/>
                  </w:tcBorders>
                  <w:noWrap w:val="0"/>
                  <w:vAlign w:val="center"/>
                </w:tcPr>
                <w:p w14:paraId="3DFE1FB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无组织排放监控位置</w:t>
                  </w:r>
                </w:p>
              </w:tc>
            </w:tr>
            <w:tr w14:paraId="1628C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81" w:type="pct"/>
                  <w:vMerge w:val="restart"/>
                  <w:tcBorders>
                    <w:tl2br w:val="nil"/>
                    <w:tr2bl w:val="nil"/>
                  </w:tcBorders>
                  <w:noWrap w:val="0"/>
                  <w:vAlign w:val="center"/>
                </w:tcPr>
                <w:p w14:paraId="4AC28C2B">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lang w:val="en-US" w:eastAsia="zh-CN"/>
                    </w:rPr>
                    <w:t>NMHC</w:t>
                  </w:r>
                </w:p>
              </w:tc>
              <w:tc>
                <w:tcPr>
                  <w:tcW w:w="1082" w:type="pct"/>
                  <w:vMerge w:val="restart"/>
                  <w:tcBorders>
                    <w:tl2br w:val="nil"/>
                    <w:tr2bl w:val="nil"/>
                  </w:tcBorders>
                  <w:shd w:val="clear" w:color="auto" w:fill="auto"/>
                  <w:noWrap w:val="0"/>
                  <w:vAlign w:val="center"/>
                </w:tcPr>
                <w:p w14:paraId="6ED0E428">
                  <w:pPr>
                    <w:pStyle w:val="53"/>
                    <w:spacing w:line="240" w:lineRule="auto"/>
                    <w:jc w:val="center"/>
                    <w:rPr>
                      <w:rFonts w:hint="default" w:ascii="Times New Roman" w:hAnsi="Times New Roman" w:eastAsia="仿宋" w:cs="Times New Roman"/>
                      <w:kern w:val="2"/>
                      <w:sz w:val="21"/>
                      <w:szCs w:val="21"/>
                      <w:lang w:val="en-US" w:eastAsia="zh-CN" w:bidi="ar-SA"/>
                    </w:rPr>
                  </w:pPr>
                  <w:r>
                    <w:rPr>
                      <w:rFonts w:hint="eastAsia" w:cs="Times New Roman"/>
                      <w:sz w:val="21"/>
                      <w:szCs w:val="21"/>
                      <w:lang w:eastAsia="zh-CN"/>
                    </w:rPr>
                    <w:t>《</w:t>
                  </w:r>
                  <w:r>
                    <w:rPr>
                      <w:rFonts w:cs="Times New Roman"/>
                      <w:sz w:val="21"/>
                      <w:szCs w:val="21"/>
                    </w:rPr>
                    <w:t>铸造工业大气污染物排放标准</w:t>
                  </w:r>
                  <w:r>
                    <w:rPr>
                      <w:rFonts w:hint="eastAsia" w:cs="Times New Roman"/>
                      <w:sz w:val="21"/>
                      <w:szCs w:val="21"/>
                      <w:lang w:eastAsia="zh-CN"/>
                    </w:rPr>
                    <w:t>》</w:t>
                  </w:r>
                  <w:r>
                    <w:rPr>
                      <w:rFonts w:cs="Times New Roman"/>
                      <w:sz w:val="21"/>
                      <w:szCs w:val="21"/>
                    </w:rPr>
                    <w:t>GB39726</w:t>
                  </w:r>
                  <w:r>
                    <w:rPr>
                      <w:rFonts w:hint="eastAsia" w:cs="Times New Roman"/>
                      <w:sz w:val="21"/>
                      <w:szCs w:val="21"/>
                    </w:rPr>
                    <w:t>-</w:t>
                  </w:r>
                  <w:r>
                    <w:rPr>
                      <w:rFonts w:cs="Times New Roman"/>
                      <w:sz w:val="21"/>
                      <w:szCs w:val="21"/>
                    </w:rPr>
                    <w:t>2020</w:t>
                  </w:r>
                </w:p>
              </w:tc>
              <w:tc>
                <w:tcPr>
                  <w:tcW w:w="794" w:type="pct"/>
                  <w:tcBorders>
                    <w:tl2br w:val="nil"/>
                    <w:tr2bl w:val="nil"/>
                  </w:tcBorders>
                  <w:noWrap w:val="0"/>
                  <w:vAlign w:val="center"/>
                </w:tcPr>
                <w:p w14:paraId="61D071DC">
                  <w:pPr>
                    <w:keepNext w:val="0"/>
                    <w:keepLines w:val="0"/>
                    <w:suppressLineNumbers w:val="0"/>
                    <w:tabs>
                      <w:tab w:val="left" w:pos="4500"/>
                    </w:tabs>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574" w:type="pct"/>
                  <w:tcBorders>
                    <w:tl2br w:val="nil"/>
                    <w:tr2bl w:val="nil"/>
                  </w:tcBorders>
                  <w:noWrap w:val="0"/>
                  <w:vAlign w:val="center"/>
                </w:tcPr>
                <w:p w14:paraId="76C8933E">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监控点处1h平均浓度值</w:t>
                  </w:r>
                </w:p>
              </w:tc>
              <w:tc>
                <w:tcPr>
                  <w:tcW w:w="766" w:type="pct"/>
                  <w:vMerge w:val="restart"/>
                  <w:tcBorders>
                    <w:tl2br w:val="nil"/>
                    <w:tr2bl w:val="nil"/>
                  </w:tcBorders>
                  <w:noWrap w:val="0"/>
                  <w:vAlign w:val="center"/>
                </w:tcPr>
                <w:p w14:paraId="31FF463C">
                  <w:pPr>
                    <w:pStyle w:val="50"/>
                    <w:keepNext w:val="0"/>
                    <w:keepLines w:val="0"/>
                    <w:widowControl w:val="0"/>
                    <w:suppressLineNumbers w:val="0"/>
                    <w:pBdr>
                      <w:bottom w:val="none" w:color="auto" w:sz="0" w:space="0"/>
                    </w:pBdr>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2"/>
                      <w:sz w:val="21"/>
                      <w:szCs w:val="21"/>
                    </w:rPr>
                    <w:t>在厂房外设置监控点</w:t>
                  </w:r>
                </w:p>
              </w:tc>
            </w:tr>
            <w:tr w14:paraId="6F17A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pct"/>
                  <w:vMerge w:val="continue"/>
                  <w:tcBorders>
                    <w:tl2br w:val="nil"/>
                    <w:tr2bl w:val="nil"/>
                  </w:tcBorders>
                  <w:noWrap w:val="0"/>
                  <w:vAlign w:val="center"/>
                </w:tcPr>
                <w:p w14:paraId="4892CB12">
                  <w:pPr>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1"/>
                      <w:szCs w:val="21"/>
                      <w:vertAlign w:val="baseline"/>
                    </w:rPr>
                  </w:pPr>
                </w:p>
              </w:tc>
              <w:tc>
                <w:tcPr>
                  <w:tcW w:w="1082" w:type="pct"/>
                  <w:vMerge w:val="continue"/>
                  <w:tcBorders>
                    <w:tl2br w:val="nil"/>
                    <w:tr2bl w:val="nil"/>
                  </w:tcBorders>
                  <w:noWrap w:val="0"/>
                  <w:vAlign w:val="center"/>
                </w:tcPr>
                <w:p w14:paraId="606B1970">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94" w:type="pct"/>
                  <w:tcBorders>
                    <w:tl2br w:val="nil"/>
                    <w:tr2bl w:val="nil"/>
                  </w:tcBorders>
                  <w:noWrap w:val="0"/>
                  <w:vAlign w:val="center"/>
                </w:tcPr>
                <w:p w14:paraId="5620D9F5">
                  <w:pPr>
                    <w:keepNext w:val="0"/>
                    <w:keepLines w:val="0"/>
                    <w:suppressLineNumbers w:val="0"/>
                    <w:tabs>
                      <w:tab w:val="left" w:pos="4500"/>
                    </w:tabs>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574" w:type="pct"/>
                  <w:tcBorders>
                    <w:tl2br w:val="nil"/>
                    <w:tr2bl w:val="nil"/>
                  </w:tcBorders>
                  <w:noWrap w:val="0"/>
                  <w:vAlign w:val="center"/>
                </w:tcPr>
                <w:p w14:paraId="61AD50D6">
                  <w:pPr>
                    <w:pStyle w:val="50"/>
                    <w:keepNext w:val="0"/>
                    <w:keepLines w:val="0"/>
                    <w:widowControl w:val="0"/>
                    <w:suppressLineNumbers w:val="0"/>
                    <w:pBdr>
                      <w:bottom w:val="none" w:color="auto" w:sz="0" w:space="0"/>
                    </w:pBdr>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2"/>
                      <w:sz w:val="21"/>
                      <w:szCs w:val="21"/>
                    </w:rPr>
                    <w:t>监控点</w:t>
                  </w:r>
                  <w:r>
                    <w:rPr>
                      <w:rFonts w:hint="default" w:ascii="Times New Roman" w:hAnsi="Times New Roman" w:eastAsia="仿宋" w:cs="Times New Roman"/>
                      <w:color w:val="auto"/>
                      <w:sz w:val="21"/>
                      <w:szCs w:val="21"/>
                    </w:rPr>
                    <w:t>处任意一次浓度值</w:t>
                  </w:r>
                </w:p>
              </w:tc>
              <w:tc>
                <w:tcPr>
                  <w:tcW w:w="766" w:type="pct"/>
                  <w:vMerge w:val="continue"/>
                  <w:tcBorders>
                    <w:tl2br w:val="nil"/>
                    <w:tr2bl w:val="nil"/>
                  </w:tcBorders>
                  <w:noWrap w:val="0"/>
                  <w:vAlign w:val="center"/>
                </w:tcPr>
                <w:p w14:paraId="33AA7047">
                  <w:pPr>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1"/>
                      <w:szCs w:val="21"/>
                      <w:vertAlign w:val="baseline"/>
                    </w:rPr>
                  </w:pPr>
                </w:p>
              </w:tc>
            </w:tr>
            <w:tr w14:paraId="04AC8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pct"/>
                  <w:tcBorders>
                    <w:tl2br w:val="nil"/>
                    <w:tr2bl w:val="nil"/>
                  </w:tcBorders>
                  <w:noWrap w:val="0"/>
                  <w:vAlign w:val="center"/>
                </w:tcPr>
                <w:p w14:paraId="5AF6CD7B">
                  <w:pPr>
                    <w:keepNext w:val="0"/>
                    <w:keepLines w:val="0"/>
                    <w:suppressLineNumbers w:val="0"/>
                    <w:tabs>
                      <w:tab w:val="left" w:pos="4500"/>
                    </w:tabs>
                    <w:spacing w:before="0" w:beforeAutospacing="0" w:after="0" w:afterAutospacing="0" w:line="240" w:lineRule="auto"/>
                    <w:ind w:left="0" w:right="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颗粒物</w:t>
                  </w:r>
                </w:p>
              </w:tc>
              <w:tc>
                <w:tcPr>
                  <w:tcW w:w="1082" w:type="pct"/>
                  <w:vMerge w:val="continue"/>
                  <w:tcBorders>
                    <w:tl2br w:val="nil"/>
                    <w:tr2bl w:val="nil"/>
                  </w:tcBorders>
                  <w:noWrap w:val="0"/>
                  <w:vAlign w:val="center"/>
                </w:tcPr>
                <w:p w14:paraId="7267DE02">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94" w:type="pct"/>
                  <w:tcBorders>
                    <w:tl2br w:val="nil"/>
                    <w:tr2bl w:val="nil"/>
                  </w:tcBorders>
                  <w:noWrap w:val="0"/>
                  <w:vAlign w:val="center"/>
                </w:tcPr>
                <w:p w14:paraId="2DA82B5C">
                  <w:pPr>
                    <w:keepNext w:val="0"/>
                    <w:keepLines w:val="0"/>
                    <w:suppressLineNumbers w:val="0"/>
                    <w:tabs>
                      <w:tab w:val="left" w:pos="4500"/>
                    </w:tabs>
                    <w:spacing w:before="0" w:beforeAutospacing="0" w:after="0" w:afterAutospacing="0" w:line="240" w:lineRule="auto"/>
                    <w:ind w:left="0" w:leftChars="0" w:right="0" w:rightChars="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w:t>
                  </w:r>
                </w:p>
              </w:tc>
              <w:tc>
                <w:tcPr>
                  <w:tcW w:w="1574" w:type="pct"/>
                  <w:tcBorders>
                    <w:tl2br w:val="nil"/>
                    <w:tr2bl w:val="nil"/>
                  </w:tcBorders>
                  <w:shd w:val="clear" w:color="auto" w:fill="auto"/>
                  <w:noWrap w:val="0"/>
                  <w:vAlign w:val="center"/>
                </w:tcPr>
                <w:p w14:paraId="52E999FF">
                  <w:pPr>
                    <w:keepNext w:val="0"/>
                    <w:keepLines w:val="0"/>
                    <w:suppressLineNumbers w:val="0"/>
                    <w:tabs>
                      <w:tab w:val="left" w:pos="4500"/>
                    </w:tabs>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监控点处1h平均浓度值</w:t>
                  </w:r>
                </w:p>
              </w:tc>
              <w:tc>
                <w:tcPr>
                  <w:tcW w:w="766" w:type="pct"/>
                  <w:vMerge w:val="continue"/>
                  <w:tcBorders>
                    <w:tl2br w:val="nil"/>
                    <w:tr2bl w:val="nil"/>
                  </w:tcBorders>
                  <w:noWrap w:val="0"/>
                  <w:vAlign w:val="center"/>
                </w:tcPr>
                <w:p w14:paraId="3C10F2B6">
                  <w:pPr>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1"/>
                      <w:szCs w:val="21"/>
                      <w:vertAlign w:val="baseline"/>
                    </w:rPr>
                  </w:pPr>
                </w:p>
              </w:tc>
            </w:tr>
          </w:tbl>
          <w:p w14:paraId="40DC3538">
            <w:pPr>
              <w:spacing w:line="480" w:lineRule="exact"/>
              <w:ind w:firstLine="482" w:firstLineChars="200"/>
              <w:rPr>
                <w:rFonts w:hint="eastAsia" w:ascii="Times New Roman" w:hAnsi="Times New Roman" w:cs="Times New Roman"/>
                <w:b/>
                <w:bCs/>
                <w:lang w:val="en-US" w:eastAsia="zh-CN"/>
              </w:rPr>
            </w:pPr>
            <w:r>
              <w:rPr>
                <w:rFonts w:hint="eastAsia" w:ascii="Times New Roman" w:hAnsi="Times New Roman" w:cs="Times New Roman"/>
                <w:b/>
                <w:bCs/>
                <w:lang w:val="en-US" w:eastAsia="zh-CN"/>
              </w:rPr>
              <w:t>3、噪声排放标准</w:t>
            </w:r>
          </w:p>
          <w:p w14:paraId="24EC4415">
            <w:pPr>
              <w:spacing w:after="120" w:afterLines="50" w:line="480" w:lineRule="exact"/>
              <w:ind w:firstLine="480" w:firstLineChars="200"/>
            </w:pPr>
            <w:r>
              <w:rPr>
                <w:rFonts w:hint="eastAsia"/>
              </w:rPr>
              <w:t>根据《常州市市区声环境功能区划（</w:t>
            </w:r>
            <w:r>
              <w:t>2017</w:t>
            </w:r>
            <w:r>
              <w:rPr>
                <w:rFonts w:hint="eastAsia"/>
              </w:rPr>
              <w:t>）》（常政发</w:t>
            </w:r>
            <w:r>
              <w:rPr>
                <w:rFonts w:hint="eastAsia"/>
                <w:lang w:eastAsia="zh-CN"/>
              </w:rPr>
              <w:t>〔2017〕161号</w:t>
            </w:r>
            <w:r>
              <w:rPr>
                <w:rFonts w:hint="eastAsia"/>
              </w:rPr>
              <w:t>），</w:t>
            </w:r>
            <w:r>
              <w:rPr>
                <w:szCs w:val="22"/>
              </w:rPr>
              <w:t>本项目所在地</w:t>
            </w:r>
            <w:r>
              <w:rPr>
                <w:rFonts w:hint="eastAsia"/>
                <w:szCs w:val="22"/>
                <w:lang w:val="en-US" w:eastAsia="zh-CN"/>
              </w:rPr>
              <w:t>尚未进行</w:t>
            </w:r>
            <w:r>
              <w:rPr>
                <w:szCs w:val="22"/>
              </w:rPr>
              <w:t>声环境</w:t>
            </w:r>
            <w:r>
              <w:rPr>
                <w:rFonts w:hint="eastAsia"/>
                <w:szCs w:val="22"/>
                <w:lang w:val="en-US" w:eastAsia="zh-CN"/>
              </w:rPr>
              <w:t>区划</w:t>
            </w:r>
            <w:r>
              <w:rPr>
                <w:szCs w:val="22"/>
              </w:rPr>
              <w:t>，</w:t>
            </w:r>
            <w:r>
              <w:t>本项目</w:t>
            </w:r>
            <w:r>
              <w:rPr>
                <w:rFonts w:hint="eastAsia"/>
                <w:lang w:val="en-US" w:eastAsia="zh-CN"/>
              </w:rPr>
              <w:t>所在地属于工业用地，</w:t>
            </w:r>
            <w:r>
              <w:t>营运期厂界噪声排放执行《工业企业厂界环境噪声排放标准》（GB12348-2008）</w:t>
            </w:r>
            <w:r>
              <w:rPr>
                <w:rFonts w:hint="eastAsia"/>
              </w:rPr>
              <w:t>表1 2类</w:t>
            </w:r>
            <w:r>
              <w:t>标准</w:t>
            </w:r>
            <w:r>
              <w:rPr>
                <w:rFonts w:hint="eastAsia"/>
              </w:rPr>
              <w:t>，</w:t>
            </w:r>
            <w:r>
              <w:t>详见</w:t>
            </w:r>
            <w:r>
              <w:rPr>
                <w:rFonts w:hint="eastAsia"/>
              </w:rPr>
              <w:t>下</w:t>
            </w:r>
            <w:r>
              <w:t>表。</w:t>
            </w:r>
          </w:p>
          <w:p w14:paraId="5C35EE8A">
            <w:pPr>
              <w:pStyle w:val="51"/>
              <w:spacing w:before="0" w:beforeLines="0" w:line="240" w:lineRule="auto"/>
              <w:ind w:firstLine="0" w:firstLineChars="0"/>
              <w:jc w:val="center"/>
              <w:rPr>
                <w:rFonts w:cs="Times New Roman"/>
                <w:b/>
                <w:sz w:val="21"/>
                <w:szCs w:val="21"/>
              </w:rPr>
            </w:pPr>
            <w:r>
              <w:rPr>
                <w:rFonts w:cs="Times New Roman"/>
                <w:b/>
                <w:sz w:val="21"/>
                <w:szCs w:val="21"/>
              </w:rPr>
              <w:t>表3-</w:t>
            </w:r>
            <w:r>
              <w:rPr>
                <w:rFonts w:hint="eastAsia" w:cs="Times New Roman"/>
                <w:b/>
                <w:sz w:val="21"/>
                <w:szCs w:val="21"/>
                <w:lang w:val="en-US" w:eastAsia="zh-CN"/>
              </w:rPr>
              <w:t>7</w:t>
            </w:r>
            <w:r>
              <w:rPr>
                <w:rFonts w:cs="Times New Roman"/>
                <w:b/>
                <w:sz w:val="21"/>
                <w:szCs w:val="21"/>
              </w:rPr>
              <w:t xml:space="preserve">  营运期噪声排放标准限值表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38"/>
              <w:gridCol w:w="2712"/>
              <w:gridCol w:w="795"/>
              <w:gridCol w:w="1174"/>
              <w:gridCol w:w="999"/>
              <w:gridCol w:w="1001"/>
            </w:tblGrid>
            <w:tr w14:paraId="0A76F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1032" w:type="pct"/>
                  <w:vMerge w:val="restart"/>
                  <w:vAlign w:val="center"/>
                </w:tcPr>
                <w:p w14:paraId="21D59413">
                  <w:pPr>
                    <w:spacing w:line="240" w:lineRule="auto"/>
                    <w:jc w:val="center"/>
                    <w:rPr>
                      <w:b/>
                      <w:bCs/>
                      <w:sz w:val="21"/>
                      <w:szCs w:val="21"/>
                    </w:rPr>
                  </w:pPr>
                  <w:r>
                    <w:rPr>
                      <w:b/>
                      <w:bCs/>
                      <w:sz w:val="21"/>
                      <w:szCs w:val="21"/>
                    </w:rPr>
                    <w:t>区域名</w:t>
                  </w:r>
                </w:p>
              </w:tc>
              <w:tc>
                <w:tcPr>
                  <w:tcW w:w="1610" w:type="pct"/>
                  <w:vMerge w:val="restart"/>
                  <w:vAlign w:val="center"/>
                </w:tcPr>
                <w:p w14:paraId="5FF428E7">
                  <w:pPr>
                    <w:spacing w:line="240" w:lineRule="auto"/>
                    <w:jc w:val="center"/>
                    <w:rPr>
                      <w:b/>
                      <w:bCs/>
                      <w:sz w:val="21"/>
                      <w:szCs w:val="21"/>
                    </w:rPr>
                  </w:pPr>
                  <w:r>
                    <w:rPr>
                      <w:b/>
                      <w:bCs/>
                      <w:sz w:val="21"/>
                      <w:szCs w:val="21"/>
                    </w:rPr>
                    <w:t>执行标准</w:t>
                  </w:r>
                </w:p>
              </w:tc>
              <w:tc>
                <w:tcPr>
                  <w:tcW w:w="472" w:type="pct"/>
                  <w:vMerge w:val="restart"/>
                  <w:vAlign w:val="center"/>
                </w:tcPr>
                <w:p w14:paraId="6E698DFE">
                  <w:pPr>
                    <w:spacing w:line="240" w:lineRule="auto"/>
                    <w:jc w:val="center"/>
                    <w:rPr>
                      <w:b/>
                      <w:bCs/>
                      <w:sz w:val="21"/>
                      <w:szCs w:val="21"/>
                    </w:rPr>
                  </w:pPr>
                  <w:r>
                    <w:rPr>
                      <w:b/>
                      <w:bCs/>
                      <w:sz w:val="21"/>
                      <w:szCs w:val="21"/>
                    </w:rPr>
                    <w:t>表号及级别</w:t>
                  </w:r>
                </w:p>
              </w:tc>
              <w:tc>
                <w:tcPr>
                  <w:tcW w:w="697" w:type="pct"/>
                  <w:vMerge w:val="restart"/>
                  <w:vAlign w:val="center"/>
                </w:tcPr>
                <w:p w14:paraId="6E0F8DAD">
                  <w:pPr>
                    <w:spacing w:line="240" w:lineRule="auto"/>
                    <w:jc w:val="center"/>
                    <w:rPr>
                      <w:b/>
                      <w:bCs/>
                      <w:sz w:val="21"/>
                      <w:szCs w:val="21"/>
                    </w:rPr>
                  </w:pPr>
                  <w:r>
                    <w:rPr>
                      <w:b/>
                      <w:bCs/>
                      <w:sz w:val="21"/>
                      <w:szCs w:val="21"/>
                    </w:rPr>
                    <w:t>单位</w:t>
                  </w:r>
                </w:p>
              </w:tc>
              <w:tc>
                <w:tcPr>
                  <w:tcW w:w="1187" w:type="pct"/>
                  <w:gridSpan w:val="2"/>
                  <w:vAlign w:val="center"/>
                </w:tcPr>
                <w:p w14:paraId="0C83AB06">
                  <w:pPr>
                    <w:spacing w:line="240" w:lineRule="auto"/>
                    <w:jc w:val="center"/>
                    <w:rPr>
                      <w:b/>
                      <w:bCs/>
                      <w:sz w:val="21"/>
                      <w:szCs w:val="21"/>
                    </w:rPr>
                  </w:pPr>
                  <w:r>
                    <w:rPr>
                      <w:b/>
                      <w:bCs/>
                      <w:sz w:val="21"/>
                      <w:szCs w:val="21"/>
                    </w:rPr>
                    <w:t>标准限值</w:t>
                  </w:r>
                </w:p>
              </w:tc>
            </w:tr>
            <w:tr w14:paraId="2D433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1032" w:type="pct"/>
                  <w:vMerge w:val="continue"/>
                  <w:vAlign w:val="center"/>
                </w:tcPr>
                <w:p w14:paraId="4E7E11A2">
                  <w:pPr>
                    <w:spacing w:line="240" w:lineRule="auto"/>
                    <w:jc w:val="center"/>
                  </w:pPr>
                </w:p>
              </w:tc>
              <w:tc>
                <w:tcPr>
                  <w:tcW w:w="1610" w:type="pct"/>
                  <w:vMerge w:val="continue"/>
                  <w:vAlign w:val="center"/>
                </w:tcPr>
                <w:p w14:paraId="1D354E40">
                  <w:pPr>
                    <w:spacing w:line="240" w:lineRule="auto"/>
                    <w:jc w:val="center"/>
                  </w:pPr>
                </w:p>
              </w:tc>
              <w:tc>
                <w:tcPr>
                  <w:tcW w:w="472" w:type="pct"/>
                  <w:vMerge w:val="continue"/>
                  <w:vAlign w:val="center"/>
                </w:tcPr>
                <w:p w14:paraId="0A4FCA0A">
                  <w:pPr>
                    <w:spacing w:line="240" w:lineRule="auto"/>
                    <w:jc w:val="center"/>
                  </w:pPr>
                </w:p>
              </w:tc>
              <w:tc>
                <w:tcPr>
                  <w:tcW w:w="697" w:type="pct"/>
                  <w:vMerge w:val="continue"/>
                  <w:vAlign w:val="center"/>
                </w:tcPr>
                <w:p w14:paraId="3692E452">
                  <w:pPr>
                    <w:spacing w:line="240" w:lineRule="auto"/>
                    <w:jc w:val="center"/>
                  </w:pPr>
                </w:p>
              </w:tc>
              <w:tc>
                <w:tcPr>
                  <w:tcW w:w="593" w:type="pct"/>
                  <w:vAlign w:val="center"/>
                </w:tcPr>
                <w:p w14:paraId="7CAC5A4E">
                  <w:pPr>
                    <w:spacing w:line="240" w:lineRule="auto"/>
                    <w:jc w:val="center"/>
                    <w:rPr>
                      <w:b/>
                      <w:bCs/>
                      <w:sz w:val="21"/>
                      <w:szCs w:val="21"/>
                    </w:rPr>
                  </w:pPr>
                  <w:r>
                    <w:rPr>
                      <w:rFonts w:hint="eastAsia"/>
                      <w:b/>
                      <w:bCs/>
                      <w:sz w:val="21"/>
                      <w:szCs w:val="21"/>
                      <w:lang w:val="en-US" w:eastAsia="zh-CN"/>
                    </w:rPr>
                    <w:t>昼间</w:t>
                  </w:r>
                </w:p>
              </w:tc>
              <w:tc>
                <w:tcPr>
                  <w:tcW w:w="593" w:type="pct"/>
                  <w:vAlign w:val="center"/>
                </w:tcPr>
                <w:p w14:paraId="56A664BD">
                  <w:pPr>
                    <w:spacing w:line="240" w:lineRule="auto"/>
                    <w:jc w:val="center"/>
                    <w:rPr>
                      <w:b/>
                      <w:bCs/>
                      <w:sz w:val="21"/>
                      <w:szCs w:val="21"/>
                    </w:rPr>
                  </w:pPr>
                  <w:r>
                    <w:rPr>
                      <w:rFonts w:hint="eastAsia"/>
                      <w:b/>
                      <w:bCs/>
                      <w:sz w:val="21"/>
                      <w:szCs w:val="21"/>
                      <w:lang w:val="en-US" w:eastAsia="zh-CN"/>
                    </w:rPr>
                    <w:t>夜间</w:t>
                  </w:r>
                </w:p>
              </w:tc>
            </w:tr>
            <w:tr w14:paraId="23CA8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2" w:type="pct"/>
                  <w:vAlign w:val="center"/>
                </w:tcPr>
                <w:p w14:paraId="7D4F9978">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四周</w:t>
                  </w:r>
                  <w:r>
                    <w:rPr>
                      <w:sz w:val="21"/>
                      <w:szCs w:val="21"/>
                    </w:rPr>
                    <w:t>厂界</w:t>
                  </w:r>
                </w:p>
              </w:tc>
              <w:tc>
                <w:tcPr>
                  <w:tcW w:w="1610" w:type="pct"/>
                  <w:vAlign w:val="center"/>
                </w:tcPr>
                <w:p w14:paraId="7DD894EC">
                  <w:pPr>
                    <w:spacing w:line="240" w:lineRule="auto"/>
                    <w:jc w:val="center"/>
                    <w:rPr>
                      <w:sz w:val="21"/>
                      <w:szCs w:val="21"/>
                    </w:rPr>
                  </w:pPr>
                  <w:r>
                    <w:rPr>
                      <w:sz w:val="21"/>
                      <w:szCs w:val="21"/>
                    </w:rPr>
                    <w:t>《工业企业厂界环境噪声排放标准》（GB12348-2008）</w:t>
                  </w:r>
                </w:p>
              </w:tc>
              <w:tc>
                <w:tcPr>
                  <w:tcW w:w="472" w:type="pct"/>
                  <w:vAlign w:val="center"/>
                </w:tcPr>
                <w:p w14:paraId="36118FA5">
                  <w:pPr>
                    <w:spacing w:line="240" w:lineRule="auto"/>
                    <w:jc w:val="center"/>
                    <w:rPr>
                      <w:sz w:val="21"/>
                      <w:szCs w:val="21"/>
                    </w:rPr>
                  </w:pPr>
                  <w:r>
                    <w:rPr>
                      <w:sz w:val="21"/>
                      <w:szCs w:val="21"/>
                    </w:rPr>
                    <w:t xml:space="preserve">表1 </w:t>
                  </w:r>
                  <w:r>
                    <w:rPr>
                      <w:rFonts w:hint="eastAsia"/>
                      <w:sz w:val="21"/>
                      <w:szCs w:val="21"/>
                    </w:rPr>
                    <w:t>2</w:t>
                  </w:r>
                  <w:r>
                    <w:rPr>
                      <w:sz w:val="21"/>
                      <w:szCs w:val="21"/>
                    </w:rPr>
                    <w:t>类</w:t>
                  </w:r>
                </w:p>
              </w:tc>
              <w:tc>
                <w:tcPr>
                  <w:tcW w:w="697" w:type="pct"/>
                  <w:vAlign w:val="center"/>
                </w:tcPr>
                <w:p w14:paraId="3CEF89DB">
                  <w:pPr>
                    <w:spacing w:line="240" w:lineRule="auto"/>
                    <w:jc w:val="center"/>
                    <w:rPr>
                      <w:sz w:val="21"/>
                      <w:szCs w:val="21"/>
                    </w:rPr>
                  </w:pPr>
                  <w:r>
                    <w:rPr>
                      <w:sz w:val="21"/>
                      <w:szCs w:val="21"/>
                    </w:rPr>
                    <w:t>dB（A）</w:t>
                  </w:r>
                </w:p>
              </w:tc>
              <w:tc>
                <w:tcPr>
                  <w:tcW w:w="593" w:type="pct"/>
                  <w:vAlign w:val="center"/>
                </w:tcPr>
                <w:p w14:paraId="22B24577">
                  <w:pPr>
                    <w:spacing w:line="240" w:lineRule="auto"/>
                    <w:jc w:val="center"/>
                    <w:rPr>
                      <w:sz w:val="21"/>
                      <w:szCs w:val="21"/>
                    </w:rPr>
                  </w:pPr>
                  <w:r>
                    <w:rPr>
                      <w:sz w:val="21"/>
                      <w:szCs w:val="21"/>
                    </w:rPr>
                    <w:t>6</w:t>
                  </w:r>
                  <w:r>
                    <w:rPr>
                      <w:rFonts w:hint="eastAsia"/>
                      <w:sz w:val="21"/>
                      <w:szCs w:val="21"/>
                    </w:rPr>
                    <w:t>0</w:t>
                  </w:r>
                </w:p>
              </w:tc>
              <w:tc>
                <w:tcPr>
                  <w:tcW w:w="593" w:type="pct"/>
                  <w:vAlign w:val="center"/>
                </w:tcPr>
                <w:p w14:paraId="17541688">
                  <w:pPr>
                    <w:spacing w:line="240" w:lineRule="auto"/>
                    <w:jc w:val="center"/>
                    <w:rPr>
                      <w:rFonts w:hint="default" w:eastAsia="仿宋"/>
                      <w:sz w:val="21"/>
                      <w:szCs w:val="21"/>
                      <w:lang w:val="en-US" w:eastAsia="zh-CN"/>
                    </w:rPr>
                  </w:pPr>
                  <w:r>
                    <w:rPr>
                      <w:rFonts w:hint="eastAsia"/>
                      <w:sz w:val="21"/>
                      <w:szCs w:val="21"/>
                      <w:lang w:val="en-US" w:eastAsia="zh-CN"/>
                    </w:rPr>
                    <w:t>50</w:t>
                  </w:r>
                </w:p>
              </w:tc>
            </w:tr>
          </w:tbl>
          <w:p w14:paraId="75731C8D">
            <w:pPr>
              <w:spacing w:line="480" w:lineRule="exact"/>
              <w:ind w:firstLine="482" w:firstLineChars="200"/>
              <w:rPr>
                <w:b/>
                <w:bCs/>
              </w:rPr>
            </w:pPr>
            <w:r>
              <w:rPr>
                <w:b/>
                <w:bCs/>
              </w:rPr>
              <w:t>4、固废污染控制标准</w:t>
            </w:r>
          </w:p>
          <w:p w14:paraId="6B1A9B0F">
            <w:pPr>
              <w:spacing w:line="480" w:lineRule="exact"/>
              <w:ind w:firstLine="480" w:firstLineChars="200"/>
            </w:pPr>
            <w:r>
              <w:t>项目所产生的固体废物应执行以下标准：</w:t>
            </w:r>
          </w:p>
          <w:p w14:paraId="58FC83DF">
            <w:pPr>
              <w:spacing w:line="480" w:lineRule="exact"/>
              <w:ind w:firstLine="480" w:firstLineChars="200"/>
            </w:pPr>
            <w:r>
              <w:t>一般固废贮存过程应满足相应防渗漏、防雨淋、防扬尘等环境保护要求；</w:t>
            </w:r>
          </w:p>
          <w:p w14:paraId="5A519D3D">
            <w:pPr>
              <w:spacing w:line="480" w:lineRule="exact"/>
              <w:ind w:firstLine="480" w:firstLineChars="200"/>
              <w:rPr>
                <w:kern w:val="2"/>
                <w:sz w:val="24"/>
                <w:szCs w:val="24"/>
              </w:rPr>
            </w:pPr>
            <w:r>
              <w:t>危险废物贮存执行《危险废物贮存污染控制标准》（GB18597-20</w:t>
            </w:r>
            <w:r>
              <w:rPr>
                <w:rFonts w:hint="eastAsia"/>
              </w:rPr>
              <w:t>23</w:t>
            </w:r>
            <w:r>
              <w:t>）、《常州市固废危废环境隐患排查暨贮存规范化管理专项整治行动方案》（常环执法</w:t>
            </w:r>
            <w:r>
              <w:rPr>
                <w:rFonts w:hint="eastAsia"/>
                <w:lang w:eastAsia="zh-CN"/>
              </w:rPr>
              <w:t>〔2019〕40号</w:t>
            </w:r>
            <w:r>
              <w:t>）、</w:t>
            </w:r>
            <w:r>
              <w:rPr>
                <w:rFonts w:hint="eastAsia"/>
              </w:rPr>
              <w:t>《省生态环境厅关于印发&lt;江苏省固体废物全过程环境监管工作意见&gt;的通知》（苏环办</w:t>
            </w:r>
            <w:r>
              <w:rPr>
                <w:rFonts w:hint="eastAsia"/>
                <w:lang w:eastAsia="zh-CN"/>
              </w:rPr>
              <w:t>〔2024〕16号</w:t>
            </w:r>
            <w:r>
              <w:rPr>
                <w:rFonts w:hint="eastAsia"/>
              </w:rPr>
              <w:t>）、</w:t>
            </w:r>
            <w:r>
              <w:t>《危险废物环境</w:t>
            </w:r>
            <w:r>
              <w:rPr>
                <w:rFonts w:hint="eastAsia"/>
              </w:rPr>
              <w:t>管理</w:t>
            </w:r>
            <w:r>
              <w:t>指南钢压延加工</w:t>
            </w:r>
            <w:r>
              <w:rPr>
                <w:rFonts w:hint="eastAsia"/>
                <w:lang w:eastAsia="zh-CN"/>
              </w:rPr>
              <w:t>》《</w:t>
            </w:r>
            <w:r>
              <w:rPr>
                <w:rFonts w:hint="eastAsia"/>
              </w:rPr>
              <w:t>省生态环境厅关于做好&lt;危险废物贮存污染控制标准&gt;等标准规范实施后危险废物环境管理衔接工作的通知》（苏环办</w:t>
            </w:r>
            <w:r>
              <w:rPr>
                <w:rFonts w:hint="eastAsia"/>
                <w:lang w:eastAsia="zh-CN"/>
              </w:rPr>
              <w:t>〔2023〕154号</w:t>
            </w:r>
            <w:r>
              <w:rPr>
                <w:rFonts w:hint="eastAsia"/>
              </w:rPr>
              <w:t>）</w:t>
            </w:r>
            <w:r>
              <w:t>相关标准。</w:t>
            </w:r>
          </w:p>
        </w:tc>
      </w:tr>
      <w:tr w14:paraId="052A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clear" w:color="auto" w:fill="auto"/>
            <w:vAlign w:val="center"/>
          </w:tcPr>
          <w:p w14:paraId="4C877A4F">
            <w:pPr>
              <w:adjustRightInd w:val="0"/>
              <w:snapToGrid w:val="0"/>
              <w:jc w:val="center"/>
              <w:rPr>
                <w:kern w:val="0"/>
              </w:rPr>
            </w:pPr>
            <w:r>
              <w:rPr>
                <w:kern w:val="0"/>
              </w:rPr>
              <w:t>总量</w:t>
            </w:r>
          </w:p>
          <w:p w14:paraId="3CD8B4C2">
            <w:pPr>
              <w:adjustRightInd w:val="0"/>
              <w:snapToGrid w:val="0"/>
              <w:jc w:val="center"/>
              <w:rPr>
                <w:kern w:val="0"/>
              </w:rPr>
            </w:pPr>
            <w:r>
              <w:rPr>
                <w:kern w:val="0"/>
              </w:rPr>
              <w:t>控制</w:t>
            </w:r>
          </w:p>
          <w:p w14:paraId="7004B4C9">
            <w:pPr>
              <w:adjustRightInd w:val="0"/>
              <w:snapToGrid w:val="0"/>
              <w:jc w:val="center"/>
              <w:rPr>
                <w:kern w:val="0"/>
                <w:szCs w:val="21"/>
              </w:rPr>
            </w:pPr>
            <w:r>
              <w:rPr>
                <w:kern w:val="0"/>
              </w:rPr>
              <w:t>指标</w:t>
            </w:r>
          </w:p>
        </w:tc>
        <w:tc>
          <w:tcPr>
            <w:tcW w:w="8640" w:type="dxa"/>
            <w:shd w:val="clear" w:color="auto" w:fill="auto"/>
            <w:vAlign w:val="top"/>
          </w:tcPr>
          <w:p w14:paraId="118EF1B0">
            <w:pPr>
              <w:numPr>
                <w:ilvl w:val="0"/>
                <w:numId w:val="16"/>
              </w:numPr>
              <w:spacing w:line="480" w:lineRule="exact"/>
              <w:ind w:firstLine="480" w:firstLineChars="200"/>
              <w:rPr>
                <w:rFonts w:hint="eastAsia"/>
                <w:lang w:val="en-US" w:eastAsia="zh-CN"/>
              </w:rPr>
            </w:pPr>
            <w:r>
              <w:rPr>
                <w:rFonts w:hint="eastAsia"/>
                <w:lang w:val="en-US" w:eastAsia="zh-CN"/>
              </w:rPr>
              <w:t>大气污染物</w:t>
            </w:r>
          </w:p>
          <w:p w14:paraId="5FAC8796">
            <w:pPr>
              <w:spacing w:line="480" w:lineRule="exact"/>
              <w:ind w:firstLine="480" w:firstLineChars="200"/>
              <w:rPr>
                <w:rFonts w:hint="default"/>
                <w:lang w:val="en-US" w:eastAsia="zh-CN"/>
              </w:rPr>
            </w:pPr>
            <w:r>
              <w:t>本项目</w:t>
            </w:r>
            <w:r>
              <w:rPr>
                <w:rFonts w:hint="eastAsia"/>
                <w:lang w:val="en-US" w:eastAsia="zh-CN"/>
              </w:rPr>
              <w:t>大气</w:t>
            </w:r>
            <w:r>
              <w:t>污染物总量控制因子为：</w:t>
            </w:r>
            <w:r>
              <w:rPr>
                <w:rFonts w:hint="eastAsia"/>
                <w:lang w:val="en-US" w:eastAsia="zh-CN"/>
              </w:rPr>
              <w:t>颗粒物、二氧化硫、氮氧化物和VOCs</w:t>
            </w:r>
            <w:r>
              <w:t>。</w:t>
            </w:r>
          </w:p>
          <w:p w14:paraId="0CA50B98">
            <w:pPr>
              <w:spacing w:line="480" w:lineRule="exact"/>
              <w:ind w:firstLine="480" w:firstLineChars="200"/>
            </w:pPr>
            <w:r>
              <w:rPr>
                <w:rFonts w:hint="eastAsia"/>
                <w:lang w:val="en-US" w:eastAsia="zh-CN"/>
              </w:rPr>
              <w:t>2、</w:t>
            </w:r>
            <w:r>
              <w:t>水污染物</w:t>
            </w:r>
          </w:p>
          <w:p w14:paraId="4C6DF684">
            <w:pPr>
              <w:spacing w:line="480" w:lineRule="exact"/>
              <w:ind w:firstLine="480" w:firstLineChars="200"/>
            </w:pPr>
            <w:r>
              <w:t>本项目水污染物总量控制因子为：COD、NH</w:t>
            </w:r>
            <w:r>
              <w:rPr>
                <w:vertAlign w:val="subscript"/>
              </w:rPr>
              <w:t>3</w:t>
            </w:r>
            <w:r>
              <w:t>-N、TN、TP；水污染物总量考核因子为：SS。</w:t>
            </w:r>
          </w:p>
          <w:p w14:paraId="00463569">
            <w:pPr>
              <w:spacing w:line="480" w:lineRule="exact"/>
              <w:ind w:firstLine="480" w:firstLineChars="200"/>
            </w:pPr>
            <w:r>
              <w:rPr>
                <w:rFonts w:hint="eastAsia"/>
                <w:lang w:val="en-US" w:eastAsia="zh-CN"/>
              </w:rPr>
              <w:t>3</w:t>
            </w:r>
            <w:r>
              <w:t>、固体废弃物</w:t>
            </w:r>
          </w:p>
          <w:p w14:paraId="6009C7BB">
            <w:pPr>
              <w:spacing w:line="480" w:lineRule="exact"/>
              <w:ind w:firstLine="480" w:firstLineChars="200"/>
            </w:pPr>
            <w:r>
              <w:t>本项目固体废物均得到有效处置，不外排，因此不进行总量申请。</w:t>
            </w:r>
          </w:p>
          <w:p w14:paraId="24C92C8B">
            <w:pPr>
              <w:pStyle w:val="51"/>
              <w:spacing w:before="0" w:beforeLines="0" w:line="240" w:lineRule="auto"/>
              <w:ind w:firstLine="0" w:firstLineChars="0"/>
              <w:jc w:val="center"/>
              <w:rPr>
                <w:rFonts w:cs="Times New Roman"/>
                <w:b/>
                <w:sz w:val="21"/>
                <w:szCs w:val="21"/>
              </w:rPr>
            </w:pPr>
            <w:r>
              <w:rPr>
                <w:rFonts w:cs="Times New Roman"/>
                <w:b/>
                <w:sz w:val="21"/>
                <w:szCs w:val="21"/>
              </w:rPr>
              <w:t>表3-</w:t>
            </w:r>
            <w:r>
              <w:rPr>
                <w:rFonts w:hint="eastAsia" w:cs="Times New Roman"/>
                <w:b/>
                <w:sz w:val="21"/>
                <w:szCs w:val="21"/>
                <w:lang w:val="en-US" w:eastAsia="zh-CN"/>
              </w:rPr>
              <w:t>8</w:t>
            </w:r>
            <w:r>
              <w:rPr>
                <w:rFonts w:cs="Times New Roman"/>
                <w:b/>
                <w:sz w:val="21"/>
                <w:szCs w:val="21"/>
              </w:rPr>
              <w:t xml:space="preserve">  </w:t>
            </w:r>
            <w:r>
              <w:rPr>
                <w:rFonts w:hint="eastAsia" w:cs="Times New Roman"/>
                <w:b/>
                <w:sz w:val="21"/>
                <w:szCs w:val="21"/>
              </w:rPr>
              <w:t xml:space="preserve">污染物总量控制表  </w:t>
            </w:r>
            <w:r>
              <w:rPr>
                <w:rFonts w:cs="Times New Roman"/>
                <w:b/>
                <w:sz w:val="21"/>
                <w:szCs w:val="21"/>
              </w:rPr>
              <w:t>t/a</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7"/>
              <w:gridCol w:w="903"/>
              <w:gridCol w:w="1674"/>
              <w:gridCol w:w="1159"/>
              <w:gridCol w:w="1083"/>
              <w:gridCol w:w="1022"/>
              <w:gridCol w:w="1055"/>
              <w:gridCol w:w="976"/>
            </w:tblGrid>
            <w:tr w14:paraId="6D32B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861" w:type="pct"/>
                  <w:gridSpan w:val="2"/>
                  <w:vMerge w:val="restart"/>
                  <w:vAlign w:val="center"/>
                </w:tcPr>
                <w:p w14:paraId="1B9D3973">
                  <w:pPr>
                    <w:spacing w:line="240" w:lineRule="auto"/>
                    <w:jc w:val="center"/>
                    <w:rPr>
                      <w:b/>
                      <w:bCs/>
                      <w:sz w:val="21"/>
                      <w:szCs w:val="21"/>
                    </w:rPr>
                  </w:pPr>
                  <w:r>
                    <w:rPr>
                      <w:b/>
                      <w:bCs/>
                      <w:sz w:val="21"/>
                      <w:szCs w:val="21"/>
                    </w:rPr>
                    <w:t>类别</w:t>
                  </w:r>
                </w:p>
              </w:tc>
              <w:tc>
                <w:tcPr>
                  <w:tcW w:w="994" w:type="pct"/>
                  <w:vMerge w:val="restart"/>
                  <w:vAlign w:val="center"/>
                </w:tcPr>
                <w:p w14:paraId="4E442F76">
                  <w:pPr>
                    <w:spacing w:line="240" w:lineRule="auto"/>
                    <w:jc w:val="center"/>
                    <w:rPr>
                      <w:b/>
                      <w:bCs/>
                      <w:sz w:val="21"/>
                      <w:szCs w:val="21"/>
                    </w:rPr>
                  </w:pPr>
                  <w:r>
                    <w:rPr>
                      <w:b/>
                      <w:bCs/>
                      <w:sz w:val="21"/>
                      <w:szCs w:val="21"/>
                    </w:rPr>
                    <w:t>污染因子</w:t>
                  </w:r>
                </w:p>
              </w:tc>
              <w:tc>
                <w:tcPr>
                  <w:tcW w:w="688" w:type="pct"/>
                  <w:vMerge w:val="restart"/>
                  <w:vAlign w:val="center"/>
                </w:tcPr>
                <w:p w14:paraId="5FA78587">
                  <w:pPr>
                    <w:spacing w:line="240" w:lineRule="auto"/>
                    <w:jc w:val="center"/>
                    <w:rPr>
                      <w:rFonts w:hint="eastAsia" w:eastAsia="仿宋"/>
                      <w:b/>
                      <w:bCs/>
                      <w:sz w:val="21"/>
                      <w:szCs w:val="21"/>
                      <w:lang w:val="en-US" w:eastAsia="zh-CN"/>
                    </w:rPr>
                  </w:pPr>
                  <w:r>
                    <w:rPr>
                      <w:rFonts w:hint="eastAsia"/>
                      <w:b/>
                      <w:bCs/>
                      <w:sz w:val="21"/>
                      <w:szCs w:val="21"/>
                      <w:lang w:val="en-US" w:eastAsia="zh-CN"/>
                    </w:rPr>
                    <w:t>产生量</w:t>
                  </w:r>
                </w:p>
              </w:tc>
              <w:tc>
                <w:tcPr>
                  <w:tcW w:w="643" w:type="pct"/>
                  <w:vMerge w:val="restart"/>
                  <w:vAlign w:val="center"/>
                </w:tcPr>
                <w:p w14:paraId="7DBC6F0A">
                  <w:pPr>
                    <w:spacing w:line="240" w:lineRule="auto"/>
                    <w:jc w:val="center"/>
                    <w:rPr>
                      <w:b/>
                      <w:bCs/>
                      <w:sz w:val="21"/>
                      <w:szCs w:val="21"/>
                    </w:rPr>
                  </w:pPr>
                  <w:r>
                    <w:rPr>
                      <w:b/>
                      <w:bCs/>
                      <w:sz w:val="21"/>
                      <w:szCs w:val="21"/>
                    </w:rPr>
                    <w:t>削减量</w:t>
                  </w:r>
                </w:p>
              </w:tc>
              <w:tc>
                <w:tcPr>
                  <w:tcW w:w="606" w:type="pct"/>
                  <w:vMerge w:val="restart"/>
                  <w:vAlign w:val="center"/>
                </w:tcPr>
                <w:p w14:paraId="25E0B9E3">
                  <w:pPr>
                    <w:spacing w:line="240" w:lineRule="auto"/>
                    <w:jc w:val="center"/>
                    <w:rPr>
                      <w:b/>
                      <w:bCs/>
                      <w:sz w:val="21"/>
                      <w:szCs w:val="21"/>
                    </w:rPr>
                  </w:pPr>
                  <w:r>
                    <w:rPr>
                      <w:b/>
                      <w:bCs/>
                      <w:sz w:val="21"/>
                      <w:szCs w:val="21"/>
                    </w:rPr>
                    <w:t>排放量</w:t>
                  </w:r>
                </w:p>
              </w:tc>
              <w:tc>
                <w:tcPr>
                  <w:tcW w:w="1206" w:type="pct"/>
                  <w:gridSpan w:val="2"/>
                  <w:vAlign w:val="center"/>
                </w:tcPr>
                <w:p w14:paraId="213E98DE">
                  <w:pPr>
                    <w:spacing w:line="240" w:lineRule="auto"/>
                    <w:jc w:val="center"/>
                    <w:rPr>
                      <w:rFonts w:hint="default" w:eastAsia="仿宋"/>
                      <w:b/>
                      <w:bCs/>
                      <w:sz w:val="21"/>
                      <w:szCs w:val="21"/>
                      <w:lang w:val="en-US" w:eastAsia="zh-CN"/>
                    </w:rPr>
                  </w:pPr>
                  <w:r>
                    <w:rPr>
                      <w:rFonts w:hint="eastAsia"/>
                      <w:b/>
                      <w:bCs/>
                      <w:sz w:val="21"/>
                      <w:szCs w:val="21"/>
                      <w:lang w:val="en-US" w:eastAsia="zh-CN"/>
                    </w:rPr>
                    <w:t>建议申请量</w:t>
                  </w:r>
                </w:p>
              </w:tc>
            </w:tr>
            <w:tr w14:paraId="5B69D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61" w:type="pct"/>
                  <w:gridSpan w:val="2"/>
                  <w:vMerge w:val="continue"/>
                  <w:vAlign w:val="center"/>
                </w:tcPr>
                <w:p w14:paraId="559214AC">
                  <w:pPr>
                    <w:spacing w:line="240" w:lineRule="auto"/>
                    <w:jc w:val="center"/>
                    <w:rPr>
                      <w:sz w:val="21"/>
                      <w:szCs w:val="21"/>
                    </w:rPr>
                  </w:pPr>
                </w:p>
              </w:tc>
              <w:tc>
                <w:tcPr>
                  <w:tcW w:w="994" w:type="pct"/>
                  <w:vMerge w:val="continue"/>
                  <w:vAlign w:val="center"/>
                </w:tcPr>
                <w:p w14:paraId="4D633E25">
                  <w:pPr>
                    <w:spacing w:line="240" w:lineRule="auto"/>
                    <w:jc w:val="center"/>
                    <w:rPr>
                      <w:sz w:val="21"/>
                      <w:szCs w:val="21"/>
                    </w:rPr>
                  </w:pPr>
                </w:p>
              </w:tc>
              <w:tc>
                <w:tcPr>
                  <w:tcW w:w="688" w:type="pct"/>
                  <w:vMerge w:val="continue"/>
                  <w:vAlign w:val="center"/>
                </w:tcPr>
                <w:p w14:paraId="51F6EE75">
                  <w:pPr>
                    <w:spacing w:line="240" w:lineRule="auto"/>
                    <w:jc w:val="center"/>
                    <w:rPr>
                      <w:sz w:val="21"/>
                      <w:szCs w:val="21"/>
                    </w:rPr>
                  </w:pPr>
                </w:p>
              </w:tc>
              <w:tc>
                <w:tcPr>
                  <w:tcW w:w="643" w:type="pct"/>
                  <w:vMerge w:val="continue"/>
                  <w:vAlign w:val="center"/>
                </w:tcPr>
                <w:p w14:paraId="5BB2007C">
                  <w:pPr>
                    <w:spacing w:line="240" w:lineRule="auto"/>
                    <w:jc w:val="center"/>
                    <w:rPr>
                      <w:sz w:val="21"/>
                      <w:szCs w:val="21"/>
                    </w:rPr>
                  </w:pPr>
                </w:p>
              </w:tc>
              <w:tc>
                <w:tcPr>
                  <w:tcW w:w="606" w:type="pct"/>
                  <w:vMerge w:val="continue"/>
                  <w:vAlign w:val="center"/>
                </w:tcPr>
                <w:p w14:paraId="64DF6A94">
                  <w:pPr>
                    <w:spacing w:line="240" w:lineRule="auto"/>
                    <w:jc w:val="center"/>
                    <w:rPr>
                      <w:sz w:val="21"/>
                      <w:szCs w:val="21"/>
                    </w:rPr>
                  </w:pPr>
                </w:p>
              </w:tc>
              <w:tc>
                <w:tcPr>
                  <w:tcW w:w="626" w:type="pct"/>
                  <w:vAlign w:val="center"/>
                </w:tcPr>
                <w:p w14:paraId="7FC1AC37">
                  <w:pPr>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控制因子</w:t>
                  </w:r>
                </w:p>
              </w:tc>
              <w:tc>
                <w:tcPr>
                  <w:tcW w:w="579" w:type="pct"/>
                  <w:vAlign w:val="center"/>
                </w:tcPr>
                <w:p w14:paraId="7C56A848">
                  <w:pPr>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考核因子</w:t>
                  </w:r>
                </w:p>
              </w:tc>
            </w:tr>
            <w:tr w14:paraId="4A1F9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24" w:type="pct"/>
                  <w:vMerge w:val="restart"/>
                  <w:vAlign w:val="center"/>
                </w:tcPr>
                <w:p w14:paraId="3ABBB232">
                  <w:pPr>
                    <w:spacing w:line="240" w:lineRule="auto"/>
                    <w:jc w:val="center"/>
                    <w:rPr>
                      <w:rFonts w:hint="eastAsia" w:eastAsia="仿宋"/>
                      <w:sz w:val="21"/>
                      <w:szCs w:val="21"/>
                      <w:lang w:val="en-US" w:eastAsia="zh-CN"/>
                    </w:rPr>
                  </w:pPr>
                  <w:r>
                    <w:rPr>
                      <w:rFonts w:hint="eastAsia"/>
                      <w:sz w:val="21"/>
                      <w:szCs w:val="21"/>
                      <w:lang w:val="en-US" w:eastAsia="zh-CN"/>
                    </w:rPr>
                    <w:t>废气</w:t>
                  </w:r>
                </w:p>
              </w:tc>
              <w:tc>
                <w:tcPr>
                  <w:tcW w:w="536" w:type="pct"/>
                  <w:vMerge w:val="restart"/>
                  <w:vAlign w:val="center"/>
                </w:tcPr>
                <w:p w14:paraId="26CEBAF0">
                  <w:pPr>
                    <w:spacing w:line="240" w:lineRule="auto"/>
                    <w:jc w:val="center"/>
                    <w:rPr>
                      <w:rFonts w:hint="eastAsia" w:eastAsia="仿宋"/>
                      <w:sz w:val="21"/>
                      <w:szCs w:val="21"/>
                      <w:lang w:val="en-US" w:eastAsia="zh-CN"/>
                    </w:rPr>
                  </w:pPr>
                  <w:r>
                    <w:rPr>
                      <w:rFonts w:hint="eastAsia"/>
                      <w:sz w:val="21"/>
                      <w:szCs w:val="21"/>
                      <w:lang w:val="en-US" w:eastAsia="zh-CN"/>
                    </w:rPr>
                    <w:t>有组织</w:t>
                  </w:r>
                </w:p>
              </w:tc>
              <w:tc>
                <w:tcPr>
                  <w:tcW w:w="994" w:type="pct"/>
                  <w:vAlign w:val="center"/>
                </w:tcPr>
                <w:p w14:paraId="05902838">
                  <w:pPr>
                    <w:spacing w:line="240" w:lineRule="auto"/>
                    <w:jc w:val="center"/>
                    <w:rPr>
                      <w:rFonts w:hint="eastAsia" w:eastAsia="仿宋"/>
                      <w:sz w:val="21"/>
                      <w:szCs w:val="21"/>
                      <w:lang w:val="en-US" w:eastAsia="zh-CN"/>
                    </w:rPr>
                  </w:pPr>
                  <w:r>
                    <w:rPr>
                      <w:rFonts w:hint="eastAsia"/>
                      <w:sz w:val="21"/>
                      <w:szCs w:val="21"/>
                      <w:lang w:val="en-US" w:eastAsia="zh-CN"/>
                    </w:rPr>
                    <w:t>颗粒物</w:t>
                  </w:r>
                </w:p>
              </w:tc>
              <w:tc>
                <w:tcPr>
                  <w:tcW w:w="688" w:type="pct"/>
                  <w:vAlign w:val="center"/>
                </w:tcPr>
                <w:p w14:paraId="4D60E555">
                  <w:pPr>
                    <w:spacing w:line="240" w:lineRule="auto"/>
                    <w:jc w:val="center"/>
                    <w:rPr>
                      <w:rFonts w:hint="default" w:eastAsia="仿宋"/>
                      <w:sz w:val="21"/>
                      <w:szCs w:val="21"/>
                      <w:lang w:val="en-US" w:eastAsia="zh-CN"/>
                    </w:rPr>
                  </w:pPr>
                  <w:r>
                    <w:rPr>
                      <w:rFonts w:hint="eastAsia"/>
                      <w:sz w:val="21"/>
                      <w:szCs w:val="21"/>
                      <w:lang w:val="en-US" w:eastAsia="zh-CN"/>
                    </w:rPr>
                    <w:t>3.542</w:t>
                  </w:r>
                </w:p>
              </w:tc>
              <w:tc>
                <w:tcPr>
                  <w:tcW w:w="643" w:type="pct"/>
                  <w:vAlign w:val="center"/>
                </w:tcPr>
                <w:p w14:paraId="02078DB2">
                  <w:pPr>
                    <w:spacing w:line="240" w:lineRule="auto"/>
                    <w:jc w:val="center"/>
                    <w:rPr>
                      <w:rFonts w:hint="default" w:eastAsia="仿宋"/>
                      <w:sz w:val="21"/>
                      <w:szCs w:val="21"/>
                      <w:lang w:val="en-US" w:eastAsia="zh-CN"/>
                    </w:rPr>
                  </w:pPr>
                  <w:r>
                    <w:rPr>
                      <w:rFonts w:hint="eastAsia"/>
                      <w:sz w:val="21"/>
                      <w:szCs w:val="21"/>
                      <w:lang w:val="en-US" w:eastAsia="zh-CN"/>
                    </w:rPr>
                    <w:t>3.188</w:t>
                  </w:r>
                </w:p>
              </w:tc>
              <w:tc>
                <w:tcPr>
                  <w:tcW w:w="606" w:type="pct"/>
                  <w:vAlign w:val="center"/>
                </w:tcPr>
                <w:p w14:paraId="7FE5FBEB">
                  <w:pPr>
                    <w:spacing w:line="240" w:lineRule="auto"/>
                    <w:jc w:val="center"/>
                    <w:rPr>
                      <w:rFonts w:hint="default" w:eastAsia="仿宋"/>
                      <w:sz w:val="21"/>
                      <w:szCs w:val="21"/>
                      <w:lang w:val="en-US" w:eastAsia="zh-CN"/>
                    </w:rPr>
                  </w:pPr>
                  <w:r>
                    <w:rPr>
                      <w:rFonts w:hint="eastAsia"/>
                      <w:sz w:val="21"/>
                      <w:szCs w:val="21"/>
                      <w:lang w:val="en-US" w:eastAsia="zh-CN"/>
                    </w:rPr>
                    <w:t>0.354</w:t>
                  </w:r>
                </w:p>
              </w:tc>
              <w:tc>
                <w:tcPr>
                  <w:tcW w:w="626" w:type="pct"/>
                  <w:shd w:val="clear" w:color="auto" w:fill="auto"/>
                  <w:vAlign w:val="center"/>
                </w:tcPr>
                <w:p w14:paraId="6D0390A5">
                  <w:pPr>
                    <w:spacing w:line="240" w:lineRule="auto"/>
                    <w:jc w:val="center"/>
                    <w:rPr>
                      <w:rFonts w:hint="default" w:ascii="Times New Roman" w:hAnsi="Times New Roman" w:eastAsia="仿宋" w:cs="Times New Roman"/>
                      <w:kern w:val="2"/>
                      <w:sz w:val="21"/>
                      <w:szCs w:val="21"/>
                      <w:lang w:val="en-US" w:eastAsia="zh-CN" w:bidi="ar-SA"/>
                    </w:rPr>
                  </w:pPr>
                  <w:r>
                    <w:rPr>
                      <w:rFonts w:hint="eastAsia"/>
                      <w:sz w:val="21"/>
                      <w:szCs w:val="21"/>
                      <w:lang w:val="en-US" w:eastAsia="zh-CN"/>
                    </w:rPr>
                    <w:t>0.354</w:t>
                  </w:r>
                </w:p>
              </w:tc>
              <w:tc>
                <w:tcPr>
                  <w:tcW w:w="579" w:type="pct"/>
                  <w:vAlign w:val="center"/>
                </w:tcPr>
                <w:p w14:paraId="483901B4">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w:t>
                  </w:r>
                </w:p>
              </w:tc>
            </w:tr>
            <w:tr w14:paraId="5A7A2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24" w:type="pct"/>
                  <w:vMerge w:val="continue"/>
                  <w:vAlign w:val="center"/>
                </w:tcPr>
                <w:p w14:paraId="25693B7E">
                  <w:pPr>
                    <w:spacing w:line="240" w:lineRule="auto"/>
                    <w:jc w:val="center"/>
                    <w:rPr>
                      <w:sz w:val="21"/>
                      <w:szCs w:val="21"/>
                    </w:rPr>
                  </w:pPr>
                </w:p>
              </w:tc>
              <w:tc>
                <w:tcPr>
                  <w:tcW w:w="536" w:type="pct"/>
                  <w:vMerge w:val="continue"/>
                  <w:vAlign w:val="center"/>
                </w:tcPr>
                <w:p w14:paraId="4F9F67D0">
                  <w:pPr>
                    <w:spacing w:line="240" w:lineRule="auto"/>
                    <w:jc w:val="center"/>
                    <w:rPr>
                      <w:sz w:val="21"/>
                      <w:szCs w:val="21"/>
                    </w:rPr>
                  </w:pPr>
                </w:p>
              </w:tc>
              <w:tc>
                <w:tcPr>
                  <w:tcW w:w="994" w:type="pct"/>
                  <w:vAlign w:val="center"/>
                </w:tcPr>
                <w:p w14:paraId="017C0B57">
                  <w:pPr>
                    <w:spacing w:line="240" w:lineRule="auto"/>
                    <w:jc w:val="center"/>
                    <w:rPr>
                      <w:rFonts w:hint="default" w:eastAsia="仿宋"/>
                      <w:sz w:val="21"/>
                      <w:szCs w:val="21"/>
                      <w:lang w:val="en-US" w:eastAsia="zh-CN"/>
                    </w:rPr>
                  </w:pPr>
                  <w:r>
                    <w:rPr>
                      <w:rFonts w:hint="eastAsia"/>
                      <w:sz w:val="21"/>
                      <w:szCs w:val="21"/>
                      <w:lang w:val="en-US" w:eastAsia="zh-CN"/>
                    </w:rPr>
                    <w:t>SO</w:t>
                  </w:r>
                  <w:r>
                    <w:rPr>
                      <w:rFonts w:hint="eastAsia"/>
                      <w:sz w:val="21"/>
                      <w:szCs w:val="21"/>
                      <w:vertAlign w:val="subscript"/>
                      <w:lang w:val="en-US" w:eastAsia="zh-CN"/>
                    </w:rPr>
                    <w:t>2</w:t>
                  </w:r>
                </w:p>
              </w:tc>
              <w:tc>
                <w:tcPr>
                  <w:tcW w:w="688" w:type="pct"/>
                  <w:vAlign w:val="center"/>
                </w:tcPr>
                <w:p w14:paraId="0DC68337">
                  <w:pPr>
                    <w:spacing w:line="240" w:lineRule="auto"/>
                    <w:jc w:val="center"/>
                    <w:rPr>
                      <w:rFonts w:hint="default" w:eastAsia="仿宋"/>
                      <w:sz w:val="21"/>
                      <w:szCs w:val="21"/>
                      <w:lang w:val="en-US" w:eastAsia="zh-CN"/>
                    </w:rPr>
                  </w:pPr>
                  <w:r>
                    <w:rPr>
                      <w:rFonts w:hint="eastAsia"/>
                      <w:sz w:val="21"/>
                      <w:szCs w:val="21"/>
                      <w:lang w:val="en-US" w:eastAsia="zh-CN"/>
                    </w:rPr>
                    <w:t>0.08</w:t>
                  </w:r>
                </w:p>
              </w:tc>
              <w:tc>
                <w:tcPr>
                  <w:tcW w:w="643" w:type="pct"/>
                  <w:vAlign w:val="center"/>
                </w:tcPr>
                <w:p w14:paraId="05838BFE">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606" w:type="pct"/>
                  <w:vAlign w:val="center"/>
                </w:tcPr>
                <w:p w14:paraId="52046343">
                  <w:pPr>
                    <w:spacing w:line="240" w:lineRule="auto"/>
                    <w:jc w:val="center"/>
                    <w:rPr>
                      <w:rFonts w:hint="default"/>
                      <w:sz w:val="21"/>
                      <w:szCs w:val="21"/>
                      <w:lang w:val="en-US"/>
                    </w:rPr>
                  </w:pPr>
                  <w:r>
                    <w:rPr>
                      <w:rFonts w:hint="eastAsia"/>
                      <w:sz w:val="21"/>
                      <w:szCs w:val="21"/>
                      <w:lang w:val="en-US" w:eastAsia="zh-CN"/>
                    </w:rPr>
                    <w:t>0.08</w:t>
                  </w:r>
                </w:p>
              </w:tc>
              <w:tc>
                <w:tcPr>
                  <w:tcW w:w="626" w:type="pct"/>
                  <w:shd w:val="clear" w:color="auto" w:fill="auto"/>
                  <w:vAlign w:val="center"/>
                </w:tcPr>
                <w:p w14:paraId="787AF414">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0.08</w:t>
                  </w:r>
                </w:p>
              </w:tc>
              <w:tc>
                <w:tcPr>
                  <w:tcW w:w="579" w:type="pct"/>
                  <w:vAlign w:val="center"/>
                </w:tcPr>
                <w:p w14:paraId="0369C75F">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w:t>
                  </w:r>
                </w:p>
              </w:tc>
            </w:tr>
            <w:tr w14:paraId="69809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24" w:type="pct"/>
                  <w:vMerge w:val="continue"/>
                  <w:vAlign w:val="center"/>
                </w:tcPr>
                <w:p w14:paraId="18800592">
                  <w:pPr>
                    <w:spacing w:line="240" w:lineRule="auto"/>
                    <w:jc w:val="center"/>
                    <w:rPr>
                      <w:sz w:val="21"/>
                      <w:szCs w:val="21"/>
                    </w:rPr>
                  </w:pPr>
                </w:p>
              </w:tc>
              <w:tc>
                <w:tcPr>
                  <w:tcW w:w="536" w:type="pct"/>
                  <w:vMerge w:val="continue"/>
                  <w:vAlign w:val="center"/>
                </w:tcPr>
                <w:p w14:paraId="63AD823B">
                  <w:pPr>
                    <w:spacing w:line="240" w:lineRule="auto"/>
                    <w:jc w:val="center"/>
                    <w:rPr>
                      <w:sz w:val="21"/>
                      <w:szCs w:val="21"/>
                    </w:rPr>
                  </w:pPr>
                </w:p>
              </w:tc>
              <w:tc>
                <w:tcPr>
                  <w:tcW w:w="994" w:type="pct"/>
                  <w:vAlign w:val="center"/>
                </w:tcPr>
                <w:p w14:paraId="2AEA9D8C">
                  <w:pPr>
                    <w:spacing w:line="240" w:lineRule="auto"/>
                    <w:jc w:val="center"/>
                    <w:rPr>
                      <w:rFonts w:hint="default" w:eastAsia="仿宋"/>
                      <w:sz w:val="21"/>
                      <w:szCs w:val="21"/>
                      <w:lang w:val="en-US" w:eastAsia="zh-CN"/>
                    </w:rPr>
                  </w:pPr>
                  <w:r>
                    <w:rPr>
                      <w:rFonts w:hint="eastAsia"/>
                      <w:sz w:val="21"/>
                      <w:szCs w:val="21"/>
                      <w:lang w:val="en-US" w:eastAsia="zh-CN"/>
                    </w:rPr>
                    <w:t>NOx</w:t>
                  </w:r>
                </w:p>
              </w:tc>
              <w:tc>
                <w:tcPr>
                  <w:tcW w:w="688" w:type="pct"/>
                  <w:vAlign w:val="center"/>
                </w:tcPr>
                <w:p w14:paraId="58D22293">
                  <w:pPr>
                    <w:spacing w:line="240" w:lineRule="auto"/>
                    <w:jc w:val="center"/>
                    <w:rPr>
                      <w:rFonts w:hint="default" w:eastAsia="仿宋"/>
                      <w:sz w:val="21"/>
                      <w:szCs w:val="21"/>
                      <w:lang w:val="en-US" w:eastAsia="zh-CN"/>
                    </w:rPr>
                  </w:pPr>
                  <w:r>
                    <w:rPr>
                      <w:rFonts w:hint="eastAsia"/>
                      <w:sz w:val="21"/>
                      <w:szCs w:val="21"/>
                      <w:lang w:val="en-US" w:eastAsia="zh-CN"/>
                    </w:rPr>
                    <w:t>0.374</w:t>
                  </w:r>
                </w:p>
              </w:tc>
              <w:tc>
                <w:tcPr>
                  <w:tcW w:w="643" w:type="pct"/>
                  <w:vAlign w:val="center"/>
                </w:tcPr>
                <w:p w14:paraId="15D679D4">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606" w:type="pct"/>
                  <w:vAlign w:val="center"/>
                </w:tcPr>
                <w:p w14:paraId="5AEFD5A8">
                  <w:pPr>
                    <w:spacing w:line="240" w:lineRule="auto"/>
                    <w:jc w:val="center"/>
                    <w:rPr>
                      <w:sz w:val="21"/>
                      <w:szCs w:val="21"/>
                    </w:rPr>
                  </w:pPr>
                  <w:r>
                    <w:rPr>
                      <w:rFonts w:hint="eastAsia"/>
                      <w:sz w:val="21"/>
                      <w:szCs w:val="21"/>
                      <w:lang w:val="en-US" w:eastAsia="zh-CN"/>
                    </w:rPr>
                    <w:t>0.374</w:t>
                  </w:r>
                </w:p>
              </w:tc>
              <w:tc>
                <w:tcPr>
                  <w:tcW w:w="626" w:type="pct"/>
                  <w:shd w:val="clear" w:color="auto" w:fill="auto"/>
                  <w:vAlign w:val="center"/>
                </w:tcPr>
                <w:p w14:paraId="241DBFEF">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0.374</w:t>
                  </w:r>
                </w:p>
              </w:tc>
              <w:tc>
                <w:tcPr>
                  <w:tcW w:w="579" w:type="pct"/>
                  <w:vAlign w:val="center"/>
                </w:tcPr>
                <w:p w14:paraId="47E73FA9">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w:t>
                  </w:r>
                </w:p>
              </w:tc>
            </w:tr>
            <w:tr w14:paraId="1B0EF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24" w:type="pct"/>
                  <w:vMerge w:val="continue"/>
                  <w:vAlign w:val="center"/>
                </w:tcPr>
                <w:p w14:paraId="2EDEA339">
                  <w:pPr>
                    <w:spacing w:line="240" w:lineRule="auto"/>
                    <w:jc w:val="center"/>
                    <w:rPr>
                      <w:sz w:val="21"/>
                      <w:szCs w:val="21"/>
                    </w:rPr>
                  </w:pPr>
                </w:p>
              </w:tc>
              <w:tc>
                <w:tcPr>
                  <w:tcW w:w="536" w:type="pct"/>
                  <w:vMerge w:val="continue"/>
                  <w:vAlign w:val="center"/>
                </w:tcPr>
                <w:p w14:paraId="6474B635">
                  <w:pPr>
                    <w:spacing w:line="240" w:lineRule="auto"/>
                    <w:jc w:val="center"/>
                    <w:rPr>
                      <w:sz w:val="21"/>
                      <w:szCs w:val="21"/>
                    </w:rPr>
                  </w:pPr>
                </w:p>
              </w:tc>
              <w:tc>
                <w:tcPr>
                  <w:tcW w:w="994" w:type="pct"/>
                  <w:vAlign w:val="center"/>
                </w:tcPr>
                <w:p w14:paraId="00F03029">
                  <w:pPr>
                    <w:spacing w:line="240" w:lineRule="auto"/>
                    <w:jc w:val="center"/>
                    <w:rPr>
                      <w:rFonts w:hint="default" w:eastAsia="仿宋"/>
                      <w:sz w:val="21"/>
                      <w:szCs w:val="21"/>
                      <w:lang w:val="en-US" w:eastAsia="zh-CN"/>
                    </w:rPr>
                  </w:pPr>
                  <w:r>
                    <w:rPr>
                      <w:rFonts w:hint="eastAsia"/>
                      <w:sz w:val="21"/>
                      <w:szCs w:val="21"/>
                      <w:lang w:val="en-US" w:eastAsia="zh-CN"/>
                    </w:rPr>
                    <w:t>VOCs</w:t>
                  </w:r>
                </w:p>
              </w:tc>
              <w:tc>
                <w:tcPr>
                  <w:tcW w:w="688" w:type="pct"/>
                  <w:vAlign w:val="center"/>
                </w:tcPr>
                <w:p w14:paraId="1987D502">
                  <w:pPr>
                    <w:spacing w:line="240" w:lineRule="auto"/>
                    <w:jc w:val="center"/>
                    <w:rPr>
                      <w:rFonts w:hint="default" w:eastAsia="仿宋"/>
                      <w:sz w:val="21"/>
                      <w:szCs w:val="21"/>
                      <w:lang w:val="en-US" w:eastAsia="zh-CN"/>
                    </w:rPr>
                  </w:pPr>
                  <w:r>
                    <w:rPr>
                      <w:rFonts w:hint="eastAsia"/>
                      <w:sz w:val="21"/>
                      <w:szCs w:val="21"/>
                      <w:lang w:val="en-US" w:eastAsia="zh-CN"/>
                    </w:rPr>
                    <w:t>2.7</w:t>
                  </w:r>
                </w:p>
              </w:tc>
              <w:tc>
                <w:tcPr>
                  <w:tcW w:w="643" w:type="pct"/>
                  <w:vAlign w:val="center"/>
                </w:tcPr>
                <w:p w14:paraId="6D8E6915">
                  <w:pPr>
                    <w:spacing w:line="240" w:lineRule="auto"/>
                    <w:jc w:val="center"/>
                    <w:rPr>
                      <w:rFonts w:hint="default" w:eastAsia="仿宋"/>
                      <w:sz w:val="21"/>
                      <w:szCs w:val="21"/>
                      <w:lang w:val="en-US" w:eastAsia="zh-CN"/>
                    </w:rPr>
                  </w:pPr>
                  <w:r>
                    <w:rPr>
                      <w:rFonts w:hint="eastAsia"/>
                      <w:sz w:val="21"/>
                      <w:szCs w:val="21"/>
                      <w:lang w:val="en-US" w:eastAsia="zh-CN"/>
                    </w:rPr>
                    <w:t>2.43</w:t>
                  </w:r>
                </w:p>
              </w:tc>
              <w:tc>
                <w:tcPr>
                  <w:tcW w:w="606" w:type="pct"/>
                  <w:vAlign w:val="center"/>
                </w:tcPr>
                <w:p w14:paraId="1FD8FE2F">
                  <w:pPr>
                    <w:spacing w:line="240" w:lineRule="auto"/>
                    <w:jc w:val="center"/>
                    <w:rPr>
                      <w:rFonts w:hint="default" w:eastAsia="仿宋"/>
                      <w:sz w:val="21"/>
                      <w:szCs w:val="21"/>
                      <w:lang w:val="en-US" w:eastAsia="zh-CN"/>
                    </w:rPr>
                  </w:pPr>
                  <w:r>
                    <w:rPr>
                      <w:rFonts w:hint="eastAsia"/>
                      <w:sz w:val="21"/>
                      <w:szCs w:val="21"/>
                      <w:lang w:val="en-US" w:eastAsia="zh-CN"/>
                    </w:rPr>
                    <w:t>0.27</w:t>
                  </w:r>
                </w:p>
              </w:tc>
              <w:tc>
                <w:tcPr>
                  <w:tcW w:w="626" w:type="pct"/>
                  <w:shd w:val="clear" w:color="auto" w:fill="auto"/>
                  <w:vAlign w:val="center"/>
                </w:tcPr>
                <w:p w14:paraId="45A648DC">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0.27</w:t>
                  </w:r>
                </w:p>
              </w:tc>
              <w:tc>
                <w:tcPr>
                  <w:tcW w:w="579" w:type="pct"/>
                  <w:vAlign w:val="center"/>
                </w:tcPr>
                <w:p w14:paraId="2DA52747">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w:t>
                  </w:r>
                </w:p>
              </w:tc>
            </w:tr>
            <w:tr w14:paraId="029FC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24" w:type="pct"/>
                  <w:vMerge w:val="continue"/>
                  <w:vAlign w:val="center"/>
                </w:tcPr>
                <w:p w14:paraId="6F06EFF2">
                  <w:pPr>
                    <w:spacing w:line="240" w:lineRule="auto"/>
                    <w:jc w:val="center"/>
                    <w:rPr>
                      <w:sz w:val="21"/>
                      <w:szCs w:val="21"/>
                    </w:rPr>
                  </w:pPr>
                </w:p>
              </w:tc>
              <w:tc>
                <w:tcPr>
                  <w:tcW w:w="536" w:type="pct"/>
                  <w:vMerge w:val="restart"/>
                  <w:vAlign w:val="center"/>
                </w:tcPr>
                <w:p w14:paraId="59138253">
                  <w:pPr>
                    <w:spacing w:line="240" w:lineRule="auto"/>
                    <w:jc w:val="center"/>
                    <w:rPr>
                      <w:rFonts w:hint="eastAsia" w:eastAsia="仿宋"/>
                      <w:sz w:val="21"/>
                      <w:szCs w:val="21"/>
                      <w:lang w:val="en-US" w:eastAsia="zh-CN"/>
                    </w:rPr>
                  </w:pPr>
                  <w:r>
                    <w:rPr>
                      <w:rFonts w:hint="eastAsia"/>
                      <w:sz w:val="21"/>
                      <w:szCs w:val="21"/>
                      <w:lang w:val="en-US" w:eastAsia="zh-CN"/>
                    </w:rPr>
                    <w:t>无组织</w:t>
                  </w:r>
                </w:p>
              </w:tc>
              <w:tc>
                <w:tcPr>
                  <w:tcW w:w="994" w:type="pct"/>
                  <w:vAlign w:val="center"/>
                </w:tcPr>
                <w:p w14:paraId="7F22333B">
                  <w:pPr>
                    <w:spacing w:line="240" w:lineRule="auto"/>
                    <w:jc w:val="center"/>
                    <w:rPr>
                      <w:sz w:val="21"/>
                      <w:szCs w:val="21"/>
                    </w:rPr>
                  </w:pPr>
                  <w:r>
                    <w:rPr>
                      <w:rFonts w:hint="eastAsia"/>
                      <w:sz w:val="21"/>
                      <w:szCs w:val="21"/>
                      <w:lang w:val="en-US" w:eastAsia="zh-CN"/>
                    </w:rPr>
                    <w:t>颗粒物</w:t>
                  </w:r>
                </w:p>
              </w:tc>
              <w:tc>
                <w:tcPr>
                  <w:tcW w:w="688" w:type="pct"/>
                  <w:vAlign w:val="center"/>
                </w:tcPr>
                <w:p w14:paraId="16EF0A0C">
                  <w:pPr>
                    <w:spacing w:line="240" w:lineRule="auto"/>
                    <w:jc w:val="center"/>
                    <w:rPr>
                      <w:rFonts w:hint="default" w:eastAsia="仿宋"/>
                      <w:sz w:val="21"/>
                      <w:szCs w:val="21"/>
                      <w:lang w:val="en-US" w:eastAsia="zh-CN"/>
                    </w:rPr>
                  </w:pPr>
                  <w:r>
                    <w:rPr>
                      <w:rFonts w:hint="eastAsia"/>
                      <w:sz w:val="21"/>
                      <w:szCs w:val="21"/>
                      <w:lang w:val="en-US" w:eastAsia="zh-CN"/>
                    </w:rPr>
                    <w:t>0.381</w:t>
                  </w:r>
                </w:p>
              </w:tc>
              <w:tc>
                <w:tcPr>
                  <w:tcW w:w="643" w:type="pct"/>
                  <w:vAlign w:val="center"/>
                </w:tcPr>
                <w:p w14:paraId="360086E0">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606" w:type="pct"/>
                  <w:vAlign w:val="center"/>
                </w:tcPr>
                <w:p w14:paraId="3A1FAFB0">
                  <w:pPr>
                    <w:spacing w:line="240" w:lineRule="auto"/>
                    <w:jc w:val="center"/>
                    <w:rPr>
                      <w:rFonts w:hint="default"/>
                      <w:sz w:val="21"/>
                      <w:szCs w:val="21"/>
                      <w:lang w:val="en-US"/>
                    </w:rPr>
                  </w:pPr>
                  <w:r>
                    <w:rPr>
                      <w:rFonts w:hint="eastAsia"/>
                      <w:sz w:val="21"/>
                      <w:szCs w:val="21"/>
                      <w:lang w:val="en-US" w:eastAsia="zh-CN"/>
                    </w:rPr>
                    <w:t>0.381</w:t>
                  </w:r>
                </w:p>
              </w:tc>
              <w:tc>
                <w:tcPr>
                  <w:tcW w:w="626" w:type="pct"/>
                  <w:shd w:val="clear" w:color="auto" w:fill="auto"/>
                  <w:vAlign w:val="center"/>
                </w:tcPr>
                <w:p w14:paraId="5A9F3B49">
                  <w:pPr>
                    <w:spacing w:line="240" w:lineRule="auto"/>
                    <w:jc w:val="center"/>
                    <w:rPr>
                      <w:rFonts w:hint="default"/>
                      <w:sz w:val="21"/>
                      <w:szCs w:val="21"/>
                      <w:lang w:val="en-US" w:eastAsia="zh-CN"/>
                    </w:rPr>
                  </w:pPr>
                  <w:r>
                    <w:rPr>
                      <w:rFonts w:hint="eastAsia"/>
                      <w:sz w:val="21"/>
                      <w:szCs w:val="21"/>
                      <w:lang w:val="en-US" w:eastAsia="zh-CN"/>
                    </w:rPr>
                    <w:t>0.381</w:t>
                  </w:r>
                </w:p>
              </w:tc>
              <w:tc>
                <w:tcPr>
                  <w:tcW w:w="579" w:type="pct"/>
                  <w:vAlign w:val="center"/>
                </w:tcPr>
                <w:p w14:paraId="0FC6B250">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w:t>
                  </w:r>
                </w:p>
              </w:tc>
            </w:tr>
            <w:tr w14:paraId="52D02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4" w:type="pct"/>
                  <w:vMerge w:val="continue"/>
                  <w:vAlign w:val="center"/>
                </w:tcPr>
                <w:p w14:paraId="4DADE46E">
                  <w:pPr>
                    <w:spacing w:line="240" w:lineRule="auto"/>
                    <w:jc w:val="center"/>
                    <w:rPr>
                      <w:sz w:val="21"/>
                      <w:szCs w:val="21"/>
                    </w:rPr>
                  </w:pPr>
                </w:p>
              </w:tc>
              <w:tc>
                <w:tcPr>
                  <w:tcW w:w="536" w:type="pct"/>
                  <w:vMerge w:val="continue"/>
                  <w:vAlign w:val="center"/>
                </w:tcPr>
                <w:p w14:paraId="7755FB92">
                  <w:pPr>
                    <w:spacing w:line="240" w:lineRule="auto"/>
                    <w:jc w:val="center"/>
                    <w:rPr>
                      <w:sz w:val="21"/>
                      <w:szCs w:val="21"/>
                    </w:rPr>
                  </w:pPr>
                </w:p>
              </w:tc>
              <w:tc>
                <w:tcPr>
                  <w:tcW w:w="994" w:type="pct"/>
                  <w:vAlign w:val="center"/>
                </w:tcPr>
                <w:p w14:paraId="53B34334">
                  <w:pPr>
                    <w:spacing w:line="240" w:lineRule="auto"/>
                    <w:jc w:val="center"/>
                    <w:rPr>
                      <w:sz w:val="21"/>
                      <w:szCs w:val="21"/>
                    </w:rPr>
                  </w:pPr>
                  <w:r>
                    <w:rPr>
                      <w:rFonts w:hint="eastAsia"/>
                      <w:sz w:val="21"/>
                      <w:szCs w:val="21"/>
                      <w:lang w:val="en-US" w:eastAsia="zh-CN"/>
                    </w:rPr>
                    <w:t>VOCs</w:t>
                  </w:r>
                </w:p>
              </w:tc>
              <w:tc>
                <w:tcPr>
                  <w:tcW w:w="688" w:type="pct"/>
                  <w:vAlign w:val="center"/>
                </w:tcPr>
                <w:p w14:paraId="6423994A">
                  <w:pPr>
                    <w:spacing w:line="240" w:lineRule="auto"/>
                    <w:jc w:val="center"/>
                    <w:rPr>
                      <w:rFonts w:hint="default" w:eastAsia="仿宋"/>
                      <w:sz w:val="21"/>
                      <w:szCs w:val="21"/>
                      <w:lang w:val="en-US" w:eastAsia="zh-CN"/>
                    </w:rPr>
                  </w:pPr>
                  <w:r>
                    <w:rPr>
                      <w:rFonts w:hint="eastAsia"/>
                      <w:sz w:val="21"/>
                      <w:szCs w:val="21"/>
                      <w:lang w:val="en-US" w:eastAsia="zh-CN"/>
                    </w:rPr>
                    <w:t>0.3</w:t>
                  </w:r>
                </w:p>
              </w:tc>
              <w:tc>
                <w:tcPr>
                  <w:tcW w:w="643" w:type="pct"/>
                  <w:vAlign w:val="center"/>
                </w:tcPr>
                <w:p w14:paraId="6987ECFF">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606" w:type="pct"/>
                  <w:vAlign w:val="center"/>
                </w:tcPr>
                <w:p w14:paraId="5C42F302">
                  <w:pPr>
                    <w:spacing w:line="240" w:lineRule="auto"/>
                    <w:jc w:val="center"/>
                    <w:rPr>
                      <w:sz w:val="21"/>
                      <w:szCs w:val="21"/>
                    </w:rPr>
                  </w:pPr>
                  <w:r>
                    <w:rPr>
                      <w:rFonts w:hint="eastAsia"/>
                      <w:sz w:val="21"/>
                      <w:szCs w:val="21"/>
                      <w:lang w:val="en-US" w:eastAsia="zh-CN"/>
                    </w:rPr>
                    <w:t>0.3</w:t>
                  </w:r>
                </w:p>
              </w:tc>
              <w:tc>
                <w:tcPr>
                  <w:tcW w:w="626" w:type="pct"/>
                  <w:shd w:val="clear" w:color="auto" w:fill="auto"/>
                  <w:vAlign w:val="center"/>
                </w:tcPr>
                <w:p w14:paraId="31B9B952">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0.3</w:t>
                  </w:r>
                </w:p>
              </w:tc>
              <w:tc>
                <w:tcPr>
                  <w:tcW w:w="579" w:type="pct"/>
                  <w:vAlign w:val="center"/>
                </w:tcPr>
                <w:p w14:paraId="1B65505F">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w:t>
                  </w:r>
                </w:p>
              </w:tc>
            </w:tr>
            <w:tr w14:paraId="3DE7A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76DAA674">
                  <w:pPr>
                    <w:spacing w:line="240" w:lineRule="auto"/>
                    <w:jc w:val="center"/>
                    <w:rPr>
                      <w:sz w:val="21"/>
                      <w:szCs w:val="21"/>
                    </w:rPr>
                  </w:pPr>
                </w:p>
              </w:tc>
              <w:tc>
                <w:tcPr>
                  <w:tcW w:w="536" w:type="pct"/>
                  <w:vMerge w:val="restart"/>
                  <w:vAlign w:val="center"/>
                </w:tcPr>
                <w:p w14:paraId="7AAA7320">
                  <w:pPr>
                    <w:spacing w:line="240" w:lineRule="auto"/>
                    <w:jc w:val="center"/>
                    <w:rPr>
                      <w:rFonts w:hint="default"/>
                      <w:b/>
                      <w:bCs/>
                      <w:sz w:val="21"/>
                      <w:szCs w:val="21"/>
                      <w:lang w:val="en-US" w:eastAsia="zh-CN"/>
                    </w:rPr>
                  </w:pPr>
                  <w:r>
                    <w:rPr>
                      <w:rFonts w:hint="eastAsia"/>
                      <w:b/>
                      <w:bCs/>
                      <w:sz w:val="21"/>
                      <w:szCs w:val="21"/>
                      <w:lang w:val="en-US" w:eastAsia="zh-CN"/>
                    </w:rPr>
                    <w:t>合计</w:t>
                  </w:r>
                </w:p>
              </w:tc>
              <w:tc>
                <w:tcPr>
                  <w:tcW w:w="994" w:type="pct"/>
                  <w:shd w:val="clear" w:color="auto" w:fill="auto"/>
                  <w:vAlign w:val="center"/>
                </w:tcPr>
                <w:p w14:paraId="1038C464">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颗粒物</w:t>
                  </w:r>
                </w:p>
              </w:tc>
              <w:tc>
                <w:tcPr>
                  <w:tcW w:w="688" w:type="pct"/>
                  <w:vAlign w:val="center"/>
                </w:tcPr>
                <w:p w14:paraId="0E531658">
                  <w:pPr>
                    <w:spacing w:line="240" w:lineRule="auto"/>
                    <w:jc w:val="center"/>
                    <w:rPr>
                      <w:rFonts w:hint="default"/>
                      <w:b/>
                      <w:bCs/>
                      <w:sz w:val="21"/>
                      <w:szCs w:val="21"/>
                      <w:lang w:val="en-US" w:eastAsia="zh-CN"/>
                    </w:rPr>
                  </w:pPr>
                  <w:r>
                    <w:rPr>
                      <w:rFonts w:hint="eastAsia"/>
                      <w:b/>
                      <w:bCs/>
                      <w:sz w:val="21"/>
                      <w:szCs w:val="21"/>
                      <w:lang w:val="en-US" w:eastAsia="zh-CN"/>
                    </w:rPr>
                    <w:t>3.923</w:t>
                  </w:r>
                </w:p>
              </w:tc>
              <w:tc>
                <w:tcPr>
                  <w:tcW w:w="643" w:type="pct"/>
                  <w:vAlign w:val="center"/>
                </w:tcPr>
                <w:p w14:paraId="4CD973F8">
                  <w:pPr>
                    <w:spacing w:line="240" w:lineRule="auto"/>
                    <w:jc w:val="center"/>
                    <w:rPr>
                      <w:rFonts w:hint="eastAsia"/>
                      <w:b/>
                      <w:bCs/>
                      <w:sz w:val="21"/>
                      <w:szCs w:val="21"/>
                    </w:rPr>
                  </w:pPr>
                  <w:r>
                    <w:rPr>
                      <w:rFonts w:hint="eastAsia"/>
                      <w:b/>
                      <w:bCs/>
                      <w:sz w:val="21"/>
                      <w:szCs w:val="21"/>
                      <w:lang w:val="en-US" w:eastAsia="zh-CN"/>
                    </w:rPr>
                    <w:t>3.188</w:t>
                  </w:r>
                </w:p>
              </w:tc>
              <w:tc>
                <w:tcPr>
                  <w:tcW w:w="606" w:type="pct"/>
                  <w:shd w:val="clear" w:color="auto" w:fill="auto"/>
                  <w:vAlign w:val="center"/>
                </w:tcPr>
                <w:p w14:paraId="725677F0">
                  <w:pPr>
                    <w:spacing w:line="240" w:lineRule="auto"/>
                    <w:jc w:val="center"/>
                    <w:rPr>
                      <w:rFonts w:hint="default"/>
                      <w:b/>
                      <w:bCs/>
                      <w:sz w:val="21"/>
                      <w:szCs w:val="21"/>
                      <w:lang w:val="en-US" w:eastAsia="zh-CN"/>
                    </w:rPr>
                  </w:pPr>
                  <w:r>
                    <w:rPr>
                      <w:rFonts w:hint="eastAsia"/>
                      <w:b/>
                      <w:bCs/>
                      <w:sz w:val="21"/>
                      <w:szCs w:val="21"/>
                      <w:lang w:val="en-US" w:eastAsia="zh-CN"/>
                    </w:rPr>
                    <w:t>0.735</w:t>
                  </w:r>
                </w:p>
              </w:tc>
              <w:tc>
                <w:tcPr>
                  <w:tcW w:w="626" w:type="pct"/>
                  <w:vAlign w:val="center"/>
                </w:tcPr>
                <w:p w14:paraId="4E5DDE99">
                  <w:pPr>
                    <w:spacing w:line="240" w:lineRule="auto"/>
                    <w:jc w:val="center"/>
                    <w:rPr>
                      <w:rFonts w:hint="eastAsia"/>
                      <w:b/>
                      <w:bCs/>
                      <w:sz w:val="21"/>
                      <w:szCs w:val="21"/>
                      <w:lang w:val="en-US" w:eastAsia="zh-CN"/>
                    </w:rPr>
                  </w:pPr>
                  <w:r>
                    <w:rPr>
                      <w:rFonts w:hint="eastAsia"/>
                      <w:b/>
                      <w:bCs/>
                      <w:sz w:val="21"/>
                      <w:szCs w:val="21"/>
                      <w:lang w:val="en-US" w:eastAsia="zh-CN"/>
                    </w:rPr>
                    <w:t>0.735</w:t>
                  </w:r>
                </w:p>
              </w:tc>
              <w:tc>
                <w:tcPr>
                  <w:tcW w:w="579" w:type="pct"/>
                  <w:vAlign w:val="center"/>
                </w:tcPr>
                <w:p w14:paraId="74D3A3F2">
                  <w:pPr>
                    <w:spacing w:line="240" w:lineRule="auto"/>
                    <w:jc w:val="center"/>
                    <w:rPr>
                      <w:rFonts w:hint="eastAsia"/>
                      <w:b/>
                      <w:bCs/>
                      <w:sz w:val="21"/>
                      <w:szCs w:val="21"/>
                      <w:lang w:val="en-US" w:eastAsia="zh-CN"/>
                    </w:rPr>
                  </w:pPr>
                  <w:r>
                    <w:rPr>
                      <w:rFonts w:hint="eastAsia" w:cs="Times New Roman"/>
                      <w:b/>
                      <w:bCs/>
                      <w:sz w:val="21"/>
                      <w:szCs w:val="21"/>
                      <w:lang w:val="en-US" w:eastAsia="zh-CN"/>
                    </w:rPr>
                    <w:t>-</w:t>
                  </w:r>
                </w:p>
              </w:tc>
            </w:tr>
            <w:tr w14:paraId="33907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03ED0CEF">
                  <w:pPr>
                    <w:spacing w:line="240" w:lineRule="auto"/>
                    <w:jc w:val="center"/>
                    <w:rPr>
                      <w:sz w:val="21"/>
                      <w:szCs w:val="21"/>
                    </w:rPr>
                  </w:pPr>
                </w:p>
              </w:tc>
              <w:tc>
                <w:tcPr>
                  <w:tcW w:w="536" w:type="pct"/>
                  <w:vMerge w:val="continue"/>
                  <w:vAlign w:val="center"/>
                </w:tcPr>
                <w:p w14:paraId="053CBEDB">
                  <w:pPr>
                    <w:spacing w:line="240" w:lineRule="auto"/>
                    <w:jc w:val="center"/>
                    <w:rPr>
                      <w:rFonts w:hint="eastAsia"/>
                      <w:b/>
                      <w:bCs/>
                      <w:sz w:val="21"/>
                      <w:szCs w:val="21"/>
                      <w:lang w:val="en-US" w:eastAsia="zh-CN"/>
                    </w:rPr>
                  </w:pPr>
                </w:p>
              </w:tc>
              <w:tc>
                <w:tcPr>
                  <w:tcW w:w="994" w:type="pct"/>
                  <w:shd w:val="clear" w:color="auto" w:fill="auto"/>
                  <w:vAlign w:val="center"/>
                </w:tcPr>
                <w:p w14:paraId="26E8D860">
                  <w:pPr>
                    <w:spacing w:line="240" w:lineRule="auto"/>
                    <w:jc w:val="center"/>
                    <w:rPr>
                      <w:rFonts w:hint="default" w:ascii="Times New Roman" w:hAnsi="Times New Roman" w:eastAsia="仿宋" w:cs="Times New Roman"/>
                      <w:b/>
                      <w:bCs/>
                      <w:kern w:val="2"/>
                      <w:sz w:val="21"/>
                      <w:szCs w:val="21"/>
                      <w:lang w:val="en-US" w:eastAsia="zh-CN" w:bidi="ar-SA"/>
                    </w:rPr>
                  </w:pPr>
                  <w:r>
                    <w:rPr>
                      <w:rFonts w:hint="eastAsia"/>
                      <w:b/>
                      <w:bCs/>
                      <w:sz w:val="21"/>
                      <w:szCs w:val="21"/>
                      <w:lang w:val="en-US" w:eastAsia="zh-CN"/>
                    </w:rPr>
                    <w:t>SO</w:t>
                  </w:r>
                  <w:r>
                    <w:rPr>
                      <w:rFonts w:hint="eastAsia"/>
                      <w:b/>
                      <w:bCs/>
                      <w:sz w:val="21"/>
                      <w:szCs w:val="21"/>
                      <w:vertAlign w:val="subscript"/>
                      <w:lang w:val="en-US" w:eastAsia="zh-CN"/>
                    </w:rPr>
                    <w:t>2</w:t>
                  </w:r>
                </w:p>
              </w:tc>
              <w:tc>
                <w:tcPr>
                  <w:tcW w:w="688" w:type="pct"/>
                  <w:shd w:val="clear" w:color="auto" w:fill="auto"/>
                  <w:vAlign w:val="center"/>
                </w:tcPr>
                <w:p w14:paraId="1AD93A91">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0.08</w:t>
                  </w:r>
                </w:p>
              </w:tc>
              <w:tc>
                <w:tcPr>
                  <w:tcW w:w="643" w:type="pct"/>
                  <w:shd w:val="clear" w:color="auto" w:fill="auto"/>
                  <w:vAlign w:val="center"/>
                </w:tcPr>
                <w:p w14:paraId="78ABCE90">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w:t>
                  </w:r>
                </w:p>
              </w:tc>
              <w:tc>
                <w:tcPr>
                  <w:tcW w:w="606" w:type="pct"/>
                  <w:shd w:val="clear" w:color="auto" w:fill="auto"/>
                  <w:vAlign w:val="center"/>
                </w:tcPr>
                <w:p w14:paraId="42A00817">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0.08</w:t>
                  </w:r>
                </w:p>
              </w:tc>
              <w:tc>
                <w:tcPr>
                  <w:tcW w:w="626" w:type="pct"/>
                  <w:shd w:val="clear" w:color="auto" w:fill="auto"/>
                  <w:vAlign w:val="center"/>
                </w:tcPr>
                <w:p w14:paraId="2DEA6B1E">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0.08</w:t>
                  </w:r>
                </w:p>
              </w:tc>
              <w:tc>
                <w:tcPr>
                  <w:tcW w:w="579" w:type="pct"/>
                  <w:vAlign w:val="center"/>
                </w:tcPr>
                <w:p w14:paraId="2735FB47">
                  <w:pPr>
                    <w:spacing w:line="240" w:lineRule="auto"/>
                    <w:jc w:val="center"/>
                    <w:rPr>
                      <w:rFonts w:hint="eastAsia"/>
                      <w:b/>
                      <w:bCs/>
                      <w:sz w:val="21"/>
                      <w:szCs w:val="21"/>
                      <w:lang w:val="en-US" w:eastAsia="zh-CN"/>
                    </w:rPr>
                  </w:pPr>
                  <w:r>
                    <w:rPr>
                      <w:rFonts w:hint="eastAsia" w:cs="Times New Roman"/>
                      <w:b/>
                      <w:bCs/>
                      <w:sz w:val="21"/>
                      <w:szCs w:val="21"/>
                      <w:lang w:val="en-US" w:eastAsia="zh-CN"/>
                    </w:rPr>
                    <w:t>-</w:t>
                  </w:r>
                </w:p>
              </w:tc>
            </w:tr>
            <w:tr w14:paraId="092E2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28822E37">
                  <w:pPr>
                    <w:spacing w:line="240" w:lineRule="auto"/>
                    <w:jc w:val="center"/>
                    <w:rPr>
                      <w:sz w:val="21"/>
                      <w:szCs w:val="21"/>
                    </w:rPr>
                  </w:pPr>
                </w:p>
              </w:tc>
              <w:tc>
                <w:tcPr>
                  <w:tcW w:w="536" w:type="pct"/>
                  <w:vMerge w:val="continue"/>
                  <w:vAlign w:val="center"/>
                </w:tcPr>
                <w:p w14:paraId="6ED5B0ED">
                  <w:pPr>
                    <w:spacing w:line="240" w:lineRule="auto"/>
                    <w:jc w:val="center"/>
                    <w:rPr>
                      <w:rFonts w:hint="eastAsia"/>
                      <w:b/>
                      <w:bCs/>
                      <w:sz w:val="21"/>
                      <w:szCs w:val="21"/>
                      <w:lang w:val="en-US" w:eastAsia="zh-CN"/>
                    </w:rPr>
                  </w:pPr>
                </w:p>
              </w:tc>
              <w:tc>
                <w:tcPr>
                  <w:tcW w:w="994" w:type="pct"/>
                  <w:shd w:val="clear" w:color="auto" w:fill="auto"/>
                  <w:vAlign w:val="center"/>
                </w:tcPr>
                <w:p w14:paraId="3D8A1BFE">
                  <w:pPr>
                    <w:spacing w:line="240" w:lineRule="auto"/>
                    <w:jc w:val="center"/>
                    <w:rPr>
                      <w:rFonts w:hint="default" w:ascii="Times New Roman" w:hAnsi="Times New Roman" w:eastAsia="仿宋" w:cs="Times New Roman"/>
                      <w:b/>
                      <w:bCs/>
                      <w:kern w:val="2"/>
                      <w:sz w:val="21"/>
                      <w:szCs w:val="21"/>
                      <w:lang w:val="en-US" w:eastAsia="zh-CN" w:bidi="ar-SA"/>
                    </w:rPr>
                  </w:pPr>
                  <w:r>
                    <w:rPr>
                      <w:rFonts w:hint="eastAsia"/>
                      <w:b/>
                      <w:bCs/>
                      <w:sz w:val="21"/>
                      <w:szCs w:val="21"/>
                      <w:lang w:val="en-US" w:eastAsia="zh-CN"/>
                    </w:rPr>
                    <w:t>NOx</w:t>
                  </w:r>
                </w:p>
              </w:tc>
              <w:tc>
                <w:tcPr>
                  <w:tcW w:w="688" w:type="pct"/>
                  <w:shd w:val="clear" w:color="auto" w:fill="auto"/>
                  <w:vAlign w:val="center"/>
                </w:tcPr>
                <w:p w14:paraId="09E9B1CA">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0.374</w:t>
                  </w:r>
                </w:p>
              </w:tc>
              <w:tc>
                <w:tcPr>
                  <w:tcW w:w="643" w:type="pct"/>
                  <w:shd w:val="clear" w:color="auto" w:fill="auto"/>
                  <w:vAlign w:val="center"/>
                </w:tcPr>
                <w:p w14:paraId="44E663A5">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w:t>
                  </w:r>
                </w:p>
              </w:tc>
              <w:tc>
                <w:tcPr>
                  <w:tcW w:w="606" w:type="pct"/>
                  <w:shd w:val="clear" w:color="auto" w:fill="auto"/>
                  <w:vAlign w:val="center"/>
                </w:tcPr>
                <w:p w14:paraId="2BB8A9CD">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0.374</w:t>
                  </w:r>
                </w:p>
              </w:tc>
              <w:tc>
                <w:tcPr>
                  <w:tcW w:w="626" w:type="pct"/>
                  <w:shd w:val="clear" w:color="auto" w:fill="auto"/>
                  <w:vAlign w:val="center"/>
                </w:tcPr>
                <w:p w14:paraId="1B097291">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0.374</w:t>
                  </w:r>
                </w:p>
              </w:tc>
              <w:tc>
                <w:tcPr>
                  <w:tcW w:w="579" w:type="pct"/>
                  <w:vAlign w:val="center"/>
                </w:tcPr>
                <w:p w14:paraId="28D2AE82">
                  <w:pPr>
                    <w:spacing w:line="240" w:lineRule="auto"/>
                    <w:jc w:val="center"/>
                    <w:rPr>
                      <w:rFonts w:hint="eastAsia"/>
                      <w:b/>
                      <w:bCs/>
                      <w:sz w:val="21"/>
                      <w:szCs w:val="21"/>
                      <w:lang w:val="en-US" w:eastAsia="zh-CN"/>
                    </w:rPr>
                  </w:pPr>
                  <w:r>
                    <w:rPr>
                      <w:rFonts w:hint="eastAsia" w:cs="Times New Roman"/>
                      <w:b/>
                      <w:bCs/>
                      <w:sz w:val="21"/>
                      <w:szCs w:val="21"/>
                      <w:lang w:val="en-US" w:eastAsia="zh-CN"/>
                    </w:rPr>
                    <w:t>-</w:t>
                  </w:r>
                </w:p>
              </w:tc>
            </w:tr>
            <w:tr w14:paraId="19BC0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488074A5">
                  <w:pPr>
                    <w:spacing w:line="240" w:lineRule="auto"/>
                    <w:jc w:val="center"/>
                    <w:rPr>
                      <w:sz w:val="21"/>
                      <w:szCs w:val="21"/>
                    </w:rPr>
                  </w:pPr>
                </w:p>
              </w:tc>
              <w:tc>
                <w:tcPr>
                  <w:tcW w:w="536" w:type="pct"/>
                  <w:vMerge w:val="continue"/>
                  <w:vAlign w:val="center"/>
                </w:tcPr>
                <w:p w14:paraId="4A8BC689">
                  <w:pPr>
                    <w:spacing w:line="240" w:lineRule="auto"/>
                    <w:jc w:val="center"/>
                    <w:rPr>
                      <w:rFonts w:hint="eastAsia"/>
                      <w:b/>
                      <w:bCs/>
                      <w:sz w:val="21"/>
                      <w:szCs w:val="21"/>
                      <w:lang w:val="en-US" w:eastAsia="zh-CN"/>
                    </w:rPr>
                  </w:pPr>
                </w:p>
              </w:tc>
              <w:tc>
                <w:tcPr>
                  <w:tcW w:w="994" w:type="pct"/>
                  <w:shd w:val="clear" w:color="auto" w:fill="auto"/>
                  <w:vAlign w:val="center"/>
                </w:tcPr>
                <w:p w14:paraId="5CDB64D4">
                  <w:pPr>
                    <w:spacing w:line="240" w:lineRule="auto"/>
                    <w:jc w:val="center"/>
                    <w:rPr>
                      <w:rFonts w:hint="default" w:ascii="Times New Roman" w:hAnsi="Times New Roman" w:eastAsia="仿宋" w:cs="Times New Roman"/>
                      <w:b/>
                      <w:bCs/>
                      <w:kern w:val="2"/>
                      <w:sz w:val="21"/>
                      <w:szCs w:val="21"/>
                      <w:lang w:val="en-US" w:eastAsia="zh-CN" w:bidi="ar-SA"/>
                    </w:rPr>
                  </w:pPr>
                  <w:r>
                    <w:rPr>
                      <w:rFonts w:hint="eastAsia"/>
                      <w:b/>
                      <w:bCs/>
                      <w:sz w:val="21"/>
                      <w:szCs w:val="21"/>
                      <w:lang w:val="en-US" w:eastAsia="zh-CN"/>
                    </w:rPr>
                    <w:t>VOCs</w:t>
                  </w:r>
                </w:p>
              </w:tc>
              <w:tc>
                <w:tcPr>
                  <w:tcW w:w="688" w:type="pct"/>
                  <w:vAlign w:val="center"/>
                </w:tcPr>
                <w:p w14:paraId="3BC88C67">
                  <w:pPr>
                    <w:spacing w:line="240" w:lineRule="auto"/>
                    <w:jc w:val="center"/>
                    <w:rPr>
                      <w:rFonts w:hint="default"/>
                      <w:b/>
                      <w:bCs/>
                      <w:sz w:val="21"/>
                      <w:szCs w:val="21"/>
                      <w:lang w:val="en-US" w:eastAsia="zh-CN"/>
                    </w:rPr>
                  </w:pPr>
                  <w:r>
                    <w:rPr>
                      <w:rFonts w:hint="eastAsia"/>
                      <w:b/>
                      <w:bCs/>
                      <w:sz w:val="21"/>
                      <w:szCs w:val="21"/>
                      <w:lang w:val="en-US" w:eastAsia="zh-CN"/>
                    </w:rPr>
                    <w:t>3</w:t>
                  </w:r>
                </w:p>
              </w:tc>
              <w:tc>
                <w:tcPr>
                  <w:tcW w:w="643" w:type="pct"/>
                  <w:vAlign w:val="center"/>
                </w:tcPr>
                <w:p w14:paraId="1D002BFE">
                  <w:pPr>
                    <w:spacing w:line="240" w:lineRule="auto"/>
                    <w:jc w:val="center"/>
                    <w:rPr>
                      <w:rFonts w:hint="default" w:eastAsia="仿宋"/>
                      <w:b/>
                      <w:bCs/>
                      <w:sz w:val="21"/>
                      <w:szCs w:val="21"/>
                      <w:lang w:val="en-US" w:eastAsia="zh-CN"/>
                    </w:rPr>
                  </w:pPr>
                  <w:r>
                    <w:rPr>
                      <w:rFonts w:hint="eastAsia"/>
                      <w:b/>
                      <w:bCs/>
                      <w:sz w:val="21"/>
                      <w:szCs w:val="21"/>
                      <w:lang w:val="en-US" w:eastAsia="zh-CN"/>
                    </w:rPr>
                    <w:t>2.43</w:t>
                  </w:r>
                </w:p>
              </w:tc>
              <w:tc>
                <w:tcPr>
                  <w:tcW w:w="606" w:type="pct"/>
                  <w:shd w:val="clear" w:color="auto" w:fill="auto"/>
                  <w:vAlign w:val="center"/>
                </w:tcPr>
                <w:p w14:paraId="1D045CEB">
                  <w:pPr>
                    <w:spacing w:line="240" w:lineRule="auto"/>
                    <w:jc w:val="center"/>
                    <w:rPr>
                      <w:rFonts w:hint="default"/>
                      <w:b/>
                      <w:bCs/>
                      <w:sz w:val="21"/>
                      <w:szCs w:val="21"/>
                      <w:lang w:val="en-US" w:eastAsia="zh-CN"/>
                    </w:rPr>
                  </w:pPr>
                  <w:r>
                    <w:rPr>
                      <w:rFonts w:hint="eastAsia"/>
                      <w:b/>
                      <w:bCs/>
                      <w:sz w:val="21"/>
                      <w:szCs w:val="21"/>
                      <w:lang w:val="en-US" w:eastAsia="zh-CN"/>
                    </w:rPr>
                    <w:t>0.57</w:t>
                  </w:r>
                </w:p>
              </w:tc>
              <w:tc>
                <w:tcPr>
                  <w:tcW w:w="626" w:type="pct"/>
                  <w:vAlign w:val="center"/>
                </w:tcPr>
                <w:p w14:paraId="2E6C74C2">
                  <w:pPr>
                    <w:spacing w:line="240" w:lineRule="auto"/>
                    <w:jc w:val="center"/>
                    <w:rPr>
                      <w:rFonts w:hint="eastAsia"/>
                      <w:b/>
                      <w:bCs/>
                      <w:sz w:val="21"/>
                      <w:szCs w:val="21"/>
                      <w:lang w:val="en-US" w:eastAsia="zh-CN"/>
                    </w:rPr>
                  </w:pPr>
                  <w:r>
                    <w:rPr>
                      <w:rFonts w:hint="eastAsia"/>
                      <w:b/>
                      <w:bCs/>
                      <w:sz w:val="21"/>
                      <w:szCs w:val="21"/>
                      <w:lang w:val="en-US" w:eastAsia="zh-CN"/>
                    </w:rPr>
                    <w:t>0.57</w:t>
                  </w:r>
                </w:p>
              </w:tc>
              <w:tc>
                <w:tcPr>
                  <w:tcW w:w="579" w:type="pct"/>
                  <w:vAlign w:val="center"/>
                </w:tcPr>
                <w:p w14:paraId="482A40F5">
                  <w:pPr>
                    <w:spacing w:line="240" w:lineRule="auto"/>
                    <w:jc w:val="center"/>
                    <w:rPr>
                      <w:rFonts w:hint="eastAsia"/>
                      <w:b/>
                      <w:bCs/>
                      <w:sz w:val="21"/>
                      <w:szCs w:val="21"/>
                      <w:lang w:val="en-US" w:eastAsia="zh-CN"/>
                    </w:rPr>
                  </w:pPr>
                  <w:r>
                    <w:rPr>
                      <w:rFonts w:hint="eastAsia" w:cs="Times New Roman"/>
                      <w:b/>
                      <w:bCs/>
                      <w:sz w:val="21"/>
                      <w:szCs w:val="21"/>
                      <w:lang w:val="en-US" w:eastAsia="zh-CN"/>
                    </w:rPr>
                    <w:t>-</w:t>
                  </w:r>
                </w:p>
              </w:tc>
            </w:tr>
            <w:tr w14:paraId="34449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restart"/>
                  <w:vAlign w:val="center"/>
                </w:tcPr>
                <w:p w14:paraId="5A61721E">
                  <w:pPr>
                    <w:spacing w:line="240" w:lineRule="auto"/>
                    <w:jc w:val="center"/>
                    <w:rPr>
                      <w:sz w:val="21"/>
                      <w:szCs w:val="21"/>
                    </w:rPr>
                  </w:pPr>
                  <w:r>
                    <w:rPr>
                      <w:sz w:val="21"/>
                      <w:szCs w:val="21"/>
                    </w:rPr>
                    <w:t>废水</w:t>
                  </w:r>
                </w:p>
              </w:tc>
              <w:tc>
                <w:tcPr>
                  <w:tcW w:w="536" w:type="pct"/>
                  <w:vMerge w:val="restart"/>
                  <w:vAlign w:val="center"/>
                </w:tcPr>
                <w:p w14:paraId="04AFC7E1">
                  <w:pPr>
                    <w:spacing w:line="240" w:lineRule="auto"/>
                    <w:jc w:val="center"/>
                    <w:rPr>
                      <w:rFonts w:hint="eastAsia" w:eastAsia="仿宋"/>
                      <w:sz w:val="21"/>
                      <w:szCs w:val="21"/>
                      <w:lang w:val="en-US" w:eastAsia="zh-CN"/>
                    </w:rPr>
                  </w:pPr>
                  <w:r>
                    <w:rPr>
                      <w:rFonts w:hint="eastAsia"/>
                      <w:sz w:val="21"/>
                      <w:szCs w:val="21"/>
                      <w:lang w:val="en-US" w:eastAsia="zh-CN"/>
                    </w:rPr>
                    <w:t>生活污水</w:t>
                  </w:r>
                </w:p>
              </w:tc>
              <w:tc>
                <w:tcPr>
                  <w:tcW w:w="994" w:type="pct"/>
                  <w:vAlign w:val="center"/>
                </w:tcPr>
                <w:p w14:paraId="23057F8A">
                  <w:pPr>
                    <w:spacing w:line="240" w:lineRule="auto"/>
                    <w:jc w:val="center"/>
                    <w:rPr>
                      <w:sz w:val="21"/>
                      <w:szCs w:val="21"/>
                    </w:rPr>
                  </w:pPr>
                  <w:r>
                    <w:rPr>
                      <w:sz w:val="21"/>
                      <w:szCs w:val="21"/>
                    </w:rPr>
                    <w:t>水量</w:t>
                  </w:r>
                </w:p>
              </w:tc>
              <w:tc>
                <w:tcPr>
                  <w:tcW w:w="688" w:type="pct"/>
                  <w:vAlign w:val="center"/>
                </w:tcPr>
                <w:p w14:paraId="76CFD19D">
                  <w:pPr>
                    <w:spacing w:line="240" w:lineRule="auto"/>
                    <w:jc w:val="center"/>
                    <w:rPr>
                      <w:rFonts w:hint="default" w:eastAsia="仿宋"/>
                      <w:sz w:val="21"/>
                      <w:szCs w:val="21"/>
                      <w:lang w:val="en-US" w:eastAsia="zh-CN"/>
                    </w:rPr>
                  </w:pPr>
                  <w:r>
                    <w:rPr>
                      <w:rFonts w:hint="eastAsia"/>
                      <w:sz w:val="21"/>
                      <w:szCs w:val="21"/>
                      <w:lang w:val="en-US" w:eastAsia="zh-CN"/>
                    </w:rPr>
                    <w:t>672</w:t>
                  </w:r>
                </w:p>
              </w:tc>
              <w:tc>
                <w:tcPr>
                  <w:tcW w:w="643" w:type="pct"/>
                  <w:vAlign w:val="center"/>
                </w:tcPr>
                <w:p w14:paraId="26DEB682">
                  <w:pPr>
                    <w:spacing w:line="240" w:lineRule="auto"/>
                    <w:jc w:val="center"/>
                    <w:rPr>
                      <w:sz w:val="21"/>
                      <w:szCs w:val="21"/>
                    </w:rPr>
                  </w:pPr>
                  <w:r>
                    <w:rPr>
                      <w:rFonts w:hint="eastAsia"/>
                      <w:sz w:val="21"/>
                      <w:szCs w:val="21"/>
                    </w:rPr>
                    <w:t>0</w:t>
                  </w:r>
                </w:p>
              </w:tc>
              <w:tc>
                <w:tcPr>
                  <w:tcW w:w="606" w:type="pct"/>
                  <w:shd w:val="clear" w:color="auto" w:fill="auto"/>
                  <w:vAlign w:val="center"/>
                </w:tcPr>
                <w:p w14:paraId="3A2C01E8">
                  <w:pPr>
                    <w:spacing w:line="240" w:lineRule="auto"/>
                    <w:jc w:val="center"/>
                    <w:rPr>
                      <w:rFonts w:hint="default" w:ascii="Times New Roman" w:hAnsi="Times New Roman" w:eastAsia="仿宋" w:cs="Times New Roman"/>
                      <w:kern w:val="2"/>
                      <w:sz w:val="21"/>
                      <w:szCs w:val="21"/>
                      <w:lang w:val="en-US" w:eastAsia="zh-CN" w:bidi="ar-SA"/>
                    </w:rPr>
                  </w:pPr>
                  <w:r>
                    <w:rPr>
                      <w:rFonts w:hint="eastAsia"/>
                      <w:sz w:val="21"/>
                      <w:szCs w:val="21"/>
                      <w:lang w:val="en-US" w:eastAsia="zh-CN"/>
                    </w:rPr>
                    <w:t>672</w:t>
                  </w:r>
                </w:p>
              </w:tc>
              <w:tc>
                <w:tcPr>
                  <w:tcW w:w="1206" w:type="pct"/>
                  <w:gridSpan w:val="2"/>
                  <w:vAlign w:val="center"/>
                </w:tcPr>
                <w:p w14:paraId="31E4AAAD">
                  <w:pPr>
                    <w:spacing w:line="240" w:lineRule="auto"/>
                    <w:jc w:val="center"/>
                    <w:rPr>
                      <w:rFonts w:hint="default"/>
                      <w:sz w:val="21"/>
                      <w:szCs w:val="21"/>
                      <w:lang w:val="en-US"/>
                    </w:rPr>
                  </w:pPr>
                  <w:r>
                    <w:rPr>
                      <w:rFonts w:hint="eastAsia"/>
                      <w:sz w:val="21"/>
                      <w:szCs w:val="21"/>
                      <w:lang w:val="en-US" w:eastAsia="zh-CN"/>
                    </w:rPr>
                    <w:t>672</w:t>
                  </w:r>
                </w:p>
              </w:tc>
            </w:tr>
            <w:tr w14:paraId="56178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6D58D50E">
                  <w:pPr>
                    <w:spacing w:line="240" w:lineRule="auto"/>
                    <w:jc w:val="center"/>
                    <w:rPr>
                      <w:sz w:val="21"/>
                      <w:szCs w:val="21"/>
                    </w:rPr>
                  </w:pPr>
                </w:p>
              </w:tc>
              <w:tc>
                <w:tcPr>
                  <w:tcW w:w="536" w:type="pct"/>
                  <w:vMerge w:val="continue"/>
                  <w:vAlign w:val="center"/>
                </w:tcPr>
                <w:p w14:paraId="46231FB6">
                  <w:pPr>
                    <w:spacing w:line="240" w:lineRule="auto"/>
                    <w:jc w:val="center"/>
                    <w:rPr>
                      <w:sz w:val="21"/>
                      <w:szCs w:val="21"/>
                    </w:rPr>
                  </w:pPr>
                </w:p>
              </w:tc>
              <w:tc>
                <w:tcPr>
                  <w:tcW w:w="994" w:type="pct"/>
                  <w:vAlign w:val="center"/>
                </w:tcPr>
                <w:p w14:paraId="67A1F8A3">
                  <w:pPr>
                    <w:spacing w:line="240" w:lineRule="auto"/>
                    <w:jc w:val="center"/>
                    <w:rPr>
                      <w:sz w:val="21"/>
                      <w:szCs w:val="21"/>
                    </w:rPr>
                  </w:pPr>
                  <w:r>
                    <w:rPr>
                      <w:sz w:val="21"/>
                      <w:szCs w:val="21"/>
                    </w:rPr>
                    <w:t>COD</w:t>
                  </w:r>
                </w:p>
              </w:tc>
              <w:tc>
                <w:tcPr>
                  <w:tcW w:w="688" w:type="pct"/>
                  <w:vAlign w:val="center"/>
                </w:tcPr>
                <w:p w14:paraId="58267ECA">
                  <w:pPr>
                    <w:spacing w:line="240" w:lineRule="auto"/>
                    <w:jc w:val="center"/>
                    <w:rPr>
                      <w:rFonts w:hint="eastAsia"/>
                      <w:sz w:val="21"/>
                      <w:szCs w:val="21"/>
                      <w:lang w:val="en-US" w:eastAsia="zh-CN"/>
                    </w:rPr>
                  </w:pPr>
                  <w:r>
                    <w:rPr>
                      <w:rFonts w:hint="eastAsia"/>
                      <w:sz w:val="21"/>
                      <w:szCs w:val="21"/>
                      <w:lang w:val="en-US" w:eastAsia="zh-CN"/>
                    </w:rPr>
                    <w:t xml:space="preserve">0.269 </w:t>
                  </w:r>
                </w:p>
              </w:tc>
              <w:tc>
                <w:tcPr>
                  <w:tcW w:w="643" w:type="pct"/>
                  <w:vAlign w:val="center"/>
                </w:tcPr>
                <w:p w14:paraId="6314333B">
                  <w:pPr>
                    <w:spacing w:line="240" w:lineRule="auto"/>
                    <w:jc w:val="center"/>
                    <w:rPr>
                      <w:sz w:val="21"/>
                      <w:szCs w:val="21"/>
                    </w:rPr>
                  </w:pPr>
                  <w:r>
                    <w:rPr>
                      <w:rFonts w:hint="eastAsia"/>
                      <w:sz w:val="21"/>
                      <w:szCs w:val="21"/>
                    </w:rPr>
                    <w:t>0</w:t>
                  </w:r>
                </w:p>
              </w:tc>
              <w:tc>
                <w:tcPr>
                  <w:tcW w:w="606" w:type="pct"/>
                  <w:shd w:val="clear" w:color="auto" w:fill="auto"/>
                  <w:vAlign w:val="center"/>
                </w:tcPr>
                <w:p w14:paraId="16DEE888">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0.269 </w:t>
                  </w:r>
                </w:p>
              </w:tc>
              <w:tc>
                <w:tcPr>
                  <w:tcW w:w="626" w:type="pct"/>
                  <w:vAlign w:val="center"/>
                </w:tcPr>
                <w:p w14:paraId="4267692C">
                  <w:pPr>
                    <w:spacing w:line="240" w:lineRule="auto"/>
                    <w:jc w:val="center"/>
                    <w:rPr>
                      <w:sz w:val="21"/>
                      <w:szCs w:val="21"/>
                    </w:rPr>
                  </w:pPr>
                  <w:r>
                    <w:rPr>
                      <w:rFonts w:hint="eastAsia"/>
                      <w:sz w:val="21"/>
                      <w:szCs w:val="21"/>
                      <w:lang w:val="en-US" w:eastAsia="zh-CN"/>
                    </w:rPr>
                    <w:t xml:space="preserve">0.269 </w:t>
                  </w:r>
                </w:p>
              </w:tc>
              <w:tc>
                <w:tcPr>
                  <w:tcW w:w="579" w:type="pct"/>
                  <w:vAlign w:val="center"/>
                </w:tcPr>
                <w:p w14:paraId="161649BA">
                  <w:pPr>
                    <w:spacing w:line="240" w:lineRule="auto"/>
                    <w:jc w:val="center"/>
                    <w:rPr>
                      <w:rFonts w:hint="eastAsia" w:eastAsia="仿宋"/>
                      <w:sz w:val="21"/>
                      <w:szCs w:val="21"/>
                      <w:lang w:val="en-US" w:eastAsia="zh-CN"/>
                    </w:rPr>
                  </w:pPr>
                  <w:r>
                    <w:rPr>
                      <w:rFonts w:hint="eastAsia"/>
                      <w:sz w:val="21"/>
                      <w:szCs w:val="21"/>
                      <w:lang w:val="en-US" w:eastAsia="zh-CN"/>
                    </w:rPr>
                    <w:t>-</w:t>
                  </w:r>
                </w:p>
              </w:tc>
            </w:tr>
            <w:tr w14:paraId="6F0CB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5085D55D">
                  <w:pPr>
                    <w:spacing w:line="240" w:lineRule="auto"/>
                    <w:jc w:val="center"/>
                    <w:rPr>
                      <w:sz w:val="21"/>
                      <w:szCs w:val="21"/>
                    </w:rPr>
                  </w:pPr>
                </w:p>
              </w:tc>
              <w:tc>
                <w:tcPr>
                  <w:tcW w:w="536" w:type="pct"/>
                  <w:vMerge w:val="continue"/>
                  <w:vAlign w:val="center"/>
                </w:tcPr>
                <w:p w14:paraId="1C16A7EC">
                  <w:pPr>
                    <w:spacing w:line="240" w:lineRule="auto"/>
                    <w:jc w:val="center"/>
                    <w:rPr>
                      <w:sz w:val="21"/>
                      <w:szCs w:val="21"/>
                    </w:rPr>
                  </w:pPr>
                </w:p>
              </w:tc>
              <w:tc>
                <w:tcPr>
                  <w:tcW w:w="994" w:type="pct"/>
                  <w:vAlign w:val="center"/>
                </w:tcPr>
                <w:p w14:paraId="39A7920B">
                  <w:pPr>
                    <w:spacing w:line="240" w:lineRule="auto"/>
                    <w:jc w:val="center"/>
                    <w:rPr>
                      <w:sz w:val="21"/>
                      <w:szCs w:val="21"/>
                    </w:rPr>
                  </w:pPr>
                  <w:r>
                    <w:rPr>
                      <w:sz w:val="21"/>
                      <w:szCs w:val="21"/>
                    </w:rPr>
                    <w:t>SS</w:t>
                  </w:r>
                </w:p>
              </w:tc>
              <w:tc>
                <w:tcPr>
                  <w:tcW w:w="688" w:type="pct"/>
                  <w:vAlign w:val="center"/>
                </w:tcPr>
                <w:p w14:paraId="72B83EB2">
                  <w:pPr>
                    <w:spacing w:line="240" w:lineRule="auto"/>
                    <w:jc w:val="center"/>
                    <w:rPr>
                      <w:rFonts w:hint="eastAsia"/>
                      <w:sz w:val="21"/>
                      <w:szCs w:val="21"/>
                      <w:lang w:val="en-US" w:eastAsia="zh-CN"/>
                    </w:rPr>
                  </w:pPr>
                  <w:r>
                    <w:rPr>
                      <w:rFonts w:hint="eastAsia"/>
                      <w:sz w:val="21"/>
                      <w:szCs w:val="21"/>
                      <w:lang w:val="en-US" w:eastAsia="zh-CN"/>
                    </w:rPr>
                    <w:t xml:space="preserve">0.202 </w:t>
                  </w:r>
                </w:p>
              </w:tc>
              <w:tc>
                <w:tcPr>
                  <w:tcW w:w="643" w:type="pct"/>
                  <w:vAlign w:val="center"/>
                </w:tcPr>
                <w:p w14:paraId="47A4922A">
                  <w:pPr>
                    <w:spacing w:line="240" w:lineRule="auto"/>
                    <w:jc w:val="center"/>
                    <w:rPr>
                      <w:sz w:val="21"/>
                      <w:szCs w:val="21"/>
                    </w:rPr>
                  </w:pPr>
                  <w:r>
                    <w:rPr>
                      <w:rFonts w:hint="eastAsia"/>
                      <w:sz w:val="21"/>
                      <w:szCs w:val="21"/>
                    </w:rPr>
                    <w:t>0</w:t>
                  </w:r>
                </w:p>
              </w:tc>
              <w:tc>
                <w:tcPr>
                  <w:tcW w:w="606" w:type="pct"/>
                  <w:shd w:val="clear" w:color="auto" w:fill="auto"/>
                  <w:vAlign w:val="center"/>
                </w:tcPr>
                <w:p w14:paraId="43AD9F2E">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0.202 </w:t>
                  </w:r>
                </w:p>
              </w:tc>
              <w:tc>
                <w:tcPr>
                  <w:tcW w:w="626" w:type="pct"/>
                  <w:vAlign w:val="center"/>
                </w:tcPr>
                <w:p w14:paraId="6E0B857C">
                  <w:pPr>
                    <w:spacing w:line="240" w:lineRule="auto"/>
                    <w:jc w:val="center"/>
                    <w:rPr>
                      <w:sz w:val="21"/>
                      <w:szCs w:val="21"/>
                    </w:rPr>
                  </w:pPr>
                  <w:r>
                    <w:rPr>
                      <w:rFonts w:hint="eastAsia"/>
                      <w:sz w:val="21"/>
                      <w:szCs w:val="21"/>
                      <w:lang w:val="en-US" w:eastAsia="zh-CN"/>
                    </w:rPr>
                    <w:t>-</w:t>
                  </w:r>
                </w:p>
              </w:tc>
              <w:tc>
                <w:tcPr>
                  <w:tcW w:w="579" w:type="pct"/>
                  <w:vAlign w:val="center"/>
                </w:tcPr>
                <w:p w14:paraId="6AA6962C">
                  <w:pPr>
                    <w:spacing w:line="240" w:lineRule="auto"/>
                    <w:jc w:val="center"/>
                    <w:rPr>
                      <w:rFonts w:hint="eastAsia"/>
                      <w:sz w:val="21"/>
                      <w:szCs w:val="21"/>
                    </w:rPr>
                  </w:pPr>
                  <w:r>
                    <w:rPr>
                      <w:rFonts w:hint="eastAsia"/>
                      <w:sz w:val="21"/>
                      <w:szCs w:val="21"/>
                      <w:lang w:val="en-US" w:eastAsia="zh-CN"/>
                    </w:rPr>
                    <w:t xml:space="preserve">0.202 </w:t>
                  </w:r>
                </w:p>
              </w:tc>
            </w:tr>
            <w:tr w14:paraId="5A492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05F7B704">
                  <w:pPr>
                    <w:spacing w:line="240" w:lineRule="auto"/>
                    <w:jc w:val="center"/>
                    <w:rPr>
                      <w:sz w:val="21"/>
                      <w:szCs w:val="21"/>
                    </w:rPr>
                  </w:pPr>
                </w:p>
              </w:tc>
              <w:tc>
                <w:tcPr>
                  <w:tcW w:w="536" w:type="pct"/>
                  <w:vMerge w:val="continue"/>
                  <w:vAlign w:val="center"/>
                </w:tcPr>
                <w:p w14:paraId="7515D445">
                  <w:pPr>
                    <w:spacing w:line="240" w:lineRule="auto"/>
                    <w:jc w:val="center"/>
                    <w:rPr>
                      <w:sz w:val="21"/>
                      <w:szCs w:val="21"/>
                    </w:rPr>
                  </w:pPr>
                </w:p>
              </w:tc>
              <w:tc>
                <w:tcPr>
                  <w:tcW w:w="994" w:type="pct"/>
                  <w:vAlign w:val="center"/>
                </w:tcPr>
                <w:p w14:paraId="2663B6CA">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688" w:type="pct"/>
                  <w:vAlign w:val="center"/>
                </w:tcPr>
                <w:p w14:paraId="55BE7F21">
                  <w:pPr>
                    <w:spacing w:line="240" w:lineRule="auto"/>
                    <w:jc w:val="center"/>
                    <w:rPr>
                      <w:rFonts w:hint="eastAsia"/>
                      <w:sz w:val="21"/>
                      <w:szCs w:val="21"/>
                      <w:lang w:val="en-US" w:eastAsia="zh-CN"/>
                    </w:rPr>
                  </w:pPr>
                  <w:r>
                    <w:rPr>
                      <w:rFonts w:hint="eastAsia"/>
                      <w:sz w:val="21"/>
                      <w:szCs w:val="21"/>
                      <w:lang w:val="en-US" w:eastAsia="zh-CN"/>
                    </w:rPr>
                    <w:t xml:space="preserve">0.020 </w:t>
                  </w:r>
                </w:p>
              </w:tc>
              <w:tc>
                <w:tcPr>
                  <w:tcW w:w="643" w:type="pct"/>
                  <w:vAlign w:val="center"/>
                </w:tcPr>
                <w:p w14:paraId="7028CC63">
                  <w:pPr>
                    <w:spacing w:line="240" w:lineRule="auto"/>
                    <w:jc w:val="center"/>
                    <w:rPr>
                      <w:sz w:val="21"/>
                      <w:szCs w:val="21"/>
                    </w:rPr>
                  </w:pPr>
                  <w:r>
                    <w:rPr>
                      <w:rFonts w:hint="eastAsia"/>
                      <w:sz w:val="21"/>
                      <w:szCs w:val="21"/>
                    </w:rPr>
                    <w:t>0</w:t>
                  </w:r>
                </w:p>
              </w:tc>
              <w:tc>
                <w:tcPr>
                  <w:tcW w:w="606" w:type="pct"/>
                  <w:shd w:val="clear" w:color="auto" w:fill="auto"/>
                  <w:vAlign w:val="center"/>
                </w:tcPr>
                <w:p w14:paraId="6DC8E77C">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0.020 </w:t>
                  </w:r>
                </w:p>
              </w:tc>
              <w:tc>
                <w:tcPr>
                  <w:tcW w:w="626" w:type="pct"/>
                  <w:shd w:val="clear" w:color="auto" w:fill="auto"/>
                  <w:vAlign w:val="center"/>
                </w:tcPr>
                <w:p w14:paraId="0F376768">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0.020 </w:t>
                  </w:r>
                </w:p>
              </w:tc>
              <w:tc>
                <w:tcPr>
                  <w:tcW w:w="579" w:type="pct"/>
                  <w:vAlign w:val="center"/>
                </w:tcPr>
                <w:p w14:paraId="068F51DA">
                  <w:pPr>
                    <w:spacing w:line="240" w:lineRule="auto"/>
                    <w:jc w:val="center"/>
                    <w:rPr>
                      <w:rFonts w:hint="eastAsia"/>
                      <w:sz w:val="21"/>
                      <w:szCs w:val="21"/>
                    </w:rPr>
                  </w:pPr>
                  <w:r>
                    <w:rPr>
                      <w:rFonts w:hint="eastAsia"/>
                      <w:sz w:val="21"/>
                      <w:szCs w:val="21"/>
                      <w:lang w:val="en-US" w:eastAsia="zh-CN"/>
                    </w:rPr>
                    <w:t>-</w:t>
                  </w:r>
                </w:p>
              </w:tc>
            </w:tr>
            <w:tr w14:paraId="52485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6" w:hRule="atLeast"/>
                <w:jc w:val="center"/>
              </w:trPr>
              <w:tc>
                <w:tcPr>
                  <w:tcW w:w="324" w:type="pct"/>
                  <w:vMerge w:val="continue"/>
                  <w:vAlign w:val="center"/>
                </w:tcPr>
                <w:p w14:paraId="442EB1BB">
                  <w:pPr>
                    <w:spacing w:line="240" w:lineRule="auto"/>
                    <w:jc w:val="center"/>
                    <w:rPr>
                      <w:sz w:val="21"/>
                      <w:szCs w:val="21"/>
                    </w:rPr>
                  </w:pPr>
                </w:p>
              </w:tc>
              <w:tc>
                <w:tcPr>
                  <w:tcW w:w="536" w:type="pct"/>
                  <w:vMerge w:val="continue"/>
                  <w:vAlign w:val="center"/>
                </w:tcPr>
                <w:p w14:paraId="01C09FF8">
                  <w:pPr>
                    <w:spacing w:line="240" w:lineRule="auto"/>
                    <w:jc w:val="center"/>
                    <w:rPr>
                      <w:sz w:val="21"/>
                      <w:szCs w:val="21"/>
                    </w:rPr>
                  </w:pPr>
                </w:p>
              </w:tc>
              <w:tc>
                <w:tcPr>
                  <w:tcW w:w="994" w:type="pct"/>
                  <w:vAlign w:val="center"/>
                </w:tcPr>
                <w:p w14:paraId="2996306E">
                  <w:pPr>
                    <w:spacing w:line="240" w:lineRule="auto"/>
                    <w:jc w:val="center"/>
                    <w:rPr>
                      <w:sz w:val="21"/>
                      <w:szCs w:val="21"/>
                    </w:rPr>
                  </w:pPr>
                  <w:r>
                    <w:rPr>
                      <w:sz w:val="21"/>
                      <w:szCs w:val="21"/>
                    </w:rPr>
                    <w:t>TN</w:t>
                  </w:r>
                </w:p>
              </w:tc>
              <w:tc>
                <w:tcPr>
                  <w:tcW w:w="688" w:type="pct"/>
                  <w:vAlign w:val="center"/>
                </w:tcPr>
                <w:p w14:paraId="5829450B">
                  <w:pPr>
                    <w:spacing w:line="240" w:lineRule="auto"/>
                    <w:jc w:val="center"/>
                    <w:rPr>
                      <w:rFonts w:hint="eastAsia"/>
                      <w:sz w:val="21"/>
                      <w:szCs w:val="21"/>
                      <w:lang w:val="en-US" w:eastAsia="zh-CN"/>
                    </w:rPr>
                  </w:pPr>
                  <w:r>
                    <w:rPr>
                      <w:rFonts w:hint="eastAsia"/>
                      <w:sz w:val="21"/>
                      <w:szCs w:val="21"/>
                      <w:lang w:val="en-US" w:eastAsia="zh-CN"/>
                    </w:rPr>
                    <w:t xml:space="preserve">0.034 </w:t>
                  </w:r>
                </w:p>
              </w:tc>
              <w:tc>
                <w:tcPr>
                  <w:tcW w:w="643" w:type="pct"/>
                  <w:vAlign w:val="center"/>
                </w:tcPr>
                <w:p w14:paraId="131A2A84">
                  <w:pPr>
                    <w:spacing w:line="240" w:lineRule="auto"/>
                    <w:jc w:val="center"/>
                    <w:rPr>
                      <w:sz w:val="21"/>
                      <w:szCs w:val="21"/>
                    </w:rPr>
                  </w:pPr>
                  <w:r>
                    <w:rPr>
                      <w:rFonts w:hint="eastAsia"/>
                      <w:sz w:val="21"/>
                      <w:szCs w:val="21"/>
                    </w:rPr>
                    <w:t>0</w:t>
                  </w:r>
                </w:p>
              </w:tc>
              <w:tc>
                <w:tcPr>
                  <w:tcW w:w="606" w:type="pct"/>
                  <w:shd w:val="clear" w:color="auto" w:fill="auto"/>
                  <w:vAlign w:val="center"/>
                </w:tcPr>
                <w:p w14:paraId="6C4F9DEB">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0.034 </w:t>
                  </w:r>
                </w:p>
              </w:tc>
              <w:tc>
                <w:tcPr>
                  <w:tcW w:w="626" w:type="pct"/>
                  <w:shd w:val="clear" w:color="auto" w:fill="auto"/>
                  <w:vAlign w:val="center"/>
                </w:tcPr>
                <w:p w14:paraId="2D98117E">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0.034 </w:t>
                  </w:r>
                </w:p>
              </w:tc>
              <w:tc>
                <w:tcPr>
                  <w:tcW w:w="579" w:type="pct"/>
                  <w:vAlign w:val="center"/>
                </w:tcPr>
                <w:p w14:paraId="1007C992">
                  <w:pPr>
                    <w:spacing w:line="240" w:lineRule="auto"/>
                    <w:jc w:val="center"/>
                    <w:rPr>
                      <w:rFonts w:hint="eastAsia"/>
                      <w:sz w:val="21"/>
                      <w:szCs w:val="21"/>
                    </w:rPr>
                  </w:pPr>
                  <w:r>
                    <w:rPr>
                      <w:rFonts w:hint="eastAsia"/>
                      <w:sz w:val="21"/>
                      <w:szCs w:val="21"/>
                      <w:lang w:val="en-US" w:eastAsia="zh-CN"/>
                    </w:rPr>
                    <w:t>-</w:t>
                  </w:r>
                </w:p>
              </w:tc>
            </w:tr>
            <w:tr w14:paraId="518B7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24" w:type="pct"/>
                  <w:vMerge w:val="continue"/>
                  <w:vAlign w:val="center"/>
                </w:tcPr>
                <w:p w14:paraId="3F895BB4">
                  <w:pPr>
                    <w:spacing w:line="240" w:lineRule="auto"/>
                    <w:jc w:val="center"/>
                    <w:rPr>
                      <w:sz w:val="21"/>
                      <w:szCs w:val="21"/>
                    </w:rPr>
                  </w:pPr>
                </w:p>
              </w:tc>
              <w:tc>
                <w:tcPr>
                  <w:tcW w:w="536" w:type="pct"/>
                  <w:vMerge w:val="continue"/>
                  <w:vAlign w:val="center"/>
                </w:tcPr>
                <w:p w14:paraId="7F8570F9">
                  <w:pPr>
                    <w:spacing w:line="240" w:lineRule="auto"/>
                    <w:jc w:val="center"/>
                    <w:rPr>
                      <w:sz w:val="21"/>
                      <w:szCs w:val="21"/>
                    </w:rPr>
                  </w:pPr>
                </w:p>
              </w:tc>
              <w:tc>
                <w:tcPr>
                  <w:tcW w:w="994" w:type="pct"/>
                  <w:vAlign w:val="center"/>
                </w:tcPr>
                <w:p w14:paraId="7C2FF15D">
                  <w:pPr>
                    <w:spacing w:line="240" w:lineRule="auto"/>
                    <w:jc w:val="center"/>
                    <w:rPr>
                      <w:sz w:val="21"/>
                      <w:szCs w:val="21"/>
                    </w:rPr>
                  </w:pPr>
                  <w:r>
                    <w:rPr>
                      <w:sz w:val="21"/>
                      <w:szCs w:val="21"/>
                    </w:rPr>
                    <w:t>TP</w:t>
                  </w:r>
                </w:p>
              </w:tc>
              <w:tc>
                <w:tcPr>
                  <w:tcW w:w="688" w:type="pct"/>
                  <w:vAlign w:val="center"/>
                </w:tcPr>
                <w:p w14:paraId="10ECD3F5">
                  <w:pPr>
                    <w:spacing w:line="240" w:lineRule="auto"/>
                    <w:jc w:val="center"/>
                    <w:rPr>
                      <w:rFonts w:hint="eastAsia"/>
                      <w:sz w:val="21"/>
                      <w:szCs w:val="21"/>
                      <w:lang w:val="en-US" w:eastAsia="zh-CN"/>
                    </w:rPr>
                  </w:pPr>
                  <w:r>
                    <w:rPr>
                      <w:rFonts w:hint="eastAsia"/>
                      <w:sz w:val="21"/>
                      <w:szCs w:val="21"/>
                      <w:lang w:val="en-US" w:eastAsia="zh-CN"/>
                    </w:rPr>
                    <w:t xml:space="preserve">0.003 </w:t>
                  </w:r>
                </w:p>
              </w:tc>
              <w:tc>
                <w:tcPr>
                  <w:tcW w:w="643" w:type="pct"/>
                  <w:vAlign w:val="center"/>
                </w:tcPr>
                <w:p w14:paraId="60559425">
                  <w:pPr>
                    <w:spacing w:line="240" w:lineRule="auto"/>
                    <w:jc w:val="center"/>
                    <w:rPr>
                      <w:sz w:val="21"/>
                      <w:szCs w:val="21"/>
                    </w:rPr>
                  </w:pPr>
                  <w:r>
                    <w:rPr>
                      <w:rFonts w:hint="eastAsia"/>
                      <w:sz w:val="21"/>
                      <w:szCs w:val="21"/>
                    </w:rPr>
                    <w:t>0</w:t>
                  </w:r>
                </w:p>
              </w:tc>
              <w:tc>
                <w:tcPr>
                  <w:tcW w:w="606" w:type="pct"/>
                  <w:shd w:val="clear" w:color="auto" w:fill="auto"/>
                  <w:vAlign w:val="center"/>
                </w:tcPr>
                <w:p w14:paraId="4364CC3A">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0.003 </w:t>
                  </w:r>
                </w:p>
              </w:tc>
              <w:tc>
                <w:tcPr>
                  <w:tcW w:w="626" w:type="pct"/>
                  <w:shd w:val="clear" w:color="auto" w:fill="auto"/>
                  <w:vAlign w:val="center"/>
                </w:tcPr>
                <w:p w14:paraId="2D7508B8">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 xml:space="preserve">0.003 </w:t>
                  </w:r>
                </w:p>
              </w:tc>
              <w:tc>
                <w:tcPr>
                  <w:tcW w:w="579" w:type="pct"/>
                  <w:vAlign w:val="center"/>
                </w:tcPr>
                <w:p w14:paraId="7D2C2B16">
                  <w:pPr>
                    <w:spacing w:line="240" w:lineRule="auto"/>
                    <w:jc w:val="center"/>
                    <w:rPr>
                      <w:rFonts w:hint="eastAsia"/>
                      <w:sz w:val="21"/>
                      <w:szCs w:val="21"/>
                    </w:rPr>
                  </w:pPr>
                  <w:r>
                    <w:rPr>
                      <w:rFonts w:hint="eastAsia"/>
                      <w:sz w:val="21"/>
                      <w:szCs w:val="21"/>
                      <w:lang w:val="en-US" w:eastAsia="zh-CN"/>
                    </w:rPr>
                    <w:t>-</w:t>
                  </w:r>
                </w:p>
              </w:tc>
            </w:tr>
            <w:tr w14:paraId="67975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855" w:type="pct"/>
                  <w:gridSpan w:val="3"/>
                  <w:vAlign w:val="center"/>
                </w:tcPr>
                <w:p w14:paraId="75D23ECF">
                  <w:pPr>
                    <w:spacing w:line="240" w:lineRule="auto"/>
                    <w:jc w:val="center"/>
                    <w:rPr>
                      <w:sz w:val="21"/>
                      <w:szCs w:val="21"/>
                    </w:rPr>
                  </w:pPr>
                  <w:r>
                    <w:rPr>
                      <w:sz w:val="21"/>
                      <w:szCs w:val="21"/>
                    </w:rPr>
                    <w:t>固体废弃物</w:t>
                  </w:r>
                </w:p>
              </w:tc>
              <w:tc>
                <w:tcPr>
                  <w:tcW w:w="688" w:type="pct"/>
                  <w:vAlign w:val="center"/>
                </w:tcPr>
                <w:p w14:paraId="3AB73CE9">
                  <w:pPr>
                    <w:spacing w:line="240" w:lineRule="auto"/>
                    <w:jc w:val="center"/>
                    <w:rPr>
                      <w:sz w:val="21"/>
                      <w:szCs w:val="21"/>
                    </w:rPr>
                  </w:pPr>
                  <w:r>
                    <w:rPr>
                      <w:sz w:val="21"/>
                      <w:szCs w:val="21"/>
                    </w:rPr>
                    <w:t>0</w:t>
                  </w:r>
                </w:p>
              </w:tc>
              <w:tc>
                <w:tcPr>
                  <w:tcW w:w="643" w:type="pct"/>
                  <w:vAlign w:val="center"/>
                </w:tcPr>
                <w:p w14:paraId="50DEAAD0">
                  <w:pPr>
                    <w:spacing w:line="240" w:lineRule="auto"/>
                    <w:jc w:val="center"/>
                    <w:rPr>
                      <w:sz w:val="21"/>
                      <w:szCs w:val="21"/>
                    </w:rPr>
                  </w:pPr>
                  <w:r>
                    <w:rPr>
                      <w:rFonts w:hint="eastAsia"/>
                      <w:sz w:val="21"/>
                      <w:szCs w:val="21"/>
                    </w:rPr>
                    <w:t>0</w:t>
                  </w:r>
                </w:p>
              </w:tc>
              <w:tc>
                <w:tcPr>
                  <w:tcW w:w="606" w:type="pct"/>
                  <w:vAlign w:val="center"/>
                </w:tcPr>
                <w:p w14:paraId="595F2E2C">
                  <w:pPr>
                    <w:spacing w:line="240" w:lineRule="auto"/>
                    <w:jc w:val="center"/>
                    <w:rPr>
                      <w:sz w:val="21"/>
                      <w:szCs w:val="21"/>
                    </w:rPr>
                  </w:pPr>
                  <w:r>
                    <w:rPr>
                      <w:sz w:val="21"/>
                      <w:szCs w:val="21"/>
                    </w:rPr>
                    <w:t>0</w:t>
                  </w:r>
                </w:p>
              </w:tc>
              <w:tc>
                <w:tcPr>
                  <w:tcW w:w="1206" w:type="pct"/>
                  <w:gridSpan w:val="2"/>
                  <w:vAlign w:val="center"/>
                </w:tcPr>
                <w:p w14:paraId="2CD68DC1">
                  <w:pPr>
                    <w:spacing w:line="240" w:lineRule="auto"/>
                    <w:jc w:val="center"/>
                    <w:rPr>
                      <w:sz w:val="21"/>
                      <w:szCs w:val="21"/>
                    </w:rPr>
                  </w:pPr>
                  <w:r>
                    <w:rPr>
                      <w:sz w:val="21"/>
                      <w:szCs w:val="21"/>
                    </w:rPr>
                    <w:t>/</w:t>
                  </w:r>
                </w:p>
              </w:tc>
            </w:tr>
          </w:tbl>
          <w:p w14:paraId="68AA619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t>根据《建设项目主要污染物排放总量指标审核及管理暂行办法》（环发</w:t>
            </w:r>
            <w:r>
              <w:rPr>
                <w:rFonts w:hint="eastAsia"/>
                <w:lang w:eastAsia="zh-CN"/>
              </w:rPr>
              <w:t>〔2014〕197号</w:t>
            </w:r>
            <w:r>
              <w:t>）文件的要求</w:t>
            </w:r>
            <w:r>
              <w:rPr>
                <w:rFonts w:hint="eastAsia"/>
                <w:lang w:eastAsia="zh-CN"/>
              </w:rPr>
              <w:t>“</w:t>
            </w:r>
            <w: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vertAlign w:val="subscript"/>
              </w:rPr>
              <w:t>2.5</w:t>
            </w:r>
            <w:r>
              <w:t>）年平均浓度不达标的城市，二氧化硫、氮氧化物、烟粉尘、挥发性有机物四项污染物均需进行2倍削减替代（燃煤发电机组大气污染物排放浓度基本达到燃气轮机组排放限值的除外）</w:t>
            </w:r>
            <w:r>
              <w:rPr>
                <w:rFonts w:hint="eastAsia"/>
                <w:lang w:eastAsia="zh-CN"/>
              </w:rPr>
              <w:t>”</w:t>
            </w:r>
            <w:r>
              <w:t>，本项目</w:t>
            </w:r>
            <w:r>
              <w:rPr>
                <w:rFonts w:hint="eastAsia"/>
              </w:rPr>
              <w:t>新增VOCs</w:t>
            </w:r>
            <w:r>
              <w:rPr>
                <w:rFonts w:hint="eastAsia"/>
                <w:lang w:val="en-US" w:eastAsia="zh-CN"/>
              </w:rPr>
              <w:t>0.57</w:t>
            </w:r>
            <w:r>
              <w:rPr>
                <w:rFonts w:hint="eastAsia"/>
              </w:rPr>
              <w:t>t/a、颗粒物</w:t>
            </w:r>
            <w:r>
              <w:rPr>
                <w:rFonts w:hint="eastAsia"/>
                <w:lang w:val="en-US" w:eastAsia="zh-CN"/>
              </w:rPr>
              <w:t>0.735</w:t>
            </w:r>
            <w:r>
              <w:rPr>
                <w:rFonts w:hint="eastAsia"/>
              </w:rPr>
              <w:t>t/a、二氧化硫0.</w:t>
            </w:r>
            <w:r>
              <w:rPr>
                <w:rFonts w:hint="eastAsia"/>
                <w:lang w:val="en-US" w:eastAsia="zh-CN"/>
              </w:rPr>
              <w:t>08</w:t>
            </w:r>
            <w:r>
              <w:rPr>
                <w:rFonts w:hint="eastAsia"/>
              </w:rPr>
              <w:t>t/a、氮氧化物0.</w:t>
            </w:r>
            <w:r>
              <w:rPr>
                <w:rFonts w:hint="eastAsia"/>
                <w:lang w:val="en-US" w:eastAsia="zh-CN"/>
              </w:rPr>
              <w:t>374</w:t>
            </w:r>
            <w:r>
              <w:rPr>
                <w:rFonts w:hint="eastAsia"/>
              </w:rPr>
              <w:t>t/a</w:t>
            </w:r>
            <w:r>
              <w:rPr>
                <w:rFonts w:hint="eastAsia"/>
                <w:lang w:eastAsia="zh-CN"/>
              </w:rPr>
              <w:t>，</w:t>
            </w:r>
            <w:r>
              <w:t>在</w:t>
            </w:r>
            <w:r>
              <w:rPr>
                <w:rFonts w:hint="eastAsia"/>
              </w:rPr>
              <w:t>横山桥</w:t>
            </w:r>
            <w:r>
              <w:t>镇区域内进行平衡。</w:t>
            </w:r>
          </w:p>
          <w:p w14:paraId="65387F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t>水污染物总量控制因子为COD、NH</w:t>
            </w:r>
            <w:r>
              <w:rPr>
                <w:vertAlign w:val="subscript"/>
              </w:rPr>
              <w:t>3</w:t>
            </w:r>
            <w:r>
              <w:t>-N、TN、TP，总量考核因子为SS。项目排放的水污染物总量在常州东方横山水处理有限公司内平衡。</w:t>
            </w:r>
          </w:p>
          <w:p w14:paraId="10B32B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t>按照《江苏省排放污染物总量控制暂行规定》，由建设单位提出总量控制指标申请，经常州市生态环境局常州经济开发区分局批准下达，并以排放污染物许可证的形式保证实施，水污染物排放总量在常州东方横山水处理有限公司内平衡。</w:t>
            </w:r>
          </w:p>
          <w:p w14:paraId="05619201">
            <w:pPr>
              <w:pStyle w:val="2"/>
            </w:pPr>
          </w:p>
          <w:p w14:paraId="357FDF52">
            <w:pPr>
              <w:pStyle w:val="3"/>
              <w:widowControl w:val="0"/>
              <w:numPr>
                <w:ilvl w:val="0"/>
                <w:numId w:val="0"/>
              </w:numPr>
              <w:spacing w:line="360" w:lineRule="auto"/>
              <w:jc w:val="both"/>
            </w:pPr>
          </w:p>
          <w:p w14:paraId="730C61F7">
            <w:pPr>
              <w:pStyle w:val="3"/>
              <w:widowControl w:val="0"/>
              <w:numPr>
                <w:ilvl w:val="0"/>
                <w:numId w:val="0"/>
              </w:numPr>
              <w:spacing w:line="360" w:lineRule="auto"/>
              <w:jc w:val="both"/>
            </w:pPr>
          </w:p>
          <w:p w14:paraId="12062628">
            <w:pPr>
              <w:pStyle w:val="3"/>
              <w:widowControl w:val="0"/>
              <w:numPr>
                <w:ilvl w:val="0"/>
                <w:numId w:val="0"/>
              </w:numPr>
              <w:spacing w:line="360" w:lineRule="auto"/>
              <w:jc w:val="both"/>
            </w:pPr>
          </w:p>
          <w:p w14:paraId="340C01F5">
            <w:pPr>
              <w:pStyle w:val="3"/>
              <w:widowControl w:val="0"/>
              <w:numPr>
                <w:ilvl w:val="0"/>
                <w:numId w:val="0"/>
              </w:numPr>
              <w:spacing w:line="360" w:lineRule="auto"/>
              <w:jc w:val="both"/>
            </w:pPr>
          </w:p>
          <w:p w14:paraId="77F0670E">
            <w:pPr>
              <w:pStyle w:val="3"/>
              <w:widowControl w:val="0"/>
              <w:numPr>
                <w:ilvl w:val="0"/>
                <w:numId w:val="0"/>
              </w:numPr>
              <w:spacing w:line="360" w:lineRule="auto"/>
              <w:jc w:val="both"/>
            </w:pPr>
          </w:p>
          <w:p w14:paraId="309DFB56">
            <w:pPr>
              <w:pStyle w:val="3"/>
              <w:widowControl w:val="0"/>
              <w:numPr>
                <w:ilvl w:val="0"/>
                <w:numId w:val="0"/>
              </w:numPr>
              <w:spacing w:line="360" w:lineRule="auto"/>
              <w:jc w:val="both"/>
            </w:pPr>
          </w:p>
          <w:p w14:paraId="3B8B70AC">
            <w:pPr>
              <w:pStyle w:val="3"/>
              <w:widowControl w:val="0"/>
              <w:numPr>
                <w:ilvl w:val="0"/>
                <w:numId w:val="0"/>
              </w:numPr>
              <w:spacing w:line="360" w:lineRule="auto"/>
              <w:jc w:val="both"/>
            </w:pPr>
          </w:p>
          <w:p w14:paraId="294C1BBB">
            <w:pPr>
              <w:pStyle w:val="3"/>
              <w:widowControl w:val="0"/>
              <w:numPr>
                <w:ilvl w:val="0"/>
                <w:numId w:val="0"/>
              </w:numPr>
              <w:spacing w:line="360" w:lineRule="auto"/>
              <w:jc w:val="both"/>
            </w:pPr>
          </w:p>
          <w:p w14:paraId="6F0199D5">
            <w:pPr>
              <w:pStyle w:val="3"/>
              <w:widowControl w:val="0"/>
              <w:numPr>
                <w:ilvl w:val="0"/>
                <w:numId w:val="0"/>
              </w:numPr>
              <w:spacing w:line="360" w:lineRule="auto"/>
              <w:jc w:val="both"/>
            </w:pPr>
          </w:p>
          <w:p w14:paraId="44824B2F">
            <w:pPr>
              <w:pStyle w:val="3"/>
              <w:widowControl w:val="0"/>
              <w:numPr>
                <w:ilvl w:val="0"/>
                <w:numId w:val="0"/>
              </w:numPr>
              <w:spacing w:line="360" w:lineRule="auto"/>
              <w:jc w:val="both"/>
            </w:pPr>
          </w:p>
          <w:p w14:paraId="431AEA76">
            <w:pPr>
              <w:pStyle w:val="3"/>
              <w:widowControl w:val="0"/>
              <w:numPr>
                <w:ilvl w:val="0"/>
                <w:numId w:val="0"/>
              </w:numPr>
              <w:spacing w:line="360" w:lineRule="auto"/>
              <w:jc w:val="both"/>
            </w:pPr>
          </w:p>
          <w:p w14:paraId="32646C98">
            <w:pPr>
              <w:pStyle w:val="3"/>
              <w:widowControl w:val="0"/>
              <w:numPr>
                <w:ilvl w:val="0"/>
                <w:numId w:val="0"/>
              </w:numPr>
              <w:spacing w:line="360" w:lineRule="auto"/>
              <w:jc w:val="both"/>
            </w:pPr>
          </w:p>
          <w:p w14:paraId="415084E2">
            <w:pPr>
              <w:pStyle w:val="3"/>
              <w:widowControl w:val="0"/>
              <w:numPr>
                <w:ilvl w:val="0"/>
                <w:numId w:val="0"/>
              </w:numPr>
              <w:spacing w:line="360" w:lineRule="auto"/>
              <w:jc w:val="both"/>
            </w:pPr>
          </w:p>
          <w:p w14:paraId="32F7C510">
            <w:pPr>
              <w:pStyle w:val="3"/>
              <w:widowControl w:val="0"/>
              <w:numPr>
                <w:ilvl w:val="0"/>
                <w:numId w:val="0"/>
              </w:numPr>
              <w:spacing w:line="360" w:lineRule="auto"/>
              <w:jc w:val="both"/>
            </w:pPr>
          </w:p>
          <w:p w14:paraId="6EE7B4E3">
            <w:pPr>
              <w:pStyle w:val="3"/>
              <w:widowControl w:val="0"/>
              <w:numPr>
                <w:ilvl w:val="0"/>
                <w:numId w:val="0"/>
              </w:numPr>
              <w:spacing w:line="360" w:lineRule="auto"/>
              <w:jc w:val="both"/>
            </w:pPr>
          </w:p>
          <w:p w14:paraId="0649B166">
            <w:pPr>
              <w:pStyle w:val="3"/>
              <w:widowControl w:val="0"/>
              <w:numPr>
                <w:ilvl w:val="0"/>
                <w:numId w:val="0"/>
              </w:numPr>
              <w:spacing w:line="360" w:lineRule="auto"/>
              <w:jc w:val="both"/>
            </w:pPr>
          </w:p>
          <w:p w14:paraId="30ED2656">
            <w:pPr>
              <w:pStyle w:val="3"/>
              <w:widowControl w:val="0"/>
              <w:numPr>
                <w:ilvl w:val="0"/>
                <w:numId w:val="0"/>
              </w:numPr>
              <w:spacing w:line="360" w:lineRule="auto"/>
              <w:jc w:val="both"/>
            </w:pPr>
          </w:p>
          <w:p w14:paraId="478EED90">
            <w:pPr>
              <w:pStyle w:val="3"/>
              <w:widowControl w:val="0"/>
              <w:numPr>
                <w:ilvl w:val="0"/>
                <w:numId w:val="0"/>
              </w:numPr>
              <w:spacing w:line="360" w:lineRule="auto"/>
              <w:jc w:val="both"/>
            </w:pPr>
          </w:p>
          <w:p w14:paraId="58AE313B">
            <w:pPr>
              <w:pStyle w:val="3"/>
              <w:widowControl w:val="0"/>
              <w:numPr>
                <w:ilvl w:val="0"/>
                <w:numId w:val="0"/>
              </w:numPr>
              <w:spacing w:line="360" w:lineRule="auto"/>
              <w:jc w:val="both"/>
            </w:pPr>
          </w:p>
          <w:p w14:paraId="6E0313EB">
            <w:pPr>
              <w:pStyle w:val="3"/>
              <w:widowControl w:val="0"/>
              <w:numPr>
                <w:ilvl w:val="0"/>
                <w:numId w:val="0"/>
              </w:numPr>
              <w:spacing w:line="360" w:lineRule="auto"/>
              <w:jc w:val="both"/>
            </w:pPr>
          </w:p>
          <w:p w14:paraId="1B0F81DD">
            <w:pPr>
              <w:pStyle w:val="3"/>
              <w:widowControl w:val="0"/>
              <w:numPr>
                <w:ilvl w:val="0"/>
                <w:numId w:val="0"/>
              </w:numPr>
              <w:spacing w:line="360" w:lineRule="auto"/>
              <w:jc w:val="both"/>
            </w:pPr>
          </w:p>
          <w:p w14:paraId="0D2BB0DC">
            <w:pPr>
              <w:pStyle w:val="3"/>
              <w:widowControl w:val="0"/>
              <w:numPr>
                <w:ilvl w:val="0"/>
                <w:numId w:val="0"/>
              </w:numPr>
              <w:spacing w:line="360" w:lineRule="auto"/>
              <w:jc w:val="both"/>
            </w:pPr>
          </w:p>
          <w:p w14:paraId="03FBB832">
            <w:pPr>
              <w:pStyle w:val="2"/>
            </w:pPr>
          </w:p>
          <w:p w14:paraId="4BD9C4C2">
            <w:pPr>
              <w:pStyle w:val="3"/>
              <w:widowControl w:val="0"/>
              <w:numPr>
                <w:ilvl w:val="0"/>
                <w:numId w:val="0"/>
              </w:numPr>
              <w:spacing w:line="360" w:lineRule="auto"/>
              <w:jc w:val="both"/>
            </w:pPr>
          </w:p>
        </w:tc>
      </w:tr>
    </w:tbl>
    <w:p w14:paraId="4E235CCB">
      <w:pPr>
        <w:pStyle w:val="16"/>
        <w:spacing w:before="0" w:beforeAutospacing="0" w:after="0" w:afterAutospacing="0"/>
        <w:jc w:val="both"/>
        <w:outlineLvl w:val="0"/>
        <w:rPr>
          <w:rFonts w:ascii="Times New Roman" w:hAnsi="Times New Roman"/>
          <w:snapToGrid w:val="0"/>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288CE10">
      <w:pPr>
        <w:pStyle w:val="16"/>
        <w:spacing w:before="0" w:beforeAutospacing="0" w:after="0" w:afterAutospacing="0" w:line="240" w:lineRule="auto"/>
        <w:jc w:val="center"/>
        <w:outlineLvl w:val="0"/>
        <w:rPr>
          <w:rFonts w:ascii="Times New Roman" w:hAnsi="Times New Roman"/>
          <w:snapToGrid w:val="0"/>
          <w:sz w:val="30"/>
          <w:szCs w:val="30"/>
        </w:rPr>
      </w:pPr>
      <w:r>
        <w:rPr>
          <w:rFonts w:ascii="Times New Roman" w:hAnsi="Times New Roman"/>
          <w:snapToGrid w:val="0"/>
          <w:sz w:val="30"/>
          <w:szCs w:val="30"/>
        </w:rPr>
        <w:t>四、主要环境影响和保护措施</w:t>
      </w:r>
    </w:p>
    <w:tbl>
      <w:tblPr>
        <w:tblStyle w:val="20"/>
        <w:tblW w:w="51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434"/>
      </w:tblGrid>
      <w:tr w14:paraId="3C302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tcMar>
              <w:left w:w="28" w:type="dxa"/>
              <w:right w:w="28" w:type="dxa"/>
            </w:tcMar>
            <w:vAlign w:val="center"/>
          </w:tcPr>
          <w:p w14:paraId="050E47B7">
            <w:pPr>
              <w:pStyle w:val="16"/>
              <w:adjustRightInd w:val="0"/>
              <w:snapToGrid w:val="0"/>
              <w:spacing w:before="0" w:beforeAutospacing="0" w:after="0" w:afterAutospacing="0" w:line="240" w:lineRule="auto"/>
              <w:jc w:val="center"/>
              <w:rPr>
                <w:rFonts w:ascii="Times New Roman" w:hAnsi="Times New Roman"/>
                <w:bCs/>
                <w:kern w:val="2"/>
                <w:szCs w:val="24"/>
              </w:rPr>
            </w:pPr>
            <w:r>
              <w:rPr>
                <w:rFonts w:ascii="Times New Roman" w:hAnsi="Times New Roman"/>
                <w:kern w:val="2"/>
                <w:szCs w:val="24"/>
              </w:rPr>
              <w:t>施工期环境保护措施</w:t>
            </w:r>
          </w:p>
        </w:tc>
        <w:tc>
          <w:tcPr>
            <w:tcW w:w="8359" w:type="dxa"/>
            <w:vAlign w:val="center"/>
          </w:tcPr>
          <w:p w14:paraId="0083DCDC">
            <w:pPr>
              <w:spacing w:line="480" w:lineRule="exact"/>
              <w:ind w:firstLine="480" w:firstLineChars="200"/>
              <w:jc w:val="left"/>
              <w:rPr>
                <w:rFonts w:hint="eastAsia"/>
                <w:lang w:val="en-US" w:eastAsia="zh-CN"/>
              </w:rPr>
            </w:pPr>
            <w:r>
              <w:rPr>
                <w:rFonts w:hint="eastAsia"/>
              </w:rPr>
              <w:t>本项目利用自有已建厂房进行生产，</w:t>
            </w:r>
            <w:r>
              <w:t>施工期主要是设备安装，产生的环境影响较小</w:t>
            </w:r>
            <w:r>
              <w:rPr>
                <w:rFonts w:hint="eastAsia"/>
              </w:rPr>
              <w:t>，故不对施工期进行分析</w:t>
            </w:r>
            <w:r>
              <w:t>。</w:t>
            </w:r>
          </w:p>
        </w:tc>
      </w:tr>
      <w:tr w14:paraId="0E8DA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1" w:hRule="atLeast"/>
          <w:jc w:val="center"/>
        </w:trPr>
        <w:tc>
          <w:tcPr>
            <w:tcW w:w="861" w:type="dxa"/>
            <w:tcMar>
              <w:left w:w="28" w:type="dxa"/>
              <w:right w:w="28" w:type="dxa"/>
            </w:tcMar>
            <w:vAlign w:val="center"/>
          </w:tcPr>
          <w:p w14:paraId="04ADBC7F">
            <w:pPr>
              <w:adjustRightInd w:val="0"/>
              <w:snapToGrid w:val="0"/>
              <w:spacing w:line="240" w:lineRule="auto"/>
              <w:jc w:val="center"/>
              <w:rPr>
                <w:bCs/>
              </w:rPr>
            </w:pPr>
            <w:r>
              <w:rPr>
                <w:bCs/>
              </w:rPr>
              <w:t>运营</w:t>
            </w:r>
          </w:p>
          <w:p w14:paraId="76B0F600">
            <w:pPr>
              <w:adjustRightInd w:val="0"/>
              <w:snapToGrid w:val="0"/>
              <w:spacing w:line="240" w:lineRule="auto"/>
              <w:jc w:val="center"/>
              <w:rPr>
                <w:bCs/>
              </w:rPr>
            </w:pPr>
            <w:r>
              <w:rPr>
                <w:bCs/>
              </w:rPr>
              <w:t>期环</w:t>
            </w:r>
          </w:p>
          <w:p w14:paraId="31F1EC68">
            <w:pPr>
              <w:adjustRightInd w:val="0"/>
              <w:snapToGrid w:val="0"/>
              <w:spacing w:line="240" w:lineRule="auto"/>
              <w:jc w:val="center"/>
              <w:rPr>
                <w:bCs/>
              </w:rPr>
            </w:pPr>
            <w:r>
              <w:rPr>
                <w:bCs/>
              </w:rPr>
              <w:t>境影</w:t>
            </w:r>
          </w:p>
          <w:p w14:paraId="519F161A">
            <w:pPr>
              <w:adjustRightInd w:val="0"/>
              <w:snapToGrid w:val="0"/>
              <w:spacing w:line="240" w:lineRule="auto"/>
              <w:jc w:val="center"/>
              <w:rPr>
                <w:bCs/>
              </w:rPr>
            </w:pPr>
            <w:r>
              <w:rPr>
                <w:bCs/>
              </w:rPr>
              <w:t>响和</w:t>
            </w:r>
          </w:p>
          <w:p w14:paraId="4C978DA9">
            <w:pPr>
              <w:adjustRightInd w:val="0"/>
              <w:snapToGrid w:val="0"/>
              <w:spacing w:line="240" w:lineRule="auto"/>
              <w:jc w:val="center"/>
              <w:rPr>
                <w:bCs/>
              </w:rPr>
            </w:pPr>
            <w:r>
              <w:rPr>
                <w:bCs/>
              </w:rPr>
              <w:t>保护</w:t>
            </w:r>
          </w:p>
          <w:p w14:paraId="467F7F99">
            <w:pPr>
              <w:pStyle w:val="16"/>
              <w:adjustRightInd w:val="0"/>
              <w:snapToGrid w:val="0"/>
              <w:spacing w:before="0" w:beforeAutospacing="0" w:after="0" w:afterAutospacing="0" w:line="240" w:lineRule="auto"/>
              <w:jc w:val="center"/>
              <w:rPr>
                <w:rFonts w:ascii="Times New Roman" w:hAnsi="Times New Roman"/>
                <w:kern w:val="2"/>
                <w:szCs w:val="24"/>
              </w:rPr>
            </w:pPr>
            <w:r>
              <w:rPr>
                <w:rFonts w:ascii="Times New Roman" w:hAnsi="Times New Roman"/>
                <w:bCs/>
                <w:szCs w:val="24"/>
              </w:rPr>
              <w:t>措施</w:t>
            </w:r>
          </w:p>
        </w:tc>
        <w:tc>
          <w:tcPr>
            <w:tcW w:w="8359" w:type="dxa"/>
          </w:tcPr>
          <w:p w14:paraId="1A9FF1F2">
            <w:pPr>
              <w:keepNext w:val="0"/>
              <w:keepLines w:val="0"/>
              <w:pageBreakBefore w:val="0"/>
              <w:widowControl w:val="0"/>
              <w:kinsoku/>
              <w:wordWrap/>
              <w:overflowPunct/>
              <w:topLinePunct w:val="0"/>
              <w:autoSpaceDE/>
              <w:autoSpaceDN/>
              <w:bidi w:val="0"/>
              <w:spacing w:line="480" w:lineRule="exact"/>
              <w:ind w:firstLine="482" w:firstLineChars="200"/>
              <w:textAlignment w:val="auto"/>
              <w:rPr>
                <w:b/>
                <w:bCs/>
              </w:rPr>
            </w:pPr>
            <w:r>
              <w:rPr>
                <w:rFonts w:hint="eastAsia"/>
                <w:b/>
                <w:bCs/>
              </w:rPr>
              <w:t>运营期环境影响分析：</w:t>
            </w:r>
          </w:p>
          <w:p w14:paraId="355DA6CC">
            <w:pPr>
              <w:keepNext w:val="0"/>
              <w:keepLines w:val="0"/>
              <w:pageBreakBefore w:val="0"/>
              <w:widowControl w:val="0"/>
              <w:kinsoku/>
              <w:wordWrap/>
              <w:overflowPunct/>
              <w:topLinePunct w:val="0"/>
              <w:autoSpaceDE/>
              <w:autoSpaceDN/>
              <w:bidi w:val="0"/>
              <w:spacing w:line="480" w:lineRule="exact"/>
              <w:ind w:firstLine="482" w:firstLineChars="200"/>
              <w:textAlignment w:val="auto"/>
              <w:rPr>
                <w:b/>
                <w:bCs/>
              </w:rPr>
            </w:pPr>
            <w:r>
              <w:rPr>
                <w:b/>
                <w:bCs/>
              </w:rPr>
              <w:t>1、废气</w:t>
            </w:r>
          </w:p>
          <w:p w14:paraId="43B6EE33">
            <w:pPr>
              <w:spacing w:line="480" w:lineRule="exact"/>
              <w:ind w:firstLine="482" w:firstLineChars="200"/>
              <w:rPr>
                <w:b/>
                <w:bCs/>
              </w:rPr>
            </w:pPr>
            <w:r>
              <w:rPr>
                <w:rFonts w:hint="eastAsia"/>
                <w:b/>
                <w:bCs/>
              </w:rPr>
              <w:t>1.1废气</w:t>
            </w:r>
            <w:r>
              <w:rPr>
                <w:b/>
                <w:bCs/>
              </w:rPr>
              <w:t>产生</w:t>
            </w:r>
            <w:r>
              <w:rPr>
                <w:rFonts w:hint="eastAsia"/>
                <w:b/>
                <w:bCs/>
              </w:rPr>
              <w:t>及排放</w:t>
            </w:r>
            <w:r>
              <w:rPr>
                <w:b/>
                <w:bCs/>
              </w:rPr>
              <w:t>情况</w:t>
            </w:r>
          </w:p>
          <w:p w14:paraId="187119CD">
            <w:pPr>
              <w:spacing w:line="480" w:lineRule="exact"/>
              <w:ind w:firstLine="482" w:firstLineChars="200"/>
              <w:rPr>
                <w:rFonts w:hint="eastAsia" w:ascii="Times New Roman" w:hAnsi="Times New Roman" w:cs="Times New Roman"/>
                <w:b/>
                <w:bCs/>
                <w:lang w:val="en-US" w:eastAsia="zh-CN"/>
              </w:rPr>
            </w:pPr>
            <w:r>
              <w:rPr>
                <w:rFonts w:hint="eastAsia" w:ascii="Times New Roman" w:hAnsi="Times New Roman" w:cs="Times New Roman"/>
                <w:b/>
                <w:bCs/>
              </w:rPr>
              <w:t>1.1.1有组织废气</w:t>
            </w:r>
          </w:p>
          <w:p w14:paraId="7741975A">
            <w:pPr>
              <w:spacing w:line="480" w:lineRule="exact"/>
              <w:ind w:firstLine="482" w:firstLineChars="200"/>
              <w:jc w:val="left"/>
              <w:rPr>
                <w:rFonts w:hint="eastAsia" w:ascii="Times New Roman" w:hAnsi="Times New Roman" w:cs="Times New Roman"/>
                <w:b/>
                <w:bCs/>
              </w:rPr>
            </w:pPr>
            <w:r>
              <w:rPr>
                <w:rFonts w:hint="eastAsia" w:ascii="Times New Roman" w:hAnsi="Times New Roman" w:cs="Times New Roman"/>
                <w:b/>
                <w:bCs/>
              </w:rPr>
              <w:t>①天然气燃烧尾气</w:t>
            </w:r>
          </w:p>
          <w:p w14:paraId="4D68C5FD">
            <w:pPr>
              <w:spacing w:line="480" w:lineRule="exact"/>
              <w:ind w:firstLine="480" w:firstLineChars="200"/>
              <w:jc w:val="left"/>
              <w:rPr>
                <w:rFonts w:hint="eastAsia" w:ascii="Times New Roman" w:hAnsi="Times New Roman" w:cs="Times New Roman"/>
              </w:rPr>
            </w:pPr>
            <w:r>
              <w:rPr>
                <w:rFonts w:hint="eastAsia" w:ascii="Times New Roman" w:hAnsi="Times New Roman" w:cs="Times New Roman"/>
              </w:rPr>
              <w:t>本项目熔化工段使用天然气</w:t>
            </w:r>
            <w:r>
              <w:rPr>
                <w:rFonts w:hint="eastAsia" w:cs="Times New Roman"/>
                <w:lang w:val="en-US" w:eastAsia="zh-CN"/>
              </w:rPr>
              <w:t>4</w:t>
            </w:r>
            <w:r>
              <w:rPr>
                <w:rFonts w:hint="eastAsia" w:ascii="Times New Roman" w:hAnsi="Times New Roman" w:cs="Times New Roman"/>
              </w:rPr>
              <w:t>0万m</w:t>
            </w:r>
            <w:r>
              <w:rPr>
                <w:rFonts w:hint="eastAsia" w:ascii="Times New Roman" w:hAnsi="Times New Roman" w:cs="Times New Roman"/>
                <w:vertAlign w:val="superscript"/>
              </w:rPr>
              <w:t>3</w:t>
            </w:r>
            <w:r>
              <w:rPr>
                <w:rFonts w:hint="eastAsia" w:ascii="Times New Roman" w:hAnsi="Times New Roman" w:cs="Times New Roman"/>
              </w:rPr>
              <w:t>/a，采用低氮燃烧技术，天然气燃烧产生的污染物系数参考《排放源统计调查产排污核算方法和系数手册》中</w:t>
            </w:r>
            <w:r>
              <w:rPr>
                <w:rFonts w:hint="eastAsia" w:cs="Times New Roman"/>
                <w:lang w:eastAsia="zh-CN"/>
              </w:rPr>
              <w:t>“</w:t>
            </w:r>
            <w:r>
              <w:rPr>
                <w:rFonts w:hint="eastAsia" w:ascii="Times New Roman" w:hAnsi="Times New Roman" w:cs="Times New Roman"/>
              </w:rPr>
              <w:t>33-37，431-434机械行业系数手册</w:t>
            </w:r>
            <w:r>
              <w:rPr>
                <w:rFonts w:hint="eastAsia" w:cs="Times New Roman"/>
                <w:lang w:eastAsia="zh-CN"/>
              </w:rPr>
              <w:t>”</w:t>
            </w:r>
            <w:r>
              <w:rPr>
                <w:rFonts w:hint="eastAsia" w:ascii="Times New Roman" w:hAnsi="Times New Roman" w:cs="Times New Roman"/>
              </w:rPr>
              <w:t>中</w:t>
            </w:r>
            <w:r>
              <w:rPr>
                <w:rFonts w:hint="eastAsia" w:cs="Times New Roman"/>
                <w:lang w:eastAsia="zh-CN"/>
              </w:rPr>
              <w:t>“</w:t>
            </w:r>
            <w:r>
              <w:rPr>
                <w:rFonts w:hint="eastAsia" w:cs="Times New Roman"/>
                <w:lang w:val="en-US" w:eastAsia="zh-CN"/>
              </w:rPr>
              <w:t>14涂装</w:t>
            </w:r>
            <w:r>
              <w:rPr>
                <w:rFonts w:hint="eastAsia" w:ascii="Times New Roman" w:hAnsi="Times New Roman" w:cs="Times New Roman"/>
              </w:rPr>
              <w:t>-</w:t>
            </w:r>
            <w:r>
              <w:rPr>
                <w:rFonts w:hint="eastAsia" w:cs="Times New Roman"/>
                <w:lang w:val="en-US" w:eastAsia="zh-CN"/>
              </w:rPr>
              <w:t>天然气工业炉窑</w:t>
            </w:r>
            <w:r>
              <w:rPr>
                <w:rFonts w:hint="eastAsia" w:cs="Times New Roman"/>
                <w:lang w:eastAsia="zh-CN"/>
              </w:rPr>
              <w:t>”</w:t>
            </w:r>
            <w:r>
              <w:rPr>
                <w:rFonts w:hint="eastAsia" w:ascii="Times New Roman" w:hAnsi="Times New Roman" w:cs="Times New Roman"/>
              </w:rPr>
              <w:t>数据，污染物产生情况见下表。</w:t>
            </w:r>
          </w:p>
          <w:p w14:paraId="1B2A42A6">
            <w:pPr>
              <w:pStyle w:val="51"/>
              <w:spacing w:before="0" w:beforeLines="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表</w:t>
            </w:r>
            <w:r>
              <w:rPr>
                <w:rFonts w:hint="eastAsia" w:ascii="Times New Roman" w:hAnsi="Times New Roman" w:cs="Times New Roman"/>
                <w:b/>
                <w:sz w:val="21"/>
                <w:szCs w:val="21"/>
                <w:lang w:val="en-US" w:eastAsia="zh-CN"/>
              </w:rPr>
              <w:t>4-1</w:t>
            </w:r>
            <w:r>
              <w:rPr>
                <w:rFonts w:ascii="Times New Roman" w:hAnsi="Times New Roman" w:cs="Times New Roman"/>
                <w:b/>
                <w:sz w:val="21"/>
                <w:szCs w:val="21"/>
              </w:rPr>
              <w:t xml:space="preserve">  本项目</w:t>
            </w:r>
            <w:r>
              <w:rPr>
                <w:rFonts w:hint="eastAsia" w:ascii="Times New Roman" w:hAnsi="Times New Roman" w:cs="Times New Roman"/>
                <w:b/>
                <w:sz w:val="21"/>
                <w:szCs w:val="21"/>
              </w:rPr>
              <w:t>天然气燃烧尾气</w:t>
            </w:r>
            <w:r>
              <w:rPr>
                <w:rFonts w:ascii="Times New Roman" w:hAnsi="Times New Roman" w:cs="Times New Roman"/>
                <w:b/>
                <w:sz w:val="21"/>
                <w:szCs w:val="21"/>
              </w:rPr>
              <w:t>产生情况一览表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377"/>
              <w:gridCol w:w="2475"/>
              <w:gridCol w:w="2138"/>
              <w:gridCol w:w="1391"/>
            </w:tblGrid>
            <w:tr w14:paraId="085B3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7" w:type="pct"/>
                  <w:noWrap w:val="0"/>
                  <w:vAlign w:val="center"/>
                </w:tcPr>
                <w:p w14:paraId="243769A0">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产生工段</w:t>
                  </w:r>
                </w:p>
              </w:tc>
              <w:tc>
                <w:tcPr>
                  <w:tcW w:w="838" w:type="pct"/>
                  <w:noWrap w:val="0"/>
                  <w:vAlign w:val="center"/>
                </w:tcPr>
                <w:p w14:paraId="25E07FBA">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天然气用量万m</w:t>
                  </w:r>
                  <w:r>
                    <w:rPr>
                      <w:rFonts w:ascii="Times New Roman" w:hAnsi="Times New Roman" w:cs="Times New Roman"/>
                      <w:b/>
                      <w:bCs/>
                      <w:sz w:val="21"/>
                      <w:szCs w:val="21"/>
                      <w:vertAlign w:val="superscript"/>
                    </w:rPr>
                    <w:t>3</w:t>
                  </w:r>
                  <w:r>
                    <w:rPr>
                      <w:rFonts w:ascii="Times New Roman" w:hAnsi="Times New Roman" w:cs="Times New Roman"/>
                      <w:b/>
                      <w:bCs/>
                      <w:sz w:val="21"/>
                      <w:szCs w:val="21"/>
                    </w:rPr>
                    <w:t>/a</w:t>
                  </w:r>
                </w:p>
              </w:tc>
              <w:tc>
                <w:tcPr>
                  <w:tcW w:w="1506" w:type="pct"/>
                  <w:noWrap w:val="0"/>
                  <w:vAlign w:val="center"/>
                </w:tcPr>
                <w:p w14:paraId="397A42EC">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污染物名称</w:t>
                  </w:r>
                </w:p>
              </w:tc>
              <w:tc>
                <w:tcPr>
                  <w:tcW w:w="1301" w:type="pct"/>
                  <w:noWrap w:val="0"/>
                  <w:vAlign w:val="center"/>
                </w:tcPr>
                <w:p w14:paraId="6A3E7638">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产污系数</w:t>
                  </w:r>
                </w:p>
                <w:p w14:paraId="4A13D893">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kg/万m</w:t>
                  </w:r>
                  <w:r>
                    <w:rPr>
                      <w:rFonts w:ascii="Times New Roman" w:hAnsi="Times New Roman" w:cs="Times New Roman"/>
                      <w:b/>
                      <w:bCs/>
                      <w:sz w:val="21"/>
                      <w:szCs w:val="21"/>
                      <w:vertAlign w:val="superscript"/>
                    </w:rPr>
                    <w:t>3</w:t>
                  </w:r>
                  <w:r>
                    <w:rPr>
                      <w:rFonts w:ascii="Times New Roman" w:hAnsi="Times New Roman" w:cs="Times New Roman"/>
                      <w:b/>
                      <w:bCs/>
                      <w:sz w:val="21"/>
                      <w:szCs w:val="21"/>
                    </w:rPr>
                    <w:t>-原料</w:t>
                  </w:r>
                </w:p>
              </w:tc>
              <w:tc>
                <w:tcPr>
                  <w:tcW w:w="846" w:type="pct"/>
                  <w:noWrap w:val="0"/>
                  <w:vAlign w:val="center"/>
                </w:tcPr>
                <w:p w14:paraId="31ABCDEC">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污染物产生量t/a</w:t>
                  </w:r>
                </w:p>
              </w:tc>
            </w:tr>
            <w:tr w14:paraId="653BC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restart"/>
                  <w:noWrap w:val="0"/>
                  <w:tcMar>
                    <w:left w:w="28" w:type="dxa"/>
                    <w:right w:w="28" w:type="dxa"/>
                  </w:tcMar>
                  <w:vAlign w:val="center"/>
                </w:tcPr>
                <w:p w14:paraId="5121D359">
                  <w:pPr>
                    <w:spacing w:line="240" w:lineRule="auto"/>
                    <w:jc w:val="center"/>
                    <w:rPr>
                      <w:rFonts w:ascii="Times New Roman" w:hAnsi="Times New Roman" w:cs="Times New Roman"/>
                      <w:sz w:val="21"/>
                      <w:szCs w:val="21"/>
                    </w:rPr>
                  </w:pPr>
                  <w:r>
                    <w:rPr>
                      <w:rFonts w:ascii="Times New Roman" w:hAnsi="Times New Roman" w:cs="Times New Roman"/>
                      <w:sz w:val="21"/>
                      <w:szCs w:val="21"/>
                    </w:rPr>
                    <w:t>熔化</w:t>
                  </w:r>
                </w:p>
              </w:tc>
              <w:tc>
                <w:tcPr>
                  <w:tcW w:w="838" w:type="pct"/>
                  <w:vMerge w:val="restart"/>
                  <w:noWrap w:val="0"/>
                  <w:vAlign w:val="center"/>
                </w:tcPr>
                <w:p w14:paraId="3D83B44E">
                  <w:pPr>
                    <w:spacing w:line="24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4</w:t>
                  </w:r>
                  <w:r>
                    <w:rPr>
                      <w:rFonts w:ascii="Times New Roman" w:hAnsi="Times New Roman" w:cs="Times New Roman"/>
                      <w:sz w:val="21"/>
                      <w:szCs w:val="21"/>
                    </w:rPr>
                    <w:t>0</w:t>
                  </w:r>
                </w:p>
              </w:tc>
              <w:tc>
                <w:tcPr>
                  <w:tcW w:w="1506" w:type="pct"/>
                  <w:noWrap w:val="0"/>
                  <w:vAlign w:val="center"/>
                </w:tcPr>
                <w:p w14:paraId="43136904">
                  <w:pPr>
                    <w:spacing w:line="240" w:lineRule="auto"/>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301" w:type="pct"/>
                  <w:noWrap w:val="0"/>
                  <w:vAlign w:val="center"/>
                </w:tcPr>
                <w:p w14:paraId="16A9F171">
                  <w:pPr>
                    <w:spacing w:line="240" w:lineRule="auto"/>
                    <w:jc w:val="center"/>
                    <w:rPr>
                      <w:rFonts w:ascii="Times New Roman" w:hAnsi="Times New Roman" w:cs="Times New Roman"/>
                      <w:sz w:val="21"/>
                      <w:szCs w:val="21"/>
                    </w:rPr>
                  </w:pPr>
                  <w:r>
                    <w:rPr>
                      <w:rFonts w:ascii="Times New Roman" w:hAnsi="Times New Roman" w:cs="Times New Roman"/>
                      <w:sz w:val="21"/>
                      <w:szCs w:val="21"/>
                    </w:rPr>
                    <w:t>0.02S</w:t>
                  </w:r>
                </w:p>
              </w:tc>
              <w:tc>
                <w:tcPr>
                  <w:tcW w:w="846" w:type="pct"/>
                  <w:noWrap w:val="0"/>
                  <w:vAlign w:val="center"/>
                </w:tcPr>
                <w:p w14:paraId="6A1C6234">
                  <w:pPr>
                    <w:spacing w:line="240" w:lineRule="auto"/>
                    <w:jc w:val="center"/>
                    <w:rPr>
                      <w:rFonts w:hint="default" w:ascii="Times New Roman" w:hAnsi="Times New Roman" w:eastAsia="仿宋" w:cs="Times New Roman"/>
                      <w:sz w:val="21"/>
                      <w:szCs w:val="21"/>
                      <w:lang w:val="en-US" w:eastAsia="zh-CN"/>
                    </w:rPr>
                  </w:pPr>
                  <w:r>
                    <w:rPr>
                      <w:rFonts w:ascii="Times New Roman" w:hAnsi="Times New Roman" w:cs="Times New Roman"/>
                      <w:sz w:val="21"/>
                      <w:szCs w:val="21"/>
                    </w:rPr>
                    <w:t>0.</w:t>
                  </w:r>
                  <w:r>
                    <w:rPr>
                      <w:rFonts w:hint="eastAsia" w:ascii="Times New Roman" w:hAnsi="Times New Roman" w:cs="Times New Roman"/>
                      <w:sz w:val="21"/>
                      <w:szCs w:val="21"/>
                      <w:lang w:val="en-US" w:eastAsia="zh-CN"/>
                    </w:rPr>
                    <w:t>08</w:t>
                  </w:r>
                </w:p>
              </w:tc>
            </w:tr>
            <w:tr w14:paraId="5609F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noWrap w:val="0"/>
                  <w:tcMar>
                    <w:left w:w="28" w:type="dxa"/>
                    <w:right w:w="28" w:type="dxa"/>
                  </w:tcMar>
                  <w:vAlign w:val="center"/>
                </w:tcPr>
                <w:p w14:paraId="57C13F8D">
                  <w:pPr>
                    <w:spacing w:line="240" w:lineRule="auto"/>
                    <w:jc w:val="center"/>
                    <w:rPr>
                      <w:rFonts w:ascii="Times New Roman" w:hAnsi="Times New Roman" w:cs="Times New Roman"/>
                      <w:sz w:val="21"/>
                      <w:szCs w:val="21"/>
                    </w:rPr>
                  </w:pPr>
                </w:p>
              </w:tc>
              <w:tc>
                <w:tcPr>
                  <w:tcW w:w="838" w:type="pct"/>
                  <w:vMerge w:val="continue"/>
                  <w:noWrap w:val="0"/>
                  <w:vAlign w:val="center"/>
                </w:tcPr>
                <w:p w14:paraId="6277FC9A">
                  <w:pPr>
                    <w:spacing w:line="240" w:lineRule="auto"/>
                    <w:jc w:val="center"/>
                    <w:rPr>
                      <w:rFonts w:ascii="Times New Roman" w:hAnsi="Times New Roman" w:cs="Times New Roman"/>
                      <w:sz w:val="21"/>
                      <w:szCs w:val="21"/>
                    </w:rPr>
                  </w:pPr>
                </w:p>
              </w:tc>
              <w:tc>
                <w:tcPr>
                  <w:tcW w:w="1506" w:type="pct"/>
                  <w:noWrap w:val="0"/>
                  <w:vAlign w:val="center"/>
                </w:tcPr>
                <w:p w14:paraId="2602F487">
                  <w:pPr>
                    <w:spacing w:line="240" w:lineRule="auto"/>
                    <w:jc w:val="center"/>
                    <w:rPr>
                      <w:rFonts w:ascii="Times New Roman" w:hAnsi="Times New Roman" w:cs="Times New Roman"/>
                      <w:sz w:val="21"/>
                      <w:szCs w:val="21"/>
                    </w:rPr>
                  </w:pPr>
                  <w:r>
                    <w:rPr>
                      <w:rFonts w:ascii="Times New Roman" w:hAnsi="Times New Roman" w:cs="Times New Roman"/>
                      <w:sz w:val="21"/>
                      <w:szCs w:val="21"/>
                    </w:rPr>
                    <w:t>NOx（低氮燃烧法50%处理效率）</w:t>
                  </w:r>
                </w:p>
              </w:tc>
              <w:tc>
                <w:tcPr>
                  <w:tcW w:w="1301" w:type="pct"/>
                  <w:noWrap w:val="0"/>
                  <w:vAlign w:val="center"/>
                </w:tcPr>
                <w:p w14:paraId="2E81FC2E">
                  <w:pPr>
                    <w:spacing w:line="240" w:lineRule="auto"/>
                    <w:jc w:val="center"/>
                    <w:rPr>
                      <w:rFonts w:ascii="Times New Roman" w:hAnsi="Times New Roman" w:cs="Times New Roman"/>
                      <w:sz w:val="21"/>
                      <w:szCs w:val="21"/>
                    </w:rPr>
                  </w:pPr>
                  <w:r>
                    <w:rPr>
                      <w:rFonts w:ascii="Times New Roman" w:hAnsi="Times New Roman" w:cs="Times New Roman"/>
                      <w:sz w:val="21"/>
                      <w:szCs w:val="21"/>
                    </w:rPr>
                    <w:t>9.35</w:t>
                  </w:r>
                </w:p>
              </w:tc>
              <w:tc>
                <w:tcPr>
                  <w:tcW w:w="846" w:type="pct"/>
                  <w:noWrap w:val="0"/>
                  <w:vAlign w:val="center"/>
                </w:tcPr>
                <w:p w14:paraId="54EF75B2">
                  <w:pPr>
                    <w:spacing w:line="240" w:lineRule="auto"/>
                    <w:jc w:val="center"/>
                    <w:rPr>
                      <w:rFonts w:hint="default" w:ascii="Times New Roman" w:hAnsi="Times New Roman" w:eastAsia="仿宋" w:cs="Times New Roman"/>
                      <w:sz w:val="21"/>
                      <w:szCs w:val="21"/>
                      <w:lang w:val="en-US" w:eastAsia="zh-CN"/>
                    </w:rPr>
                  </w:pPr>
                  <w:r>
                    <w:rPr>
                      <w:rFonts w:ascii="Times New Roman" w:hAnsi="Times New Roman" w:cs="Times New Roman"/>
                      <w:sz w:val="21"/>
                      <w:szCs w:val="21"/>
                    </w:rPr>
                    <w:t>0.</w:t>
                  </w:r>
                  <w:r>
                    <w:rPr>
                      <w:rFonts w:hint="eastAsia" w:ascii="Times New Roman" w:hAnsi="Times New Roman" w:cs="Times New Roman"/>
                      <w:sz w:val="21"/>
                      <w:szCs w:val="21"/>
                      <w:lang w:val="en-US" w:eastAsia="zh-CN"/>
                    </w:rPr>
                    <w:t>374</w:t>
                  </w:r>
                </w:p>
              </w:tc>
            </w:tr>
            <w:tr w14:paraId="7BAD0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noWrap w:val="0"/>
                  <w:vAlign w:val="center"/>
                </w:tcPr>
                <w:p w14:paraId="1C5616C9">
                  <w:pPr>
                    <w:spacing w:line="240" w:lineRule="auto"/>
                    <w:jc w:val="center"/>
                    <w:rPr>
                      <w:rFonts w:ascii="Times New Roman" w:hAnsi="Times New Roman" w:cs="Times New Roman"/>
                      <w:sz w:val="21"/>
                      <w:szCs w:val="21"/>
                    </w:rPr>
                  </w:pPr>
                </w:p>
              </w:tc>
              <w:tc>
                <w:tcPr>
                  <w:tcW w:w="838" w:type="pct"/>
                  <w:vMerge w:val="continue"/>
                  <w:noWrap w:val="0"/>
                  <w:vAlign w:val="center"/>
                </w:tcPr>
                <w:p w14:paraId="47A28D00">
                  <w:pPr>
                    <w:spacing w:line="240" w:lineRule="auto"/>
                    <w:jc w:val="center"/>
                    <w:rPr>
                      <w:rFonts w:ascii="Times New Roman" w:hAnsi="Times New Roman" w:cs="Times New Roman"/>
                      <w:sz w:val="21"/>
                      <w:szCs w:val="21"/>
                    </w:rPr>
                  </w:pPr>
                </w:p>
              </w:tc>
              <w:tc>
                <w:tcPr>
                  <w:tcW w:w="1506" w:type="pct"/>
                  <w:noWrap w:val="0"/>
                  <w:vAlign w:val="center"/>
                </w:tcPr>
                <w:p w14:paraId="32862E5D">
                  <w:pPr>
                    <w:spacing w:line="240" w:lineRule="auto"/>
                    <w:jc w:val="center"/>
                    <w:rPr>
                      <w:rFonts w:ascii="Times New Roman" w:hAnsi="Times New Roman" w:cs="Times New Roman"/>
                      <w:sz w:val="21"/>
                      <w:szCs w:val="21"/>
                    </w:rPr>
                  </w:pPr>
                  <w:r>
                    <w:rPr>
                      <w:rFonts w:ascii="Times New Roman" w:hAnsi="Times New Roman" w:cs="Times New Roman"/>
                      <w:sz w:val="21"/>
                      <w:szCs w:val="21"/>
                    </w:rPr>
                    <w:t>颗粒物</w:t>
                  </w:r>
                </w:p>
              </w:tc>
              <w:tc>
                <w:tcPr>
                  <w:tcW w:w="1301" w:type="pct"/>
                  <w:noWrap w:val="0"/>
                  <w:vAlign w:val="center"/>
                </w:tcPr>
                <w:p w14:paraId="56652DF0">
                  <w:pPr>
                    <w:spacing w:line="240" w:lineRule="auto"/>
                    <w:jc w:val="center"/>
                    <w:rPr>
                      <w:rFonts w:ascii="Times New Roman" w:hAnsi="Times New Roman" w:cs="Times New Roman"/>
                      <w:sz w:val="21"/>
                      <w:szCs w:val="21"/>
                    </w:rPr>
                  </w:pPr>
                  <w:r>
                    <w:rPr>
                      <w:rFonts w:ascii="Times New Roman" w:hAnsi="Times New Roman" w:cs="Times New Roman"/>
                      <w:sz w:val="21"/>
                      <w:szCs w:val="21"/>
                    </w:rPr>
                    <w:t>2.86</w:t>
                  </w:r>
                </w:p>
              </w:tc>
              <w:tc>
                <w:tcPr>
                  <w:tcW w:w="846" w:type="pct"/>
                  <w:noWrap w:val="0"/>
                  <w:vAlign w:val="center"/>
                </w:tcPr>
                <w:p w14:paraId="1B383CB5">
                  <w:pPr>
                    <w:spacing w:line="240" w:lineRule="auto"/>
                    <w:jc w:val="center"/>
                    <w:rPr>
                      <w:rFonts w:hint="default" w:ascii="Times New Roman" w:hAnsi="Times New Roman" w:eastAsia="仿宋" w:cs="Times New Roman"/>
                      <w:sz w:val="21"/>
                      <w:szCs w:val="21"/>
                      <w:lang w:val="en-US" w:eastAsia="zh-CN"/>
                    </w:rPr>
                  </w:pPr>
                  <w:r>
                    <w:rPr>
                      <w:rFonts w:ascii="Times New Roman" w:hAnsi="Times New Roman" w:cs="Times New Roman"/>
                      <w:sz w:val="21"/>
                      <w:szCs w:val="21"/>
                    </w:rPr>
                    <w:t>0.</w:t>
                  </w:r>
                  <w:r>
                    <w:rPr>
                      <w:rFonts w:hint="eastAsia" w:ascii="Times New Roman" w:hAnsi="Times New Roman" w:cs="Times New Roman"/>
                      <w:sz w:val="21"/>
                      <w:szCs w:val="21"/>
                      <w:lang w:val="en-US" w:eastAsia="zh-CN"/>
                    </w:rPr>
                    <w:t>114</w:t>
                  </w:r>
                </w:p>
              </w:tc>
            </w:tr>
          </w:tbl>
          <w:p w14:paraId="4749887E">
            <w:pPr>
              <w:spacing w:line="240" w:lineRule="auto"/>
              <w:rPr>
                <w:rFonts w:eastAsia="仿宋"/>
                <w:b/>
                <w:bCs/>
                <w:sz w:val="21"/>
                <w:szCs w:val="18"/>
              </w:rPr>
            </w:pPr>
            <w:r>
              <w:rPr>
                <w:rFonts w:eastAsia="仿宋"/>
                <w:b/>
                <w:bCs/>
                <w:sz w:val="21"/>
                <w:szCs w:val="18"/>
              </w:rPr>
              <w:t>注：①产排污系数表中SO</w:t>
            </w:r>
            <w:r>
              <w:rPr>
                <w:rFonts w:eastAsia="仿宋"/>
                <w:b/>
                <w:bCs/>
                <w:sz w:val="21"/>
                <w:szCs w:val="18"/>
                <w:vertAlign w:val="subscript"/>
              </w:rPr>
              <w:t>2</w:t>
            </w:r>
            <w:r>
              <w:rPr>
                <w:rFonts w:eastAsia="仿宋"/>
                <w:b/>
                <w:bCs/>
                <w:sz w:val="21"/>
                <w:szCs w:val="18"/>
              </w:rPr>
              <w:t>是以含硫量（S）的形式表示的，其中含硫量（S）是指燃气收到基硫分含量，单位是mg/m</w:t>
            </w:r>
            <w:r>
              <w:rPr>
                <w:rFonts w:eastAsia="仿宋"/>
                <w:b/>
                <w:bCs/>
                <w:sz w:val="21"/>
                <w:szCs w:val="18"/>
                <w:vertAlign w:val="superscript"/>
              </w:rPr>
              <w:t>3</w:t>
            </w:r>
            <w:r>
              <w:rPr>
                <w:rFonts w:eastAsia="仿宋"/>
                <w:b/>
                <w:bCs/>
                <w:sz w:val="21"/>
                <w:szCs w:val="18"/>
              </w:rPr>
              <w:t>；</w:t>
            </w:r>
          </w:p>
          <w:p w14:paraId="776B6479">
            <w:pPr>
              <w:pStyle w:val="3"/>
              <w:widowControl w:val="0"/>
              <w:numPr>
                <w:ilvl w:val="0"/>
                <w:numId w:val="0"/>
              </w:numPr>
              <w:spacing w:line="240" w:lineRule="auto"/>
              <w:ind w:firstLine="422" w:firstLineChars="200"/>
              <w:jc w:val="both"/>
              <w:rPr>
                <w:rFonts w:hint="eastAsia"/>
                <w:sz w:val="21"/>
                <w:szCs w:val="21"/>
                <w:lang w:val="en-US" w:eastAsia="zh-CN"/>
              </w:rPr>
            </w:pPr>
            <w:r>
              <w:rPr>
                <w:rFonts w:eastAsia="仿宋"/>
                <w:b/>
                <w:bCs/>
                <w:sz w:val="21"/>
                <w:szCs w:val="18"/>
              </w:rPr>
              <w:t>②本项目天然气含硫量参照《天然气》（</w:t>
            </w:r>
            <w:r>
              <w:rPr>
                <w:rFonts w:ascii="Times New Roman" w:hAnsi="Times New Roman" w:eastAsia="仿宋" w:cs="Times New Roman"/>
                <w:b/>
                <w:bCs/>
                <w:sz w:val="21"/>
                <w:szCs w:val="18"/>
              </w:rPr>
              <w:t>GB17820-20</w:t>
            </w:r>
            <w:r>
              <w:rPr>
                <w:rFonts w:hint="eastAsia" w:cs="Times New Roman"/>
                <w:b/>
                <w:bCs/>
                <w:sz w:val="21"/>
                <w:szCs w:val="18"/>
                <w:lang w:val="en-US" w:eastAsia="zh-CN"/>
              </w:rPr>
              <w:t>18</w:t>
            </w:r>
            <w:r>
              <w:rPr>
                <w:rFonts w:ascii="Times New Roman" w:hAnsi="Times New Roman" w:eastAsia="仿宋" w:cs="Times New Roman"/>
                <w:b/>
                <w:bCs/>
                <w:sz w:val="21"/>
                <w:szCs w:val="18"/>
              </w:rPr>
              <w:t>）中表1标准执行</w:t>
            </w:r>
            <w:r>
              <w:rPr>
                <w:rFonts w:hint="eastAsia" w:ascii="Times New Roman" w:hAnsi="Times New Roman" w:eastAsia="仿宋" w:cs="Times New Roman"/>
                <w:b/>
                <w:bCs/>
                <w:sz w:val="21"/>
                <w:szCs w:val="18"/>
                <w:lang w:eastAsia="zh-CN"/>
              </w:rPr>
              <w:t>，</w:t>
            </w:r>
            <w:r>
              <w:rPr>
                <w:rFonts w:hint="default" w:ascii="Times New Roman" w:hAnsi="Times New Roman" w:eastAsia="仿宋" w:cs="Times New Roman"/>
                <w:b/>
                <w:bCs/>
                <w:sz w:val="21"/>
                <w:szCs w:val="18"/>
              </w:rPr>
              <w:t>二类天然气中总硫≤100mg/m</w:t>
            </w:r>
            <w:r>
              <w:rPr>
                <w:rFonts w:hint="default" w:ascii="Times New Roman" w:hAnsi="Times New Roman" w:eastAsia="仿宋" w:cs="Times New Roman"/>
                <w:b/>
                <w:bCs/>
                <w:sz w:val="21"/>
                <w:szCs w:val="18"/>
                <w:vertAlign w:val="superscript"/>
              </w:rPr>
              <w:t>3</w:t>
            </w:r>
            <w:r>
              <w:rPr>
                <w:rFonts w:hint="eastAsia" w:ascii="Times New Roman" w:hAnsi="Times New Roman" w:cs="Times New Roman"/>
                <w:b/>
                <w:bCs/>
                <w:sz w:val="21"/>
                <w:szCs w:val="18"/>
                <w:vertAlign w:val="baseline"/>
                <w:lang w:eastAsia="zh-CN"/>
              </w:rPr>
              <w:t>，</w:t>
            </w:r>
            <w:r>
              <w:rPr>
                <w:rFonts w:ascii="Times New Roman" w:hAnsi="Times New Roman" w:eastAsia="仿宋" w:cs="Times New Roman"/>
                <w:b/>
                <w:bCs/>
                <w:sz w:val="21"/>
                <w:szCs w:val="18"/>
              </w:rPr>
              <w:t>本项目</w:t>
            </w:r>
            <w:r>
              <w:rPr>
                <w:rFonts w:hint="eastAsia" w:ascii="Times New Roman" w:hAnsi="Times New Roman" w:cs="Times New Roman"/>
                <w:b/>
                <w:bCs/>
                <w:sz w:val="21"/>
                <w:szCs w:val="18"/>
                <w:lang w:val="en-US" w:eastAsia="zh-CN"/>
              </w:rPr>
              <w:t>S取</w:t>
            </w:r>
            <w:r>
              <w:rPr>
                <w:rFonts w:hint="eastAsia"/>
                <w:b/>
                <w:bCs/>
                <w:sz w:val="21"/>
                <w:szCs w:val="18"/>
                <w:lang w:val="en-US" w:eastAsia="zh-CN"/>
              </w:rPr>
              <w:t>1</w:t>
            </w:r>
            <w:r>
              <w:rPr>
                <w:rFonts w:eastAsia="仿宋"/>
                <w:b/>
                <w:bCs/>
                <w:sz w:val="21"/>
                <w:szCs w:val="18"/>
              </w:rPr>
              <w:t>00mg/m</w:t>
            </w:r>
            <w:r>
              <w:rPr>
                <w:rFonts w:eastAsia="仿宋"/>
                <w:b/>
                <w:bCs/>
                <w:sz w:val="21"/>
                <w:szCs w:val="18"/>
                <w:vertAlign w:val="superscript"/>
              </w:rPr>
              <w:t>3</w:t>
            </w:r>
            <w:r>
              <w:rPr>
                <w:rFonts w:eastAsia="仿宋"/>
                <w:b/>
                <w:bCs/>
                <w:sz w:val="21"/>
                <w:szCs w:val="18"/>
              </w:rPr>
              <w:t>。</w:t>
            </w:r>
          </w:p>
          <w:p w14:paraId="448F5762">
            <w:pPr>
              <w:spacing w:line="480" w:lineRule="exact"/>
              <w:ind w:firstLine="482" w:firstLineChars="200"/>
              <w:jc w:val="left"/>
              <w:rPr>
                <w:rFonts w:hint="eastAsia" w:ascii="Times New Roman" w:hAnsi="Times New Roman" w:cs="Times New Roman"/>
                <w:b/>
                <w:bCs/>
              </w:rPr>
            </w:pPr>
            <w:r>
              <w:rPr>
                <w:rFonts w:hint="eastAsia" w:ascii="Times New Roman" w:hAnsi="Times New Roman" w:cs="Times New Roman"/>
                <w:b/>
                <w:bCs/>
              </w:rPr>
              <w:t>②熔化烟尘</w:t>
            </w:r>
          </w:p>
          <w:p w14:paraId="3AA3AA35">
            <w:pPr>
              <w:spacing w:line="480" w:lineRule="exact"/>
              <w:ind w:firstLine="480" w:firstLineChars="200"/>
              <w:jc w:val="left"/>
              <w:rPr>
                <w:rFonts w:hint="eastAsia" w:ascii="Times New Roman" w:hAnsi="Times New Roman" w:cs="Times New Roman"/>
                <w:lang w:val="en-US" w:eastAsia="zh-CN"/>
              </w:rPr>
            </w:pPr>
            <w:r>
              <w:rPr>
                <w:rFonts w:hint="eastAsia" w:ascii="Times New Roman" w:hAnsi="Times New Roman" w:cs="Times New Roman"/>
              </w:rPr>
              <w:t>根据《排放源统计调查产排污核算方法和系数手册》中</w:t>
            </w:r>
            <w:r>
              <w:rPr>
                <w:rFonts w:hint="eastAsia" w:cs="Times New Roman"/>
                <w:lang w:eastAsia="zh-CN"/>
              </w:rPr>
              <w:t>“</w:t>
            </w:r>
            <w:r>
              <w:rPr>
                <w:rFonts w:hint="eastAsia" w:ascii="Times New Roman" w:hAnsi="Times New Roman" w:cs="Times New Roman"/>
              </w:rPr>
              <w:t>33-37，431-434机械行业系数手册</w:t>
            </w:r>
            <w:r>
              <w:rPr>
                <w:rFonts w:hint="eastAsia" w:cs="Times New Roman"/>
                <w:lang w:eastAsia="zh-CN"/>
              </w:rPr>
              <w:t>”</w:t>
            </w:r>
            <w:r>
              <w:rPr>
                <w:rFonts w:hint="eastAsia" w:ascii="Times New Roman" w:hAnsi="Times New Roman" w:cs="Times New Roman"/>
              </w:rPr>
              <w:t>中</w:t>
            </w:r>
            <w:r>
              <w:rPr>
                <w:rFonts w:hint="eastAsia" w:cs="Times New Roman"/>
                <w:lang w:eastAsia="zh-CN"/>
              </w:rPr>
              <w:t>“</w:t>
            </w:r>
            <w:r>
              <w:rPr>
                <w:rFonts w:hint="eastAsia" w:ascii="Times New Roman" w:hAnsi="Times New Roman" w:cs="Times New Roman"/>
              </w:rPr>
              <w:t>01铸造</w:t>
            </w:r>
            <w:r>
              <w:rPr>
                <w:rFonts w:hint="eastAsia" w:cs="Times New Roman"/>
                <w:lang w:eastAsia="zh-CN"/>
              </w:rPr>
              <w:t>”</w:t>
            </w:r>
            <w:r>
              <w:rPr>
                <w:rFonts w:hint="default" w:ascii="Times New Roman" w:hAnsi="Times New Roman" w:cs="Times New Roman"/>
                <w:lang w:val="en-US" w:eastAsia="zh-CN"/>
              </w:rPr>
              <w:t>系数表中</w:t>
            </w:r>
            <w:r>
              <w:rPr>
                <w:rFonts w:hint="eastAsia" w:cs="Times New Roman"/>
                <w:lang w:eastAsia="zh-CN"/>
              </w:rPr>
              <w:t>“</w:t>
            </w:r>
            <w:r>
              <w:rPr>
                <w:rFonts w:hint="eastAsia" w:ascii="Times New Roman" w:hAnsi="Times New Roman" w:cs="Times New Roman"/>
                <w:lang w:val="en-US" w:eastAsia="zh-CN"/>
              </w:rPr>
              <w:t>铝合金、</w:t>
            </w:r>
            <w:r>
              <w:rPr>
                <w:rFonts w:hint="eastAsia" w:cs="Times New Roman"/>
                <w:lang w:val="en-US" w:eastAsia="zh-CN"/>
              </w:rPr>
              <w:t>铝合金锭</w:t>
            </w:r>
            <w:r>
              <w:rPr>
                <w:rFonts w:hint="eastAsia" w:ascii="Times New Roman" w:hAnsi="Times New Roman" w:cs="Times New Roman"/>
                <w:lang w:val="en-US" w:eastAsia="zh-CN"/>
              </w:rPr>
              <w:t>等的熔炼（燃气炉）</w:t>
            </w:r>
            <w:r>
              <w:rPr>
                <w:rFonts w:hint="eastAsia" w:cs="Times New Roman"/>
                <w:lang w:val="en-US" w:eastAsia="zh-CN"/>
              </w:rPr>
              <w:t>”</w:t>
            </w:r>
            <w:r>
              <w:rPr>
                <w:rFonts w:hint="eastAsia" w:ascii="Times New Roman" w:hAnsi="Times New Roman" w:cs="Times New Roman"/>
                <w:lang w:val="en-US" w:eastAsia="zh-CN"/>
              </w:rPr>
              <w:t>的产污系数：</w:t>
            </w:r>
            <w:r>
              <w:rPr>
                <w:rFonts w:hint="eastAsia" w:ascii="Times New Roman" w:hAnsi="Times New Roman" w:cs="Times New Roman"/>
              </w:rPr>
              <w:t>颗粒物产生系数为0.943千克/吨-产品，本项目产品产量为3</w:t>
            </w:r>
            <w:r>
              <w:rPr>
                <w:rFonts w:hint="eastAsia" w:ascii="Times New Roman" w:hAnsi="Times New Roman" w:cs="Times New Roman"/>
                <w:lang w:val="en-US" w:eastAsia="zh-CN"/>
              </w:rPr>
              <w:t>2</w:t>
            </w:r>
            <w:r>
              <w:rPr>
                <w:rFonts w:hint="eastAsia" w:ascii="Times New Roman" w:hAnsi="Times New Roman" w:cs="Times New Roman"/>
              </w:rPr>
              <w:t>00t/a，则熔化工段熔化烟尘产生量为0.943千克/吨*3</w:t>
            </w:r>
            <w:r>
              <w:rPr>
                <w:rFonts w:hint="eastAsia" w:ascii="Times New Roman" w:hAnsi="Times New Roman" w:cs="Times New Roman"/>
                <w:lang w:val="en-US" w:eastAsia="zh-CN"/>
              </w:rPr>
              <w:t>2</w:t>
            </w:r>
            <w:r>
              <w:rPr>
                <w:rFonts w:hint="eastAsia" w:ascii="Times New Roman" w:hAnsi="Times New Roman" w:cs="Times New Roman"/>
              </w:rPr>
              <w:t>00吨=</w:t>
            </w:r>
            <w:r>
              <w:rPr>
                <w:rFonts w:hint="eastAsia" w:ascii="Times New Roman" w:hAnsi="Times New Roman" w:cs="Times New Roman"/>
                <w:lang w:val="en-US" w:eastAsia="zh-CN"/>
              </w:rPr>
              <w:t>3.018</w:t>
            </w:r>
            <w:r>
              <w:rPr>
                <w:rFonts w:hint="eastAsia" w:ascii="Times New Roman" w:hAnsi="Times New Roman" w:cs="Times New Roman"/>
              </w:rPr>
              <w:t>t/a。</w:t>
            </w:r>
          </w:p>
          <w:p w14:paraId="00DD86F4">
            <w:pPr>
              <w:spacing w:line="480" w:lineRule="exact"/>
              <w:ind w:firstLine="482" w:firstLineChars="200"/>
              <w:jc w:val="left"/>
              <w:rPr>
                <w:rFonts w:hint="eastAsia" w:ascii="Times New Roman" w:hAnsi="Times New Roman" w:cs="Times New Roman"/>
                <w:b/>
                <w:bCs/>
              </w:rPr>
            </w:pPr>
            <w:r>
              <w:rPr>
                <w:rFonts w:hint="eastAsia" w:ascii="Times New Roman" w:hAnsi="Times New Roman" w:cs="Times New Roman"/>
                <w:b/>
                <w:bCs/>
              </w:rPr>
              <w:t>③压铸废气</w:t>
            </w:r>
          </w:p>
          <w:p w14:paraId="1E1C05F4">
            <w:pPr>
              <w:spacing w:line="480" w:lineRule="exact"/>
              <w:ind w:firstLine="480" w:firstLineChars="200"/>
              <w:jc w:val="left"/>
              <w:rPr>
                <w:rFonts w:hint="eastAsia" w:ascii="Times New Roman" w:hAnsi="Times New Roman" w:cs="Times New Roman"/>
              </w:rPr>
            </w:pPr>
            <w:r>
              <w:rPr>
                <w:rFonts w:hint="eastAsia" w:ascii="Times New Roman" w:hAnsi="Times New Roman" w:cs="Times New Roman"/>
                <w:lang w:val="en-US" w:eastAsia="zh-CN"/>
              </w:rPr>
              <w:t>本项目在压铸前先对模具腔喷涂脱模剂，脱模剂起到润滑作用，防止工件与模具粘结在一起；同时在冲头位置添加润滑颗粒。压铸过程中脱模剂水溶液、润滑颗粒中石蜡成分挥发产生烟气，烟气中绝大部分是水汽，由于脱模剂、润滑颗粒中含有挥发性有机物，高温时会挥发，因此压铸烟气中会产生有机废气，其主要污染因子为非甲烷总烃计。本项目脱模剂用量为</w:t>
            </w:r>
            <w:r>
              <w:rPr>
                <w:rFonts w:hint="default" w:ascii="Times New Roman" w:hAnsi="Times New Roman" w:cs="Times New Roman"/>
                <w:lang w:val="en-US" w:eastAsia="zh-CN"/>
              </w:rPr>
              <w:t>5t/a</w:t>
            </w:r>
            <w:r>
              <w:rPr>
                <w:rFonts w:hint="eastAsia" w:ascii="Times New Roman" w:hAnsi="Times New Roman" w:cs="Times New Roman"/>
                <w:lang w:val="en-US" w:eastAsia="zh-CN"/>
              </w:rPr>
              <w:t>，挥发分按最大占比计，即</w:t>
            </w:r>
            <w:r>
              <w:rPr>
                <w:rFonts w:hint="eastAsia" w:cs="Times New Roman"/>
                <w:lang w:val="en-US" w:eastAsia="zh-CN"/>
              </w:rPr>
              <w:t>50</w:t>
            </w:r>
            <w:r>
              <w:rPr>
                <w:rFonts w:hint="default" w:ascii="Times New Roman" w:hAnsi="Times New Roman" w:cs="Times New Roman"/>
                <w:lang w:val="en-US" w:eastAsia="zh-CN"/>
              </w:rPr>
              <w:t>%</w:t>
            </w:r>
            <w:r>
              <w:rPr>
                <w:rFonts w:hint="eastAsia" w:ascii="Times New Roman" w:hAnsi="Times New Roman" w:cs="Times New Roman"/>
                <w:lang w:val="en-US" w:eastAsia="zh-CN"/>
              </w:rPr>
              <w:t>；润滑颗粒用量为</w:t>
            </w:r>
            <w:r>
              <w:rPr>
                <w:rFonts w:hint="default" w:ascii="Times New Roman" w:hAnsi="Times New Roman" w:cs="Times New Roman"/>
                <w:lang w:val="en-US" w:eastAsia="zh-CN"/>
              </w:rPr>
              <w:t>0.5t/a</w:t>
            </w:r>
            <w:r>
              <w:rPr>
                <w:rFonts w:hint="eastAsia" w:ascii="Times New Roman" w:hAnsi="Times New Roman" w:cs="Times New Roman"/>
                <w:lang w:val="en-US" w:eastAsia="zh-CN"/>
              </w:rPr>
              <w:t>，石蜡占比</w:t>
            </w:r>
            <w:r>
              <w:rPr>
                <w:rFonts w:hint="eastAsia" w:cs="Times New Roman"/>
                <w:lang w:val="en-US" w:eastAsia="zh-CN"/>
              </w:rPr>
              <w:t>10</w:t>
            </w:r>
            <w:r>
              <w:rPr>
                <w:rFonts w:hint="default" w:ascii="Times New Roman" w:hAnsi="Times New Roman" w:cs="Times New Roman"/>
                <w:lang w:val="en-US" w:eastAsia="zh-CN"/>
              </w:rPr>
              <w:t>0%</w:t>
            </w:r>
            <w:r>
              <w:rPr>
                <w:rFonts w:hint="eastAsia" w:ascii="Times New Roman" w:hAnsi="Times New Roman" w:cs="Times New Roman"/>
                <w:lang w:val="en-US" w:eastAsia="zh-CN"/>
              </w:rPr>
              <w:t>，按挥发分全部挥发计，则非甲烷总烃产生量为</w:t>
            </w:r>
            <w:r>
              <w:rPr>
                <w:rFonts w:hint="eastAsia" w:cs="Times New Roman"/>
                <w:lang w:val="en-US" w:eastAsia="zh-CN"/>
              </w:rPr>
              <w:t>3</w:t>
            </w:r>
            <w:r>
              <w:rPr>
                <w:rFonts w:hint="default" w:ascii="Times New Roman" w:hAnsi="Times New Roman" w:cs="Times New Roman"/>
                <w:lang w:val="en-US" w:eastAsia="zh-CN"/>
              </w:rPr>
              <w:t>t/a</w:t>
            </w:r>
            <w:r>
              <w:rPr>
                <w:rFonts w:hint="eastAsia" w:ascii="Times New Roman" w:hAnsi="Times New Roman" w:cs="Times New Roman"/>
                <w:lang w:val="en-US" w:eastAsia="zh-CN"/>
              </w:rPr>
              <w:t>。</w:t>
            </w:r>
          </w:p>
          <w:p w14:paraId="0D8D213B">
            <w:pPr>
              <w:spacing w:line="480" w:lineRule="exact"/>
              <w:ind w:firstLine="480" w:firstLineChars="200"/>
              <w:jc w:val="left"/>
              <w:rPr>
                <w:rFonts w:hint="eastAsia" w:ascii="Times New Roman" w:hAnsi="Times New Roman" w:cs="Times New Roman"/>
                <w:lang w:val="en-US" w:eastAsia="zh-CN"/>
              </w:rPr>
            </w:pPr>
            <w:r>
              <w:rPr>
                <w:rFonts w:hint="eastAsia" w:ascii="Times New Roman" w:hAnsi="Times New Roman" w:cs="Times New Roman"/>
              </w:rPr>
              <w:t>根据《排放源统计调查产排污核算方法和系数手册》中</w:t>
            </w:r>
            <w:r>
              <w:rPr>
                <w:rFonts w:hint="eastAsia" w:cs="Times New Roman"/>
                <w:lang w:eastAsia="zh-CN"/>
              </w:rPr>
              <w:t>“</w:t>
            </w:r>
            <w:r>
              <w:rPr>
                <w:rFonts w:hint="eastAsia" w:ascii="Times New Roman" w:hAnsi="Times New Roman" w:cs="Times New Roman"/>
              </w:rPr>
              <w:t>33-37，431-434机械行业系数手册</w:t>
            </w:r>
            <w:r>
              <w:rPr>
                <w:rFonts w:hint="eastAsia" w:cs="Times New Roman"/>
                <w:lang w:eastAsia="zh-CN"/>
              </w:rPr>
              <w:t>”</w:t>
            </w:r>
            <w:r>
              <w:rPr>
                <w:rFonts w:hint="eastAsia" w:ascii="Times New Roman" w:hAnsi="Times New Roman" w:cs="Times New Roman"/>
              </w:rPr>
              <w:t>中</w:t>
            </w:r>
            <w:r>
              <w:rPr>
                <w:rFonts w:hint="eastAsia" w:cs="Times New Roman"/>
                <w:lang w:eastAsia="zh-CN"/>
              </w:rPr>
              <w:t>“</w:t>
            </w:r>
            <w:r>
              <w:rPr>
                <w:rFonts w:hint="eastAsia" w:ascii="Times New Roman" w:hAnsi="Times New Roman" w:cs="Times New Roman"/>
              </w:rPr>
              <w:t>01铸造</w:t>
            </w:r>
            <w:r>
              <w:rPr>
                <w:rFonts w:hint="eastAsia" w:cs="Times New Roman"/>
                <w:lang w:eastAsia="zh-CN"/>
              </w:rPr>
              <w:t>”</w:t>
            </w:r>
            <w:r>
              <w:rPr>
                <w:rFonts w:hint="default" w:ascii="Times New Roman" w:hAnsi="Times New Roman" w:cs="Times New Roman"/>
                <w:lang w:val="en-US" w:eastAsia="zh-CN"/>
              </w:rPr>
              <w:t>系数表中</w:t>
            </w:r>
            <w:r>
              <w:rPr>
                <w:rFonts w:hint="eastAsia" w:cs="Times New Roman"/>
                <w:lang w:eastAsia="zh-CN"/>
              </w:rPr>
              <w:t>“</w:t>
            </w:r>
            <w:r>
              <w:rPr>
                <w:rFonts w:hint="eastAsia" w:ascii="Times New Roman" w:hAnsi="Times New Roman" w:cs="Times New Roman"/>
                <w:lang w:val="en-US" w:eastAsia="zh-CN"/>
              </w:rPr>
              <w:t>金属液等、脱模剂的造型/浇注（重力、低压：限金属型，石膏/陶瓷型/石墨型等）</w:t>
            </w:r>
            <w:r>
              <w:rPr>
                <w:rFonts w:hint="eastAsia" w:cs="Times New Roman"/>
                <w:lang w:val="en-US" w:eastAsia="zh-CN"/>
              </w:rPr>
              <w:t>”</w:t>
            </w:r>
            <w:r>
              <w:rPr>
                <w:rFonts w:hint="default" w:ascii="Times New Roman" w:hAnsi="Times New Roman" w:cs="Times New Roman"/>
                <w:lang w:val="en-US" w:eastAsia="zh-CN"/>
              </w:rPr>
              <w:t>的产污系数：颗粒物产生量为</w:t>
            </w:r>
            <w:r>
              <w:rPr>
                <w:rFonts w:hint="eastAsia" w:ascii="Times New Roman" w:hAnsi="Times New Roman" w:cs="Times New Roman"/>
                <w:lang w:val="en-US" w:eastAsia="zh-CN"/>
              </w:rPr>
              <w:t>0.247千</w:t>
            </w:r>
            <w:r>
              <w:rPr>
                <w:rFonts w:hint="default" w:ascii="Times New Roman" w:hAnsi="Times New Roman" w:cs="Times New Roman"/>
                <w:lang w:val="en-US" w:eastAsia="zh-CN"/>
              </w:rPr>
              <w:t>克/吨-产品</w:t>
            </w:r>
            <w:r>
              <w:rPr>
                <w:rFonts w:hint="eastAsia" w:ascii="Times New Roman" w:hAnsi="Times New Roman" w:cs="Times New Roman"/>
              </w:rPr>
              <w:t>，则压铸工段</w:t>
            </w:r>
            <w:r>
              <w:rPr>
                <w:rFonts w:hint="eastAsia" w:ascii="Times New Roman" w:hAnsi="Times New Roman" w:cs="Times New Roman"/>
                <w:lang w:val="en-US" w:eastAsia="zh-CN"/>
              </w:rPr>
              <w:t>颗粒物产生量</w:t>
            </w:r>
            <w:r>
              <w:rPr>
                <w:rFonts w:hint="eastAsia" w:ascii="Times New Roman" w:hAnsi="Times New Roman" w:cs="Times New Roman"/>
              </w:rPr>
              <w:t>为</w:t>
            </w:r>
            <w:r>
              <w:rPr>
                <w:rFonts w:hint="eastAsia" w:ascii="Times New Roman" w:hAnsi="Times New Roman" w:cs="Times New Roman"/>
                <w:lang w:val="en-US" w:eastAsia="zh-CN"/>
              </w:rPr>
              <w:t>0.247</w:t>
            </w:r>
            <w:r>
              <w:rPr>
                <w:rFonts w:hint="eastAsia" w:ascii="Times New Roman" w:hAnsi="Times New Roman" w:cs="Times New Roman"/>
              </w:rPr>
              <w:t>千克/吨*3</w:t>
            </w:r>
            <w:r>
              <w:rPr>
                <w:rFonts w:hint="eastAsia" w:ascii="Times New Roman" w:hAnsi="Times New Roman" w:cs="Times New Roman"/>
                <w:lang w:val="en-US" w:eastAsia="zh-CN"/>
              </w:rPr>
              <w:t>2</w:t>
            </w:r>
            <w:r>
              <w:rPr>
                <w:rFonts w:hint="eastAsia" w:ascii="Times New Roman" w:hAnsi="Times New Roman" w:cs="Times New Roman"/>
              </w:rPr>
              <w:t>00吨=</w:t>
            </w:r>
            <w:r>
              <w:rPr>
                <w:rFonts w:hint="eastAsia" w:ascii="Times New Roman" w:hAnsi="Times New Roman" w:cs="Times New Roman"/>
                <w:lang w:val="en-US" w:eastAsia="zh-CN"/>
              </w:rPr>
              <w:t>0.79</w:t>
            </w:r>
            <w:r>
              <w:rPr>
                <w:rFonts w:hint="eastAsia" w:ascii="Times New Roman" w:hAnsi="Times New Roman" w:cs="Times New Roman"/>
              </w:rPr>
              <w:t>t/a。</w:t>
            </w:r>
          </w:p>
          <w:p w14:paraId="1B4AC115">
            <w:pPr>
              <w:spacing w:line="480" w:lineRule="exact"/>
              <w:ind w:firstLine="480" w:firstLineChars="200"/>
              <w:jc w:val="both"/>
              <w:rPr>
                <w:rFonts w:hint="default" w:ascii="Times New Roman" w:hAnsi="Times New Roman" w:cs="Times New Roman"/>
              </w:rPr>
            </w:pPr>
            <w:r>
              <w:rPr>
                <w:rFonts w:hint="default" w:ascii="Times New Roman" w:hAnsi="Times New Roman" w:cs="Times New Roman"/>
              </w:rPr>
              <w:t>综上，</w:t>
            </w:r>
            <w:r>
              <w:rPr>
                <w:rFonts w:hint="eastAsia" w:ascii="Times New Roman" w:hAnsi="Times New Roman" w:cs="Times New Roman"/>
                <w:lang w:val="en-US" w:eastAsia="zh-CN"/>
              </w:rPr>
              <w:t>本项目熔化和压铸工段颗粒物产生量为3.922t/a、</w:t>
            </w:r>
            <w:r>
              <w:rPr>
                <w:rFonts w:hint="eastAsia" w:ascii="Times New Roman" w:hAnsi="Times New Roman" w:cs="Times New Roman"/>
              </w:rPr>
              <w:t>SO</w:t>
            </w:r>
            <w:r>
              <w:rPr>
                <w:rFonts w:hint="eastAsia" w:ascii="Times New Roman" w:hAnsi="Times New Roman" w:cs="Times New Roman"/>
                <w:vertAlign w:val="subscript"/>
              </w:rPr>
              <w:t>2</w:t>
            </w:r>
            <w:r>
              <w:rPr>
                <w:rFonts w:hint="eastAsia" w:ascii="Times New Roman" w:hAnsi="Times New Roman" w:cs="Times New Roman"/>
                <w:lang w:val="en-US" w:eastAsia="zh-CN"/>
              </w:rPr>
              <w:t>产生量为0.08t/a、NOx产生量为0.374t/a，非甲烷总烃产生量为3t/a</w:t>
            </w:r>
            <w:r>
              <w:rPr>
                <w:rFonts w:hint="eastAsia" w:cs="Times New Roman"/>
                <w:lang w:val="en-US" w:eastAsia="zh-CN"/>
              </w:rPr>
              <w:t>；</w:t>
            </w:r>
            <w:r>
              <w:rPr>
                <w:rFonts w:hint="default" w:ascii="Times New Roman" w:hAnsi="Times New Roman" w:cs="Times New Roman"/>
                <w:lang w:val="en-US" w:eastAsia="zh-CN"/>
              </w:rPr>
              <w:t>熔化</w:t>
            </w:r>
            <w:r>
              <w:rPr>
                <w:rFonts w:hint="default" w:ascii="Times New Roman" w:hAnsi="Times New Roman" w:cs="Times New Roman"/>
              </w:rPr>
              <w:t>废气</w:t>
            </w:r>
            <w:r>
              <w:rPr>
                <w:rFonts w:hint="default" w:ascii="Times New Roman" w:hAnsi="Times New Roman" w:cs="Times New Roman"/>
                <w:lang w:val="en-US" w:eastAsia="zh-CN"/>
              </w:rPr>
              <w:t>、</w:t>
            </w:r>
            <w:r>
              <w:rPr>
                <w:rFonts w:hint="eastAsia" w:cs="Times New Roman"/>
                <w:lang w:val="en-US" w:eastAsia="zh-CN"/>
              </w:rPr>
              <w:t>天然气燃烧尾气和</w:t>
            </w:r>
            <w:r>
              <w:rPr>
                <w:rFonts w:hint="default" w:ascii="Times New Roman" w:hAnsi="Times New Roman" w:cs="Times New Roman"/>
                <w:lang w:val="en-US" w:eastAsia="zh-CN"/>
              </w:rPr>
              <w:t>压铸</w:t>
            </w:r>
            <w:r>
              <w:rPr>
                <w:rFonts w:hint="default" w:ascii="Times New Roman" w:hAnsi="Times New Roman" w:cs="Times New Roman"/>
              </w:rPr>
              <w:t>废气均经集气罩收集进入</w:t>
            </w:r>
            <w:r>
              <w:rPr>
                <w:rFonts w:hint="default" w:ascii="Times New Roman" w:hAnsi="Times New Roman" w:cs="Times New Roman"/>
                <w:lang w:val="en-US" w:eastAsia="zh-CN"/>
              </w:rPr>
              <w:t>水喷淋</w:t>
            </w:r>
            <w:r>
              <w:rPr>
                <w:rFonts w:hint="default" w:ascii="Times New Roman" w:hAnsi="Times New Roman" w:cs="Times New Roman"/>
              </w:rPr>
              <w:t>+</w:t>
            </w:r>
            <w:r>
              <w:rPr>
                <w:rFonts w:hint="eastAsia" w:ascii="Times New Roman" w:hAnsi="Times New Roman" w:cs="Times New Roman"/>
                <w:lang w:val="en-US" w:eastAsia="zh-CN"/>
              </w:rPr>
              <w:t>干式过滤+</w:t>
            </w:r>
            <w:r>
              <w:rPr>
                <w:rFonts w:hint="default" w:ascii="Times New Roman" w:hAnsi="Times New Roman" w:cs="Times New Roman"/>
              </w:rPr>
              <w:t>二级活性炭吸附装置</w:t>
            </w:r>
            <w:r>
              <w:rPr>
                <w:rFonts w:hint="eastAsia" w:ascii="Times New Roman" w:hAnsi="Times New Roman" w:cs="Times New Roman"/>
                <w:lang w:eastAsia="zh-CN"/>
              </w:rPr>
              <w:t>（</w:t>
            </w:r>
            <w:r>
              <w:rPr>
                <w:rFonts w:hint="eastAsia" w:ascii="Times New Roman" w:hAnsi="Times New Roman" w:cs="Times New Roman"/>
                <w:lang w:val="en-US" w:eastAsia="zh-CN"/>
              </w:rPr>
              <w:t>TA001</w:t>
            </w:r>
            <w:r>
              <w:rPr>
                <w:rFonts w:hint="eastAsia" w:ascii="Times New Roman" w:hAnsi="Times New Roman" w:cs="Times New Roman"/>
                <w:lang w:eastAsia="zh-CN"/>
              </w:rPr>
              <w:t>）</w:t>
            </w:r>
            <w:r>
              <w:rPr>
                <w:rFonts w:hint="default" w:ascii="Times New Roman" w:hAnsi="Times New Roman" w:cs="Times New Roman"/>
              </w:rPr>
              <w:t>处理，</w:t>
            </w:r>
            <w:r>
              <w:rPr>
                <w:rFonts w:hint="eastAsia" w:ascii="Times New Roman" w:hAnsi="Times New Roman" w:cs="Times New Roman"/>
                <w:lang w:val="en-US" w:eastAsia="zh-CN"/>
              </w:rPr>
              <w:t>处理后的</w:t>
            </w:r>
            <w:r>
              <w:rPr>
                <w:rFonts w:hint="default" w:ascii="Times New Roman" w:hAnsi="Times New Roman" w:cs="Times New Roman"/>
              </w:rPr>
              <w:t>达标尾气</w:t>
            </w:r>
            <w:r>
              <w:rPr>
                <w:rFonts w:hint="default" w:ascii="Times New Roman" w:hAnsi="Times New Roman" w:cs="Times New Roman"/>
                <w:lang w:val="en-US" w:eastAsia="zh-CN"/>
              </w:rPr>
              <w:t>一并</w:t>
            </w:r>
            <w:r>
              <w:rPr>
                <w:rFonts w:hint="default" w:ascii="Times New Roman" w:hAnsi="Times New Roman" w:cs="Times New Roman"/>
              </w:rPr>
              <w:t>通过15m高</w:t>
            </w:r>
            <w:r>
              <w:rPr>
                <w:rFonts w:hint="eastAsia" w:ascii="Times New Roman" w:hAnsi="Times New Roman" w:cs="Times New Roman"/>
                <w:lang w:val="en-US" w:eastAsia="zh-CN"/>
              </w:rPr>
              <w:t>1#</w:t>
            </w:r>
            <w:r>
              <w:rPr>
                <w:rFonts w:hint="default" w:ascii="Times New Roman" w:hAnsi="Times New Roman" w:cs="Times New Roman"/>
              </w:rPr>
              <w:t>排气筒</w:t>
            </w:r>
            <w:r>
              <w:rPr>
                <w:rFonts w:hint="default" w:ascii="Times New Roman" w:hAnsi="Times New Roman" w:cs="Times New Roman"/>
                <w:lang w:eastAsia="zh-CN"/>
              </w:rPr>
              <w:t>（</w:t>
            </w:r>
            <w:r>
              <w:rPr>
                <w:rFonts w:hint="default" w:ascii="Times New Roman" w:hAnsi="Times New Roman" w:cs="Times New Roman"/>
                <w:lang w:val="en-US" w:eastAsia="zh-CN"/>
              </w:rPr>
              <w:t>DA001</w:t>
            </w:r>
            <w:r>
              <w:rPr>
                <w:rFonts w:hint="default" w:ascii="Times New Roman" w:hAnsi="Times New Roman" w:cs="Times New Roman"/>
                <w:lang w:eastAsia="zh-CN"/>
              </w:rPr>
              <w:t>）</w:t>
            </w:r>
            <w:r>
              <w:rPr>
                <w:rFonts w:hint="default" w:ascii="Times New Roman" w:hAnsi="Times New Roman" w:cs="Times New Roman"/>
              </w:rPr>
              <w:t>排放。</w:t>
            </w:r>
          </w:p>
          <w:p w14:paraId="6635AB50">
            <w:pPr>
              <w:spacing w:line="480" w:lineRule="exact"/>
              <w:ind w:firstLine="480" w:firstLineChars="200"/>
              <w:jc w:val="both"/>
              <w:rPr>
                <w:rFonts w:hint="eastAsia" w:ascii="Times New Roman" w:hAnsi="Times New Roman" w:cs="Times New Roman"/>
              </w:rPr>
            </w:pPr>
            <w:r>
              <w:rPr>
                <w:rFonts w:hint="default" w:ascii="Times New Roman" w:hAnsi="Times New Roman" w:cs="Times New Roman"/>
              </w:rPr>
              <w:t>集气罩</w:t>
            </w:r>
            <w:r>
              <w:rPr>
                <w:rFonts w:hint="default" w:ascii="Times New Roman" w:hAnsi="Times New Roman" w:cs="Times New Roman"/>
                <w:lang w:val="en-US" w:eastAsia="zh-CN"/>
              </w:rPr>
              <w:t>收集效率</w:t>
            </w:r>
            <w:r>
              <w:rPr>
                <w:rFonts w:hint="default" w:ascii="Times New Roman" w:hAnsi="Times New Roman" w:cs="Times New Roman"/>
              </w:rPr>
              <w:t>取90%，</w:t>
            </w:r>
            <w:r>
              <w:rPr>
                <w:rFonts w:hint="default" w:ascii="Times New Roman" w:hAnsi="Times New Roman" w:cs="Times New Roman"/>
                <w:lang w:val="en-US" w:eastAsia="zh-CN"/>
              </w:rPr>
              <w:t>废气</w:t>
            </w:r>
            <w:r>
              <w:rPr>
                <w:rFonts w:hint="eastAsia" w:ascii="Times New Roman" w:hAnsi="Times New Roman" w:cs="Times New Roman"/>
                <w:lang w:val="en-US" w:eastAsia="zh-CN"/>
              </w:rPr>
              <w:t>处理</w:t>
            </w:r>
            <w:r>
              <w:rPr>
                <w:rFonts w:hint="default" w:ascii="Times New Roman" w:hAnsi="Times New Roman" w:cs="Times New Roman"/>
                <w:lang w:val="en-US" w:eastAsia="zh-CN"/>
              </w:rPr>
              <w:t>设施</w:t>
            </w:r>
            <w:r>
              <w:rPr>
                <w:rFonts w:hint="eastAsia" w:ascii="Times New Roman" w:hAnsi="Times New Roman" w:cs="Times New Roman"/>
                <w:lang w:val="en-US" w:eastAsia="zh-CN"/>
              </w:rPr>
              <w:t>（TA001）</w:t>
            </w:r>
            <w:r>
              <w:rPr>
                <w:rFonts w:hint="default" w:ascii="Times New Roman" w:hAnsi="Times New Roman" w:cs="Times New Roman"/>
                <w:lang w:val="en-US" w:eastAsia="zh-CN"/>
              </w:rPr>
              <w:t>对颗粒物</w:t>
            </w:r>
            <w:r>
              <w:rPr>
                <w:rFonts w:hint="eastAsia" w:ascii="Times New Roman" w:hAnsi="Times New Roman" w:cs="Times New Roman"/>
                <w:lang w:val="en-US" w:eastAsia="zh-CN"/>
              </w:rPr>
              <w:t>的</w:t>
            </w:r>
            <w:r>
              <w:rPr>
                <w:rFonts w:hint="default" w:ascii="Times New Roman" w:hAnsi="Times New Roman" w:cs="Times New Roman"/>
                <w:lang w:val="en-US" w:eastAsia="zh-CN"/>
              </w:rPr>
              <w:t>去除</w:t>
            </w:r>
            <w:r>
              <w:rPr>
                <w:rFonts w:hint="default" w:ascii="Times New Roman" w:hAnsi="Times New Roman" w:cs="Times New Roman"/>
              </w:rPr>
              <w:t>效率</w:t>
            </w:r>
            <w:r>
              <w:rPr>
                <w:rFonts w:hint="default" w:ascii="Times New Roman" w:hAnsi="Times New Roman" w:cs="Times New Roman"/>
                <w:lang w:val="en-US" w:eastAsia="zh-CN"/>
              </w:rPr>
              <w:t>均</w:t>
            </w:r>
            <w:r>
              <w:rPr>
                <w:rFonts w:hint="eastAsia" w:ascii="Times New Roman" w:hAnsi="Times New Roman" w:cs="Times New Roman"/>
                <w:lang w:val="en-US" w:eastAsia="zh-CN"/>
              </w:rPr>
              <w:t>取90</w:t>
            </w:r>
            <w:r>
              <w:rPr>
                <w:rFonts w:hint="default" w:ascii="Times New Roman" w:hAnsi="Times New Roman" w:cs="Times New Roman"/>
              </w:rPr>
              <w:t>%</w:t>
            </w:r>
            <w:r>
              <w:rPr>
                <w:rFonts w:hint="default" w:ascii="Times New Roman" w:hAnsi="Times New Roman" w:cs="Times New Roman"/>
                <w:lang w:val="en-US" w:eastAsia="zh-CN"/>
              </w:rPr>
              <w:t>、对非甲烷总烃</w:t>
            </w:r>
            <w:r>
              <w:rPr>
                <w:rFonts w:hint="eastAsia" w:ascii="Times New Roman" w:hAnsi="Times New Roman" w:cs="Times New Roman"/>
                <w:lang w:val="en-US" w:eastAsia="zh-CN"/>
              </w:rPr>
              <w:t>的</w:t>
            </w:r>
            <w:r>
              <w:rPr>
                <w:rFonts w:hint="default" w:ascii="Times New Roman" w:hAnsi="Times New Roman" w:cs="Times New Roman"/>
                <w:lang w:val="en-US" w:eastAsia="zh-CN"/>
              </w:rPr>
              <w:t>去除</w:t>
            </w:r>
            <w:r>
              <w:rPr>
                <w:rFonts w:hint="default" w:ascii="Times New Roman" w:hAnsi="Times New Roman" w:cs="Times New Roman"/>
              </w:rPr>
              <w:t>效率</w:t>
            </w:r>
            <w:r>
              <w:rPr>
                <w:rFonts w:hint="eastAsia" w:ascii="Times New Roman" w:hAnsi="Times New Roman" w:cs="Times New Roman"/>
                <w:lang w:val="en-US" w:eastAsia="zh-CN"/>
              </w:rPr>
              <w:t>取9</w:t>
            </w:r>
            <w:r>
              <w:rPr>
                <w:rFonts w:hint="default" w:ascii="Times New Roman" w:hAnsi="Times New Roman" w:cs="Times New Roman"/>
              </w:rPr>
              <w:t>0%，</w:t>
            </w:r>
            <w:r>
              <w:rPr>
                <w:rFonts w:hint="default" w:ascii="Times New Roman" w:hAnsi="Times New Roman" w:cs="Times New Roman"/>
                <w:lang w:val="en-US" w:eastAsia="zh-CN"/>
              </w:rPr>
              <w:t>则熔化、压铸</w:t>
            </w:r>
            <w:r>
              <w:rPr>
                <w:rFonts w:hint="eastAsia" w:ascii="Times New Roman" w:hAnsi="Times New Roman" w:cs="Times New Roman"/>
                <w:lang w:val="en-US" w:eastAsia="zh-CN"/>
              </w:rPr>
              <w:t>工段</w:t>
            </w:r>
            <w:r>
              <w:rPr>
                <w:rFonts w:hint="default" w:ascii="Times New Roman" w:hAnsi="Times New Roman" w:cs="Times New Roman"/>
                <w:lang w:val="en-US" w:eastAsia="zh-CN"/>
              </w:rPr>
              <w:t>产生的颗粒物</w:t>
            </w:r>
            <w:r>
              <w:rPr>
                <w:rFonts w:hint="eastAsia" w:ascii="Times New Roman" w:hAnsi="Times New Roman" w:cs="Times New Roman"/>
                <w:lang w:val="en-US" w:eastAsia="zh-CN"/>
              </w:rPr>
              <w:t>有组织</w:t>
            </w:r>
            <w:r>
              <w:rPr>
                <w:rFonts w:hint="default" w:ascii="Times New Roman" w:hAnsi="Times New Roman" w:cs="Times New Roman"/>
                <w:lang w:val="en-US" w:eastAsia="zh-CN"/>
              </w:rPr>
              <w:t>排放量为</w:t>
            </w:r>
            <w:r>
              <w:rPr>
                <w:rFonts w:hint="eastAsia" w:ascii="Times New Roman" w:hAnsi="Times New Roman" w:cs="Times New Roman"/>
                <w:lang w:val="en-US" w:eastAsia="zh-CN"/>
              </w:rPr>
              <w:t>[0.114+（3.018+0.79）*0.9]*0.1=0.354</w:t>
            </w:r>
            <w:r>
              <w:rPr>
                <w:rFonts w:hint="eastAsia" w:cs="Times New Roman"/>
                <w:lang w:val="en-US" w:eastAsia="zh-CN"/>
              </w:rPr>
              <w:t>t/a</w:t>
            </w:r>
            <w:r>
              <w:rPr>
                <w:rFonts w:hint="default" w:ascii="Times New Roman" w:hAnsi="Times New Roman" w:cs="Times New Roman"/>
                <w:lang w:val="en-US" w:eastAsia="zh-CN"/>
              </w:rPr>
              <w:t>，挥发性有机物（以非甲烷总烃计）</w:t>
            </w:r>
            <w:r>
              <w:rPr>
                <w:rFonts w:hint="eastAsia" w:ascii="Times New Roman" w:hAnsi="Times New Roman" w:cs="Times New Roman"/>
                <w:lang w:val="en-US" w:eastAsia="zh-CN"/>
              </w:rPr>
              <w:t>有组织</w:t>
            </w:r>
            <w:r>
              <w:rPr>
                <w:rFonts w:hint="default" w:ascii="Times New Roman" w:hAnsi="Times New Roman" w:cs="Times New Roman"/>
                <w:lang w:val="en-US" w:eastAsia="zh-CN"/>
              </w:rPr>
              <w:t>排放量</w:t>
            </w:r>
            <w:r>
              <w:rPr>
                <w:rFonts w:hint="eastAsia" w:ascii="Times New Roman" w:hAnsi="Times New Roman" w:cs="Times New Roman"/>
                <w:lang w:val="en-US" w:eastAsia="zh-CN"/>
              </w:rPr>
              <w:t>为</w:t>
            </w:r>
            <w:r>
              <w:rPr>
                <w:rFonts w:hint="default" w:ascii="Times New Roman" w:hAnsi="Times New Roman" w:cs="Times New Roman"/>
                <w:lang w:val="en-US" w:eastAsia="zh-CN"/>
              </w:rPr>
              <w:t>0.</w:t>
            </w:r>
            <w:r>
              <w:rPr>
                <w:rFonts w:hint="eastAsia" w:ascii="Times New Roman" w:hAnsi="Times New Roman" w:cs="Times New Roman"/>
                <w:lang w:val="en-US" w:eastAsia="zh-CN"/>
              </w:rPr>
              <w:t>27</w:t>
            </w:r>
            <w:r>
              <w:rPr>
                <w:rFonts w:hint="default" w:ascii="Times New Roman" w:hAnsi="Times New Roman" w:cs="Times New Roman"/>
                <w:lang w:val="en-US" w:eastAsia="zh-CN"/>
              </w:rPr>
              <w:t>t/a</w:t>
            </w:r>
            <w:r>
              <w:rPr>
                <w:rFonts w:hint="default" w:ascii="Times New Roman" w:hAnsi="Times New Roman" w:cs="Times New Roman"/>
                <w:lang w:eastAsia="zh-CN"/>
              </w:rPr>
              <w:t>，</w:t>
            </w:r>
            <w:r>
              <w:rPr>
                <w:rFonts w:hint="default" w:ascii="Times New Roman" w:hAnsi="Times New Roman" w:cs="Times New Roman"/>
                <w:lang w:val="en-US" w:eastAsia="zh-CN"/>
              </w:rPr>
              <w:t>二氧化硫有组织排放量0.</w:t>
            </w:r>
            <w:r>
              <w:rPr>
                <w:rFonts w:hint="eastAsia" w:ascii="Times New Roman" w:hAnsi="Times New Roman" w:cs="Times New Roman"/>
                <w:lang w:val="en-US" w:eastAsia="zh-CN"/>
              </w:rPr>
              <w:t>0</w:t>
            </w:r>
            <w:r>
              <w:rPr>
                <w:rFonts w:hint="eastAsia" w:cs="Times New Roman"/>
                <w:lang w:val="en-US" w:eastAsia="zh-CN"/>
              </w:rPr>
              <w:t>8</w:t>
            </w:r>
            <w:r>
              <w:rPr>
                <w:rFonts w:hint="default" w:ascii="Times New Roman" w:hAnsi="Times New Roman" w:cs="Times New Roman"/>
                <w:lang w:val="en-US" w:eastAsia="zh-CN"/>
              </w:rPr>
              <w:t>t/a，氮氧化物有组织排放量0.</w:t>
            </w:r>
            <w:r>
              <w:rPr>
                <w:rFonts w:hint="eastAsia" w:ascii="Times New Roman" w:hAnsi="Times New Roman" w:cs="Times New Roman"/>
                <w:lang w:val="en-US" w:eastAsia="zh-CN"/>
              </w:rPr>
              <w:t>3</w:t>
            </w:r>
            <w:r>
              <w:rPr>
                <w:rFonts w:hint="eastAsia" w:cs="Times New Roman"/>
                <w:lang w:val="en-US" w:eastAsia="zh-CN"/>
              </w:rPr>
              <w:t>74</w:t>
            </w:r>
            <w:r>
              <w:rPr>
                <w:rFonts w:hint="default" w:ascii="Times New Roman" w:hAnsi="Times New Roman" w:cs="Times New Roman"/>
                <w:lang w:val="en-US" w:eastAsia="zh-CN"/>
              </w:rPr>
              <w:t>t/a</w:t>
            </w:r>
            <w:r>
              <w:rPr>
                <w:rFonts w:hint="default" w:ascii="Times New Roman" w:hAnsi="Times New Roman" w:cs="Times New Roman"/>
              </w:rPr>
              <w:t>。</w:t>
            </w:r>
          </w:p>
          <w:p w14:paraId="6AE07689">
            <w:pPr>
              <w:spacing w:line="480" w:lineRule="exact"/>
              <w:ind w:firstLine="482" w:firstLineChars="200"/>
              <w:jc w:val="left"/>
              <w:rPr>
                <w:rFonts w:hint="eastAsia" w:ascii="Times New Roman" w:hAnsi="Times New Roman" w:cs="Times New Roman"/>
                <w:lang w:val="en-US" w:eastAsia="zh-CN"/>
              </w:rPr>
            </w:pPr>
            <w:r>
              <w:rPr>
                <w:rFonts w:hint="eastAsia" w:ascii="Times New Roman" w:hAnsi="Times New Roman" w:cs="Times New Roman"/>
                <w:b/>
                <w:bCs/>
              </w:rPr>
              <w:t>1.1.</w:t>
            </w:r>
            <w:r>
              <w:rPr>
                <w:rFonts w:hint="eastAsia" w:ascii="Times New Roman" w:hAnsi="Times New Roman" w:cs="Times New Roman"/>
                <w:b/>
                <w:bCs/>
                <w:lang w:val="en-US" w:eastAsia="zh-CN"/>
              </w:rPr>
              <w:t>2无</w:t>
            </w:r>
            <w:r>
              <w:rPr>
                <w:rFonts w:hint="eastAsia" w:ascii="Times New Roman" w:hAnsi="Times New Roman" w:cs="Times New Roman"/>
                <w:b/>
                <w:bCs/>
              </w:rPr>
              <w:t>组织废气</w:t>
            </w:r>
          </w:p>
          <w:p w14:paraId="658239FC">
            <w:pPr>
              <w:spacing w:line="480" w:lineRule="exact"/>
              <w:ind w:firstLine="48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本项目未收集的熔化废气、压铸废气在生产车间无组织排放，颗粒物无组织排放量0.3</w:t>
            </w:r>
            <w:r>
              <w:rPr>
                <w:rFonts w:hint="eastAsia" w:cs="Times New Roman"/>
                <w:lang w:val="en-US" w:eastAsia="zh-CN"/>
              </w:rPr>
              <w:t>81</w:t>
            </w:r>
            <w:r>
              <w:rPr>
                <w:rFonts w:hint="eastAsia" w:ascii="Times New Roman" w:hAnsi="Times New Roman" w:cs="Times New Roman"/>
                <w:lang w:val="en-US" w:eastAsia="zh-CN"/>
              </w:rPr>
              <w:t>t/a，</w:t>
            </w:r>
            <w:r>
              <w:rPr>
                <w:rFonts w:hint="default" w:ascii="Times New Roman" w:hAnsi="Times New Roman" w:cs="Times New Roman"/>
                <w:lang w:val="en-US" w:eastAsia="zh-CN"/>
              </w:rPr>
              <w:t>挥发性有机物（以非甲烷总烃计）</w:t>
            </w:r>
            <w:r>
              <w:rPr>
                <w:rFonts w:hint="eastAsia" w:ascii="Times New Roman" w:hAnsi="Times New Roman" w:cs="Times New Roman"/>
                <w:lang w:val="en-US" w:eastAsia="zh-CN"/>
              </w:rPr>
              <w:t>无组织排放量0.</w:t>
            </w:r>
            <w:r>
              <w:rPr>
                <w:rFonts w:hint="eastAsia" w:cs="Times New Roman"/>
                <w:lang w:val="en-US" w:eastAsia="zh-CN"/>
              </w:rPr>
              <w:t>3</w:t>
            </w:r>
            <w:r>
              <w:rPr>
                <w:rFonts w:hint="eastAsia" w:ascii="Times New Roman" w:hAnsi="Times New Roman" w:cs="Times New Roman"/>
                <w:lang w:val="en-US" w:eastAsia="zh-CN"/>
              </w:rPr>
              <w:t>t/a。</w:t>
            </w:r>
          </w:p>
          <w:p w14:paraId="25688DFF">
            <w:pPr>
              <w:spacing w:line="480" w:lineRule="exact"/>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本项目</w:t>
            </w:r>
            <w:r>
              <w:rPr>
                <w:rFonts w:hint="eastAsia" w:ascii="Times New Roman" w:hAnsi="Times New Roman" w:cs="Times New Roman"/>
                <w:lang w:val="en-US" w:eastAsia="zh-CN"/>
              </w:rPr>
              <w:t>有组织</w:t>
            </w:r>
            <w:r>
              <w:rPr>
                <w:rFonts w:hint="default" w:ascii="Times New Roman" w:hAnsi="Times New Roman" w:cs="Times New Roman"/>
                <w:lang w:val="en-US" w:eastAsia="zh-CN"/>
              </w:rPr>
              <w:t>废气</w:t>
            </w:r>
            <w:r>
              <w:rPr>
                <w:rFonts w:hint="eastAsia" w:ascii="Times New Roman" w:hAnsi="Times New Roman" w:cs="Times New Roman"/>
                <w:lang w:val="en-US" w:eastAsia="zh-CN"/>
              </w:rPr>
              <w:t>产生、</w:t>
            </w:r>
            <w:r>
              <w:rPr>
                <w:rFonts w:hint="default" w:ascii="Times New Roman" w:hAnsi="Times New Roman" w:cs="Times New Roman"/>
                <w:lang w:val="en-US" w:eastAsia="zh-CN"/>
              </w:rPr>
              <w:t>排放情况见表</w:t>
            </w:r>
            <w:r>
              <w:rPr>
                <w:rFonts w:hint="eastAsia" w:ascii="Times New Roman" w:hAnsi="Times New Roman" w:cs="Times New Roman"/>
                <w:lang w:val="en-US" w:eastAsia="zh-CN"/>
              </w:rPr>
              <w:t>4-2，无组织</w:t>
            </w:r>
            <w:r>
              <w:rPr>
                <w:rFonts w:hint="default" w:ascii="Times New Roman" w:hAnsi="Times New Roman" w:cs="Times New Roman"/>
                <w:lang w:val="en-US" w:eastAsia="zh-CN"/>
              </w:rPr>
              <w:t>废气排放情况见表</w:t>
            </w:r>
            <w:r>
              <w:rPr>
                <w:rFonts w:hint="eastAsia" w:ascii="Times New Roman" w:hAnsi="Times New Roman" w:cs="Times New Roman"/>
                <w:lang w:val="en-US" w:eastAsia="zh-CN"/>
              </w:rPr>
              <w:t>4-3</w:t>
            </w:r>
            <w:r>
              <w:rPr>
                <w:rFonts w:hint="default" w:ascii="Times New Roman" w:hAnsi="Times New Roman" w:cs="Times New Roman"/>
                <w:lang w:val="en-US" w:eastAsia="zh-CN"/>
              </w:rPr>
              <w:t>。</w:t>
            </w:r>
          </w:p>
          <w:p w14:paraId="3BFBECB0">
            <w:pPr>
              <w:spacing w:line="480" w:lineRule="exact"/>
              <w:ind w:firstLine="480" w:firstLineChars="200"/>
              <w:jc w:val="left"/>
              <w:rPr>
                <w:rFonts w:hint="eastAsia" w:ascii="Times New Roman" w:hAnsi="Times New Roman" w:cs="Times New Roman"/>
                <w:lang w:val="en-US" w:eastAsia="zh-CN"/>
              </w:rPr>
            </w:pPr>
          </w:p>
          <w:p w14:paraId="35CAF704">
            <w:pPr>
              <w:spacing w:line="480" w:lineRule="exact"/>
              <w:ind w:firstLine="480" w:firstLineChars="200"/>
              <w:jc w:val="left"/>
              <w:rPr>
                <w:rFonts w:hint="eastAsia" w:ascii="Times New Roman" w:hAnsi="Times New Roman" w:cs="Times New Roman"/>
                <w:lang w:val="en-US" w:eastAsia="zh-CN"/>
              </w:rPr>
            </w:pPr>
          </w:p>
          <w:p w14:paraId="2A59103E">
            <w:pPr>
              <w:spacing w:line="480" w:lineRule="exact"/>
              <w:ind w:firstLine="480" w:firstLineChars="200"/>
              <w:jc w:val="left"/>
              <w:rPr>
                <w:rFonts w:hint="eastAsia" w:ascii="Times New Roman" w:hAnsi="Times New Roman" w:cs="Times New Roman"/>
                <w:lang w:val="en-US" w:eastAsia="zh-CN"/>
              </w:rPr>
            </w:pPr>
          </w:p>
          <w:p w14:paraId="574B0568">
            <w:pPr>
              <w:spacing w:line="480" w:lineRule="exact"/>
              <w:jc w:val="left"/>
              <w:rPr>
                <w:rFonts w:hint="default" w:ascii="Times New Roman" w:hAnsi="Times New Roman" w:cs="Times New Roman"/>
                <w:lang w:val="en-US" w:eastAsia="zh-CN"/>
              </w:rPr>
            </w:pPr>
          </w:p>
        </w:tc>
      </w:tr>
    </w:tbl>
    <w:p w14:paraId="404665E0">
      <w:pPr>
        <w:adjustRightInd w:val="0"/>
        <w:snapToGrid w:val="0"/>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789"/>
      </w:tblGrid>
      <w:tr w14:paraId="35EF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3" w:hRule="atLeast"/>
        </w:trPr>
        <w:tc>
          <w:tcPr>
            <w:tcW w:w="439" w:type="dxa"/>
          </w:tcPr>
          <w:p w14:paraId="553A82D7">
            <w:pPr>
              <w:keepLines/>
              <w:adjustRightInd w:val="0"/>
              <w:snapToGrid w:val="0"/>
              <w:spacing w:line="480" w:lineRule="exact"/>
              <w:ind w:firstLine="480" w:firstLineChars="200"/>
              <w:rPr>
                <w:rFonts w:hint="eastAsia"/>
              </w:rPr>
            </w:pPr>
          </w:p>
        </w:tc>
        <w:tc>
          <w:tcPr>
            <w:tcW w:w="12789" w:type="dxa"/>
          </w:tcPr>
          <w:p w14:paraId="7D8C88A3">
            <w:pPr>
              <w:spacing w:line="240" w:lineRule="auto"/>
              <w:jc w:val="center"/>
              <w:rPr>
                <w:b/>
                <w:bCs/>
                <w:sz w:val="21"/>
                <w:szCs w:val="21"/>
              </w:rPr>
            </w:pPr>
            <w:r>
              <w:rPr>
                <w:b/>
                <w:bCs/>
                <w:sz w:val="21"/>
                <w:szCs w:val="21"/>
              </w:rPr>
              <w:t>表</w:t>
            </w:r>
            <w:r>
              <w:rPr>
                <w:rFonts w:hint="eastAsia"/>
                <w:b/>
                <w:bCs/>
                <w:sz w:val="21"/>
                <w:szCs w:val="21"/>
              </w:rPr>
              <w:t xml:space="preserve">4-2  </w:t>
            </w:r>
            <w:r>
              <w:rPr>
                <w:b/>
                <w:bCs/>
                <w:sz w:val="21"/>
                <w:szCs w:val="21"/>
              </w:rPr>
              <w:t>本项目有组织废气产生与排放情况</w:t>
            </w:r>
            <w:r>
              <w:rPr>
                <w:rFonts w:hint="eastAsia"/>
                <w:b/>
                <w:bCs/>
                <w:sz w:val="21"/>
                <w:szCs w:val="21"/>
              </w:rPr>
              <w:t>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762"/>
              <w:gridCol w:w="930"/>
              <w:gridCol w:w="1018"/>
              <w:gridCol w:w="880"/>
              <w:gridCol w:w="958"/>
              <w:gridCol w:w="885"/>
              <w:gridCol w:w="2057"/>
              <w:gridCol w:w="739"/>
              <w:gridCol w:w="908"/>
              <w:gridCol w:w="837"/>
              <w:gridCol w:w="1008"/>
              <w:gridCol w:w="910"/>
            </w:tblGrid>
            <w:tr w14:paraId="7C63C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267" w:type="pct"/>
                  <w:vMerge w:val="restart"/>
                  <w:vAlign w:val="center"/>
                </w:tcPr>
                <w:p w14:paraId="75E68C36">
                  <w:pPr>
                    <w:spacing w:line="240" w:lineRule="auto"/>
                    <w:jc w:val="center"/>
                    <w:rPr>
                      <w:b/>
                      <w:bCs/>
                      <w:sz w:val="21"/>
                      <w:szCs w:val="21"/>
                    </w:rPr>
                  </w:pPr>
                  <w:r>
                    <w:rPr>
                      <w:b/>
                      <w:bCs/>
                      <w:sz w:val="21"/>
                      <w:szCs w:val="21"/>
                    </w:rPr>
                    <w:t>排气筒编号</w:t>
                  </w:r>
                </w:p>
              </w:tc>
              <w:tc>
                <w:tcPr>
                  <w:tcW w:w="303" w:type="pct"/>
                  <w:vMerge w:val="restart"/>
                  <w:vAlign w:val="center"/>
                </w:tcPr>
                <w:p w14:paraId="2B6D52E2">
                  <w:pPr>
                    <w:spacing w:line="240" w:lineRule="auto"/>
                    <w:jc w:val="center"/>
                    <w:rPr>
                      <w:b/>
                      <w:bCs/>
                      <w:sz w:val="21"/>
                      <w:szCs w:val="21"/>
                    </w:rPr>
                  </w:pPr>
                  <w:r>
                    <w:rPr>
                      <w:b/>
                      <w:bCs/>
                      <w:sz w:val="21"/>
                      <w:szCs w:val="21"/>
                    </w:rPr>
                    <w:t>排气量</w:t>
                  </w:r>
                </w:p>
                <w:p w14:paraId="10598E9C">
                  <w:pPr>
                    <w:spacing w:line="240" w:lineRule="auto"/>
                    <w:jc w:val="center"/>
                    <w:rPr>
                      <w:b/>
                      <w:bCs/>
                      <w:sz w:val="21"/>
                      <w:szCs w:val="21"/>
                    </w:rPr>
                  </w:pPr>
                  <w:r>
                    <w:rPr>
                      <w:b/>
                      <w:bCs/>
                      <w:sz w:val="21"/>
                      <w:szCs w:val="21"/>
                    </w:rPr>
                    <w:t>m</w:t>
                  </w:r>
                  <w:r>
                    <w:rPr>
                      <w:b/>
                      <w:bCs/>
                      <w:sz w:val="21"/>
                      <w:szCs w:val="21"/>
                      <w:vertAlign w:val="superscript"/>
                    </w:rPr>
                    <w:t>3</w:t>
                  </w:r>
                  <w:r>
                    <w:rPr>
                      <w:b/>
                      <w:bCs/>
                      <w:sz w:val="21"/>
                      <w:szCs w:val="21"/>
                    </w:rPr>
                    <w:t>/h</w:t>
                  </w:r>
                </w:p>
              </w:tc>
              <w:tc>
                <w:tcPr>
                  <w:tcW w:w="370" w:type="pct"/>
                  <w:vMerge w:val="restart"/>
                  <w:vAlign w:val="center"/>
                </w:tcPr>
                <w:p w14:paraId="3140C6E9">
                  <w:pPr>
                    <w:spacing w:line="240" w:lineRule="auto"/>
                    <w:jc w:val="center"/>
                    <w:rPr>
                      <w:b/>
                      <w:bCs/>
                      <w:sz w:val="21"/>
                      <w:szCs w:val="21"/>
                    </w:rPr>
                  </w:pPr>
                  <w:r>
                    <w:rPr>
                      <w:b/>
                      <w:bCs/>
                      <w:sz w:val="21"/>
                      <w:szCs w:val="21"/>
                    </w:rPr>
                    <w:t>污染</w:t>
                  </w:r>
                </w:p>
                <w:p w14:paraId="6FC6B62C">
                  <w:pPr>
                    <w:spacing w:line="240" w:lineRule="auto"/>
                    <w:jc w:val="center"/>
                    <w:rPr>
                      <w:rFonts w:hint="eastAsia" w:eastAsia="仿宋"/>
                      <w:b/>
                      <w:bCs/>
                      <w:sz w:val="21"/>
                      <w:szCs w:val="21"/>
                      <w:lang w:eastAsia="zh-CN"/>
                    </w:rPr>
                  </w:pPr>
                  <w:r>
                    <w:rPr>
                      <w:rFonts w:hint="eastAsia"/>
                      <w:b/>
                      <w:bCs/>
                      <w:sz w:val="21"/>
                      <w:szCs w:val="21"/>
                      <w:lang w:eastAsia="zh-CN"/>
                    </w:rPr>
                    <w:t>工段</w:t>
                  </w:r>
                </w:p>
              </w:tc>
              <w:tc>
                <w:tcPr>
                  <w:tcW w:w="405" w:type="pct"/>
                  <w:vMerge w:val="restart"/>
                  <w:vAlign w:val="center"/>
                </w:tcPr>
                <w:p w14:paraId="452366ED">
                  <w:pPr>
                    <w:spacing w:line="240" w:lineRule="auto"/>
                    <w:jc w:val="center"/>
                    <w:rPr>
                      <w:b/>
                      <w:bCs/>
                      <w:sz w:val="21"/>
                      <w:szCs w:val="21"/>
                    </w:rPr>
                  </w:pPr>
                  <w:r>
                    <w:rPr>
                      <w:b/>
                      <w:bCs/>
                      <w:sz w:val="21"/>
                      <w:szCs w:val="21"/>
                    </w:rPr>
                    <w:t>污染物名称</w:t>
                  </w:r>
                </w:p>
              </w:tc>
              <w:tc>
                <w:tcPr>
                  <w:tcW w:w="1083" w:type="pct"/>
                  <w:gridSpan w:val="3"/>
                  <w:vAlign w:val="center"/>
                </w:tcPr>
                <w:p w14:paraId="1803BD5A">
                  <w:pPr>
                    <w:spacing w:line="240" w:lineRule="auto"/>
                    <w:jc w:val="center"/>
                    <w:rPr>
                      <w:b/>
                      <w:bCs/>
                      <w:sz w:val="21"/>
                      <w:szCs w:val="21"/>
                    </w:rPr>
                  </w:pPr>
                  <w:r>
                    <w:rPr>
                      <w:b/>
                      <w:bCs/>
                      <w:sz w:val="21"/>
                      <w:szCs w:val="21"/>
                    </w:rPr>
                    <w:t>产生状况</w:t>
                  </w:r>
                </w:p>
              </w:tc>
              <w:tc>
                <w:tcPr>
                  <w:tcW w:w="818" w:type="pct"/>
                  <w:vMerge w:val="restart"/>
                  <w:vAlign w:val="center"/>
                </w:tcPr>
                <w:p w14:paraId="0979831C">
                  <w:pPr>
                    <w:spacing w:line="240" w:lineRule="auto"/>
                    <w:jc w:val="center"/>
                    <w:rPr>
                      <w:b/>
                      <w:bCs/>
                      <w:sz w:val="21"/>
                      <w:szCs w:val="21"/>
                    </w:rPr>
                  </w:pPr>
                  <w:r>
                    <w:rPr>
                      <w:b/>
                      <w:bCs/>
                      <w:sz w:val="21"/>
                      <w:szCs w:val="21"/>
                    </w:rPr>
                    <w:t>治理措施</w:t>
                  </w:r>
                </w:p>
              </w:tc>
              <w:tc>
                <w:tcPr>
                  <w:tcW w:w="294" w:type="pct"/>
                  <w:vMerge w:val="restart"/>
                  <w:vAlign w:val="center"/>
                </w:tcPr>
                <w:p w14:paraId="095E4791">
                  <w:pPr>
                    <w:spacing w:line="240" w:lineRule="auto"/>
                    <w:jc w:val="center"/>
                    <w:rPr>
                      <w:b/>
                      <w:bCs/>
                      <w:sz w:val="21"/>
                      <w:szCs w:val="21"/>
                    </w:rPr>
                  </w:pPr>
                  <w:r>
                    <w:rPr>
                      <w:b/>
                      <w:bCs/>
                      <w:sz w:val="21"/>
                      <w:szCs w:val="21"/>
                    </w:rPr>
                    <w:t>去除</w:t>
                  </w:r>
                </w:p>
                <w:p w14:paraId="27286A1E">
                  <w:pPr>
                    <w:spacing w:line="240" w:lineRule="auto"/>
                    <w:jc w:val="center"/>
                    <w:rPr>
                      <w:b/>
                      <w:bCs/>
                      <w:sz w:val="21"/>
                      <w:szCs w:val="21"/>
                    </w:rPr>
                  </w:pPr>
                  <w:r>
                    <w:rPr>
                      <w:b/>
                      <w:bCs/>
                      <w:sz w:val="21"/>
                      <w:szCs w:val="21"/>
                    </w:rPr>
                    <w:t>效率</w:t>
                  </w:r>
                </w:p>
              </w:tc>
              <w:tc>
                <w:tcPr>
                  <w:tcW w:w="1095" w:type="pct"/>
                  <w:gridSpan w:val="3"/>
                  <w:vAlign w:val="center"/>
                </w:tcPr>
                <w:p w14:paraId="009626AD">
                  <w:pPr>
                    <w:spacing w:line="240" w:lineRule="auto"/>
                    <w:jc w:val="center"/>
                    <w:rPr>
                      <w:b/>
                      <w:bCs/>
                      <w:sz w:val="21"/>
                      <w:szCs w:val="21"/>
                    </w:rPr>
                  </w:pPr>
                  <w:r>
                    <w:rPr>
                      <w:b/>
                      <w:bCs/>
                      <w:sz w:val="21"/>
                      <w:szCs w:val="21"/>
                    </w:rPr>
                    <w:t>排放状况</w:t>
                  </w:r>
                </w:p>
              </w:tc>
              <w:tc>
                <w:tcPr>
                  <w:tcW w:w="362" w:type="pct"/>
                  <w:vMerge w:val="restart"/>
                  <w:vAlign w:val="center"/>
                </w:tcPr>
                <w:p w14:paraId="79C73214">
                  <w:pPr>
                    <w:spacing w:line="240" w:lineRule="auto"/>
                    <w:jc w:val="center"/>
                    <w:rPr>
                      <w:b/>
                      <w:bCs/>
                      <w:sz w:val="21"/>
                      <w:szCs w:val="21"/>
                    </w:rPr>
                  </w:pPr>
                  <w:r>
                    <w:rPr>
                      <w:b/>
                      <w:bCs/>
                      <w:sz w:val="21"/>
                      <w:szCs w:val="21"/>
                    </w:rPr>
                    <w:t>排放</w:t>
                  </w:r>
                </w:p>
                <w:p w14:paraId="00F4C4C0">
                  <w:pPr>
                    <w:spacing w:line="240" w:lineRule="auto"/>
                    <w:jc w:val="center"/>
                    <w:rPr>
                      <w:b/>
                      <w:bCs/>
                      <w:sz w:val="21"/>
                      <w:szCs w:val="21"/>
                    </w:rPr>
                  </w:pPr>
                  <w:r>
                    <w:rPr>
                      <w:b/>
                      <w:bCs/>
                      <w:sz w:val="21"/>
                      <w:szCs w:val="21"/>
                    </w:rPr>
                    <w:t>方式</w:t>
                  </w:r>
                </w:p>
              </w:tc>
            </w:tr>
            <w:tr w14:paraId="418BE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exact"/>
                <w:jc w:val="center"/>
              </w:trPr>
              <w:tc>
                <w:tcPr>
                  <w:tcW w:w="267" w:type="pct"/>
                  <w:vMerge w:val="continue"/>
                  <w:vAlign w:val="center"/>
                </w:tcPr>
                <w:p w14:paraId="027AB9B4">
                  <w:pPr>
                    <w:spacing w:line="240" w:lineRule="auto"/>
                    <w:jc w:val="center"/>
                    <w:rPr>
                      <w:b/>
                      <w:bCs/>
                      <w:sz w:val="21"/>
                      <w:szCs w:val="21"/>
                    </w:rPr>
                  </w:pPr>
                </w:p>
              </w:tc>
              <w:tc>
                <w:tcPr>
                  <w:tcW w:w="303" w:type="pct"/>
                  <w:vMerge w:val="continue"/>
                  <w:vAlign w:val="center"/>
                </w:tcPr>
                <w:p w14:paraId="7B2573A7">
                  <w:pPr>
                    <w:spacing w:line="240" w:lineRule="auto"/>
                    <w:jc w:val="center"/>
                    <w:rPr>
                      <w:b/>
                      <w:bCs/>
                      <w:sz w:val="21"/>
                      <w:szCs w:val="21"/>
                    </w:rPr>
                  </w:pPr>
                </w:p>
              </w:tc>
              <w:tc>
                <w:tcPr>
                  <w:tcW w:w="370" w:type="pct"/>
                  <w:vMerge w:val="continue"/>
                  <w:vAlign w:val="center"/>
                </w:tcPr>
                <w:p w14:paraId="28FC6921">
                  <w:pPr>
                    <w:spacing w:line="240" w:lineRule="auto"/>
                    <w:jc w:val="center"/>
                    <w:rPr>
                      <w:b/>
                      <w:bCs/>
                      <w:sz w:val="21"/>
                      <w:szCs w:val="21"/>
                    </w:rPr>
                  </w:pPr>
                </w:p>
              </w:tc>
              <w:tc>
                <w:tcPr>
                  <w:tcW w:w="405" w:type="pct"/>
                  <w:vMerge w:val="continue"/>
                  <w:vAlign w:val="center"/>
                </w:tcPr>
                <w:p w14:paraId="3E4DB744">
                  <w:pPr>
                    <w:spacing w:line="240" w:lineRule="auto"/>
                    <w:jc w:val="center"/>
                    <w:rPr>
                      <w:b/>
                      <w:bCs/>
                      <w:sz w:val="21"/>
                      <w:szCs w:val="21"/>
                    </w:rPr>
                  </w:pPr>
                </w:p>
              </w:tc>
              <w:tc>
                <w:tcPr>
                  <w:tcW w:w="350" w:type="pct"/>
                  <w:vAlign w:val="center"/>
                </w:tcPr>
                <w:p w14:paraId="1B0C64F7">
                  <w:pPr>
                    <w:spacing w:line="240" w:lineRule="auto"/>
                    <w:jc w:val="center"/>
                    <w:rPr>
                      <w:b/>
                      <w:bCs/>
                      <w:sz w:val="21"/>
                      <w:szCs w:val="21"/>
                    </w:rPr>
                  </w:pPr>
                  <w:r>
                    <w:rPr>
                      <w:b/>
                      <w:bCs/>
                      <w:sz w:val="21"/>
                      <w:szCs w:val="21"/>
                    </w:rPr>
                    <w:t>浓度</w:t>
                  </w:r>
                </w:p>
                <w:p w14:paraId="602AC040">
                  <w:pPr>
                    <w:spacing w:line="240" w:lineRule="auto"/>
                    <w:jc w:val="center"/>
                    <w:rPr>
                      <w:b/>
                      <w:bCs/>
                      <w:sz w:val="21"/>
                      <w:szCs w:val="21"/>
                    </w:rPr>
                  </w:pPr>
                  <w:r>
                    <w:rPr>
                      <w:b/>
                      <w:bCs/>
                      <w:sz w:val="21"/>
                      <w:szCs w:val="21"/>
                    </w:rPr>
                    <w:t>mg/m</w:t>
                  </w:r>
                  <w:r>
                    <w:rPr>
                      <w:b/>
                      <w:bCs/>
                      <w:sz w:val="21"/>
                      <w:szCs w:val="21"/>
                      <w:vertAlign w:val="superscript"/>
                    </w:rPr>
                    <w:t>3</w:t>
                  </w:r>
                </w:p>
              </w:tc>
              <w:tc>
                <w:tcPr>
                  <w:tcW w:w="381" w:type="pct"/>
                  <w:vAlign w:val="center"/>
                </w:tcPr>
                <w:p w14:paraId="30BF6840">
                  <w:pPr>
                    <w:spacing w:line="240" w:lineRule="auto"/>
                    <w:jc w:val="center"/>
                    <w:rPr>
                      <w:b/>
                      <w:bCs/>
                      <w:sz w:val="21"/>
                      <w:szCs w:val="21"/>
                    </w:rPr>
                  </w:pPr>
                  <w:r>
                    <w:rPr>
                      <w:b/>
                      <w:bCs/>
                      <w:sz w:val="21"/>
                      <w:szCs w:val="21"/>
                    </w:rPr>
                    <w:t>速率</w:t>
                  </w:r>
                </w:p>
                <w:p w14:paraId="419EA7AE">
                  <w:pPr>
                    <w:spacing w:line="240" w:lineRule="auto"/>
                    <w:jc w:val="center"/>
                    <w:rPr>
                      <w:b/>
                      <w:bCs/>
                      <w:sz w:val="21"/>
                      <w:szCs w:val="21"/>
                    </w:rPr>
                  </w:pPr>
                  <w:r>
                    <w:rPr>
                      <w:b/>
                      <w:bCs/>
                      <w:sz w:val="21"/>
                      <w:szCs w:val="21"/>
                    </w:rPr>
                    <w:t>kg/h</w:t>
                  </w:r>
                </w:p>
              </w:tc>
              <w:tc>
                <w:tcPr>
                  <w:tcW w:w="352" w:type="pct"/>
                  <w:tcMar>
                    <w:left w:w="28" w:type="dxa"/>
                    <w:right w:w="28" w:type="dxa"/>
                  </w:tcMar>
                  <w:vAlign w:val="center"/>
                </w:tcPr>
                <w:p w14:paraId="4B6984B5">
                  <w:pPr>
                    <w:spacing w:line="240" w:lineRule="auto"/>
                    <w:jc w:val="center"/>
                    <w:rPr>
                      <w:b/>
                      <w:bCs/>
                      <w:sz w:val="21"/>
                      <w:szCs w:val="21"/>
                    </w:rPr>
                  </w:pPr>
                  <w:r>
                    <w:rPr>
                      <w:b/>
                      <w:bCs/>
                      <w:sz w:val="21"/>
                      <w:szCs w:val="21"/>
                    </w:rPr>
                    <w:t>产生量</w:t>
                  </w:r>
                </w:p>
                <w:p w14:paraId="2EDA2CE5">
                  <w:pPr>
                    <w:spacing w:line="240" w:lineRule="auto"/>
                    <w:jc w:val="center"/>
                    <w:rPr>
                      <w:b/>
                      <w:bCs/>
                      <w:sz w:val="21"/>
                      <w:szCs w:val="21"/>
                    </w:rPr>
                  </w:pPr>
                  <w:r>
                    <w:rPr>
                      <w:b/>
                      <w:bCs/>
                      <w:sz w:val="21"/>
                      <w:szCs w:val="21"/>
                    </w:rPr>
                    <w:t>t/a</w:t>
                  </w:r>
                </w:p>
              </w:tc>
              <w:tc>
                <w:tcPr>
                  <w:tcW w:w="818" w:type="pct"/>
                  <w:vMerge w:val="continue"/>
                  <w:vAlign w:val="center"/>
                </w:tcPr>
                <w:p w14:paraId="7FCB334D">
                  <w:pPr>
                    <w:spacing w:line="240" w:lineRule="auto"/>
                    <w:jc w:val="center"/>
                    <w:rPr>
                      <w:b/>
                      <w:bCs/>
                      <w:sz w:val="21"/>
                      <w:szCs w:val="21"/>
                    </w:rPr>
                  </w:pPr>
                </w:p>
              </w:tc>
              <w:tc>
                <w:tcPr>
                  <w:tcW w:w="294" w:type="pct"/>
                  <w:vMerge w:val="continue"/>
                  <w:vAlign w:val="center"/>
                </w:tcPr>
                <w:p w14:paraId="2969C89E">
                  <w:pPr>
                    <w:spacing w:line="240" w:lineRule="auto"/>
                    <w:jc w:val="center"/>
                    <w:rPr>
                      <w:b/>
                      <w:bCs/>
                      <w:sz w:val="21"/>
                      <w:szCs w:val="21"/>
                    </w:rPr>
                  </w:pPr>
                </w:p>
              </w:tc>
              <w:tc>
                <w:tcPr>
                  <w:tcW w:w="361" w:type="pct"/>
                  <w:vAlign w:val="center"/>
                </w:tcPr>
                <w:p w14:paraId="4A422D39">
                  <w:pPr>
                    <w:spacing w:line="240" w:lineRule="auto"/>
                    <w:jc w:val="center"/>
                    <w:rPr>
                      <w:b/>
                      <w:bCs/>
                      <w:sz w:val="21"/>
                      <w:szCs w:val="21"/>
                    </w:rPr>
                  </w:pPr>
                  <w:r>
                    <w:rPr>
                      <w:b/>
                      <w:bCs/>
                      <w:sz w:val="21"/>
                      <w:szCs w:val="21"/>
                    </w:rPr>
                    <w:t>浓度</w:t>
                  </w:r>
                </w:p>
                <w:p w14:paraId="6FE55075">
                  <w:pPr>
                    <w:spacing w:line="240" w:lineRule="auto"/>
                    <w:jc w:val="center"/>
                    <w:rPr>
                      <w:b/>
                      <w:bCs/>
                      <w:sz w:val="21"/>
                      <w:szCs w:val="21"/>
                    </w:rPr>
                  </w:pPr>
                  <w:r>
                    <w:rPr>
                      <w:b/>
                      <w:bCs/>
                      <w:sz w:val="21"/>
                      <w:szCs w:val="21"/>
                    </w:rPr>
                    <w:t>mg/m</w:t>
                  </w:r>
                  <w:r>
                    <w:rPr>
                      <w:b/>
                      <w:bCs/>
                      <w:sz w:val="21"/>
                      <w:szCs w:val="21"/>
                      <w:vertAlign w:val="superscript"/>
                    </w:rPr>
                    <w:t>3</w:t>
                  </w:r>
                </w:p>
              </w:tc>
              <w:tc>
                <w:tcPr>
                  <w:tcW w:w="333" w:type="pct"/>
                  <w:vAlign w:val="center"/>
                </w:tcPr>
                <w:p w14:paraId="5C9FBED0">
                  <w:pPr>
                    <w:spacing w:line="240" w:lineRule="auto"/>
                    <w:jc w:val="center"/>
                    <w:rPr>
                      <w:b/>
                      <w:bCs/>
                      <w:sz w:val="21"/>
                      <w:szCs w:val="21"/>
                    </w:rPr>
                  </w:pPr>
                  <w:r>
                    <w:rPr>
                      <w:b/>
                      <w:bCs/>
                      <w:sz w:val="21"/>
                      <w:szCs w:val="21"/>
                    </w:rPr>
                    <w:t>速率</w:t>
                  </w:r>
                </w:p>
                <w:p w14:paraId="66216218">
                  <w:pPr>
                    <w:spacing w:line="240" w:lineRule="auto"/>
                    <w:jc w:val="center"/>
                    <w:rPr>
                      <w:b/>
                      <w:bCs/>
                      <w:sz w:val="21"/>
                      <w:szCs w:val="21"/>
                    </w:rPr>
                  </w:pPr>
                  <w:r>
                    <w:rPr>
                      <w:b/>
                      <w:bCs/>
                      <w:sz w:val="21"/>
                      <w:szCs w:val="21"/>
                    </w:rPr>
                    <w:t>kg/h</w:t>
                  </w:r>
                </w:p>
              </w:tc>
              <w:tc>
                <w:tcPr>
                  <w:tcW w:w="401" w:type="pct"/>
                  <w:vAlign w:val="center"/>
                </w:tcPr>
                <w:p w14:paraId="1B68356F">
                  <w:pPr>
                    <w:spacing w:line="240" w:lineRule="auto"/>
                    <w:jc w:val="center"/>
                    <w:rPr>
                      <w:b/>
                      <w:bCs/>
                      <w:sz w:val="21"/>
                      <w:szCs w:val="21"/>
                    </w:rPr>
                  </w:pPr>
                  <w:r>
                    <w:rPr>
                      <w:b/>
                      <w:bCs/>
                      <w:sz w:val="21"/>
                      <w:szCs w:val="21"/>
                    </w:rPr>
                    <w:t>排放量</w:t>
                  </w:r>
                </w:p>
                <w:p w14:paraId="4E83E45A">
                  <w:pPr>
                    <w:spacing w:line="240" w:lineRule="auto"/>
                    <w:jc w:val="center"/>
                    <w:rPr>
                      <w:b/>
                      <w:bCs/>
                      <w:sz w:val="21"/>
                      <w:szCs w:val="21"/>
                    </w:rPr>
                  </w:pPr>
                  <w:r>
                    <w:rPr>
                      <w:b/>
                      <w:bCs/>
                      <w:sz w:val="21"/>
                      <w:szCs w:val="21"/>
                    </w:rPr>
                    <w:t>t/a</w:t>
                  </w:r>
                </w:p>
              </w:tc>
              <w:tc>
                <w:tcPr>
                  <w:tcW w:w="362" w:type="pct"/>
                  <w:vMerge w:val="continue"/>
                  <w:vAlign w:val="center"/>
                </w:tcPr>
                <w:p w14:paraId="5BE45C83">
                  <w:pPr>
                    <w:spacing w:line="240" w:lineRule="auto"/>
                    <w:jc w:val="center"/>
                    <w:rPr>
                      <w:sz w:val="21"/>
                      <w:szCs w:val="21"/>
                    </w:rPr>
                  </w:pPr>
                </w:p>
              </w:tc>
            </w:tr>
            <w:tr w14:paraId="30A80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67" w:type="pct"/>
                  <w:vMerge w:val="restart"/>
                  <w:vAlign w:val="center"/>
                </w:tcPr>
                <w:p w14:paraId="2A9AA017">
                  <w:pPr>
                    <w:spacing w:line="240" w:lineRule="auto"/>
                    <w:jc w:val="center"/>
                    <w:rPr>
                      <w:sz w:val="21"/>
                      <w:szCs w:val="21"/>
                    </w:rPr>
                  </w:pPr>
                  <w:r>
                    <w:rPr>
                      <w:rFonts w:hint="eastAsia"/>
                      <w:sz w:val="21"/>
                      <w:szCs w:val="21"/>
                    </w:rPr>
                    <w:t>1#</w:t>
                  </w:r>
                </w:p>
              </w:tc>
              <w:tc>
                <w:tcPr>
                  <w:tcW w:w="303" w:type="pct"/>
                  <w:vMerge w:val="restart"/>
                  <w:vAlign w:val="center"/>
                </w:tcPr>
                <w:p w14:paraId="0A7325AA">
                  <w:pPr>
                    <w:spacing w:line="240" w:lineRule="auto"/>
                    <w:jc w:val="center"/>
                    <w:rPr>
                      <w:sz w:val="21"/>
                      <w:szCs w:val="21"/>
                    </w:rPr>
                  </w:pPr>
                  <w:r>
                    <w:rPr>
                      <w:rFonts w:hint="eastAsia"/>
                      <w:sz w:val="21"/>
                      <w:szCs w:val="21"/>
                      <w:lang w:val="en-US" w:eastAsia="zh-CN"/>
                    </w:rPr>
                    <w:t>28</w:t>
                  </w:r>
                  <w:r>
                    <w:rPr>
                      <w:rFonts w:hint="eastAsia"/>
                      <w:sz w:val="21"/>
                      <w:szCs w:val="21"/>
                    </w:rPr>
                    <w:t>000</w:t>
                  </w:r>
                </w:p>
              </w:tc>
              <w:tc>
                <w:tcPr>
                  <w:tcW w:w="370" w:type="pct"/>
                  <w:vAlign w:val="center"/>
                </w:tcPr>
                <w:p w14:paraId="48FD01CF">
                  <w:pPr>
                    <w:spacing w:line="240" w:lineRule="auto"/>
                    <w:jc w:val="center"/>
                    <w:rPr>
                      <w:rFonts w:hint="eastAsia" w:eastAsia="仿宋"/>
                      <w:sz w:val="21"/>
                      <w:szCs w:val="21"/>
                      <w:lang w:val="en-US" w:eastAsia="zh-CN"/>
                    </w:rPr>
                  </w:pPr>
                  <w:r>
                    <w:rPr>
                      <w:rFonts w:hint="eastAsia"/>
                      <w:sz w:val="21"/>
                      <w:szCs w:val="21"/>
                      <w:lang w:val="en-US" w:eastAsia="zh-CN"/>
                    </w:rPr>
                    <w:t>熔化</w:t>
                  </w:r>
                </w:p>
              </w:tc>
              <w:tc>
                <w:tcPr>
                  <w:tcW w:w="405" w:type="pct"/>
                  <w:vAlign w:val="center"/>
                </w:tcPr>
                <w:p w14:paraId="644A34B5">
                  <w:pPr>
                    <w:spacing w:line="240" w:lineRule="auto"/>
                    <w:jc w:val="center"/>
                    <w:rPr>
                      <w:rFonts w:hint="default" w:eastAsia="仿宋"/>
                      <w:sz w:val="21"/>
                      <w:szCs w:val="21"/>
                      <w:lang w:val="en-US" w:eastAsia="zh-CN"/>
                    </w:rPr>
                  </w:pPr>
                  <w:r>
                    <w:rPr>
                      <w:rFonts w:hint="eastAsia"/>
                      <w:sz w:val="21"/>
                      <w:szCs w:val="21"/>
                      <w:lang w:val="en-US" w:eastAsia="zh-CN"/>
                    </w:rPr>
                    <w:t>颗粒物</w:t>
                  </w:r>
                </w:p>
              </w:tc>
              <w:tc>
                <w:tcPr>
                  <w:tcW w:w="350" w:type="pct"/>
                  <w:vAlign w:val="center"/>
                </w:tcPr>
                <w:p w14:paraId="760C9760">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13.47 </w:t>
                  </w:r>
                </w:p>
              </w:tc>
              <w:tc>
                <w:tcPr>
                  <w:tcW w:w="381" w:type="pct"/>
                  <w:vAlign w:val="center"/>
                </w:tcPr>
                <w:p w14:paraId="2743CA1C">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0.38 </w:t>
                  </w:r>
                </w:p>
              </w:tc>
              <w:tc>
                <w:tcPr>
                  <w:tcW w:w="352" w:type="pct"/>
                  <w:tcMar>
                    <w:left w:w="28" w:type="dxa"/>
                    <w:right w:w="28" w:type="dxa"/>
                  </w:tcMar>
                  <w:vAlign w:val="center"/>
                </w:tcPr>
                <w:p w14:paraId="6EDA7693">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2.716 </w:t>
                  </w:r>
                </w:p>
              </w:tc>
              <w:tc>
                <w:tcPr>
                  <w:tcW w:w="818" w:type="pct"/>
                  <w:vMerge w:val="restart"/>
                  <w:vAlign w:val="center"/>
                </w:tcPr>
                <w:p w14:paraId="4F0633C9">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水喷淋+干式过滤+</w:t>
                  </w:r>
                  <w:r>
                    <w:rPr>
                      <w:rFonts w:hint="eastAsia" w:ascii="Times New Roman" w:hAnsi="Times New Roman" w:cs="Times New Roman"/>
                      <w:sz w:val="21"/>
                      <w:szCs w:val="21"/>
                      <w:lang w:val="en-US" w:eastAsia="zh-CN"/>
                    </w:rPr>
                    <w:t>二级活性炭吸附装置（TA001）</w:t>
                  </w:r>
                </w:p>
              </w:tc>
              <w:tc>
                <w:tcPr>
                  <w:tcW w:w="294" w:type="pct"/>
                  <w:vAlign w:val="center"/>
                </w:tcPr>
                <w:p w14:paraId="65C21CFA">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90</w:t>
                  </w:r>
                  <w:r>
                    <w:rPr>
                      <w:rFonts w:hint="eastAsia" w:ascii="Times New Roman" w:hAnsi="Times New Roman" w:cs="Times New Roman"/>
                      <w:sz w:val="21"/>
                      <w:szCs w:val="21"/>
                      <w:lang w:val="en-US" w:eastAsia="zh-CN"/>
                    </w:rPr>
                    <w:t>%</w:t>
                  </w:r>
                </w:p>
              </w:tc>
              <w:tc>
                <w:tcPr>
                  <w:tcW w:w="361" w:type="pct"/>
                  <w:vAlign w:val="center"/>
                </w:tcPr>
                <w:p w14:paraId="5315B444">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1.347 </w:t>
                  </w:r>
                </w:p>
              </w:tc>
              <w:tc>
                <w:tcPr>
                  <w:tcW w:w="333" w:type="pct"/>
                  <w:vAlign w:val="center"/>
                </w:tcPr>
                <w:p w14:paraId="4177C03E">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0.04 </w:t>
                  </w:r>
                </w:p>
              </w:tc>
              <w:tc>
                <w:tcPr>
                  <w:tcW w:w="401" w:type="pct"/>
                  <w:vAlign w:val="center"/>
                </w:tcPr>
                <w:p w14:paraId="1D836AE3">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0.272 </w:t>
                  </w:r>
                </w:p>
              </w:tc>
              <w:tc>
                <w:tcPr>
                  <w:tcW w:w="362" w:type="pct"/>
                  <w:vMerge w:val="restart"/>
                  <w:vAlign w:val="center"/>
                </w:tcPr>
                <w:p w14:paraId="2DEC8092">
                  <w:pPr>
                    <w:spacing w:line="240" w:lineRule="auto"/>
                    <w:jc w:val="center"/>
                    <w:rPr>
                      <w:sz w:val="21"/>
                      <w:szCs w:val="21"/>
                    </w:rPr>
                  </w:pPr>
                  <w:r>
                    <w:rPr>
                      <w:sz w:val="21"/>
                      <w:szCs w:val="21"/>
                    </w:rPr>
                    <w:t>间断</w:t>
                  </w:r>
                </w:p>
                <w:p w14:paraId="1C88D228">
                  <w:pPr>
                    <w:spacing w:line="240" w:lineRule="auto"/>
                    <w:jc w:val="center"/>
                    <w:rPr>
                      <w:sz w:val="21"/>
                      <w:szCs w:val="21"/>
                    </w:rPr>
                  </w:pPr>
                  <w:r>
                    <w:rPr>
                      <w:sz w:val="21"/>
                      <w:szCs w:val="21"/>
                    </w:rPr>
                    <w:t>排放</w:t>
                  </w:r>
                  <w:r>
                    <w:rPr>
                      <w:rFonts w:hint="eastAsia"/>
                      <w:sz w:val="21"/>
                      <w:szCs w:val="21"/>
                      <w:lang w:val="en-US" w:eastAsia="zh-CN"/>
                    </w:rPr>
                    <w:t>72</w:t>
                  </w:r>
                  <w:r>
                    <w:rPr>
                      <w:sz w:val="21"/>
                      <w:szCs w:val="21"/>
                    </w:rPr>
                    <w:t>00h</w:t>
                  </w:r>
                </w:p>
              </w:tc>
            </w:tr>
            <w:tr w14:paraId="4A6A0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7" w:type="pct"/>
                  <w:vMerge w:val="continue"/>
                  <w:vAlign w:val="center"/>
                </w:tcPr>
                <w:p w14:paraId="03CE5B63">
                  <w:pPr>
                    <w:spacing w:line="240" w:lineRule="auto"/>
                    <w:jc w:val="center"/>
                    <w:rPr>
                      <w:rFonts w:hint="eastAsia"/>
                      <w:sz w:val="21"/>
                      <w:szCs w:val="21"/>
                    </w:rPr>
                  </w:pPr>
                </w:p>
              </w:tc>
              <w:tc>
                <w:tcPr>
                  <w:tcW w:w="303" w:type="pct"/>
                  <w:vMerge w:val="continue"/>
                  <w:vAlign w:val="center"/>
                </w:tcPr>
                <w:p w14:paraId="48F42C81">
                  <w:pPr>
                    <w:spacing w:line="240" w:lineRule="auto"/>
                    <w:jc w:val="center"/>
                    <w:rPr>
                      <w:rFonts w:hint="eastAsia"/>
                      <w:sz w:val="21"/>
                      <w:szCs w:val="21"/>
                      <w:lang w:val="en-US" w:eastAsia="zh-CN"/>
                    </w:rPr>
                  </w:pPr>
                </w:p>
              </w:tc>
              <w:tc>
                <w:tcPr>
                  <w:tcW w:w="370" w:type="pct"/>
                  <w:vMerge w:val="restart"/>
                  <w:vAlign w:val="center"/>
                </w:tcPr>
                <w:p w14:paraId="7949F4E0">
                  <w:pPr>
                    <w:spacing w:line="240" w:lineRule="auto"/>
                    <w:jc w:val="center"/>
                    <w:rPr>
                      <w:rFonts w:hint="default"/>
                      <w:sz w:val="21"/>
                      <w:szCs w:val="21"/>
                      <w:lang w:val="en-US" w:eastAsia="zh-CN"/>
                    </w:rPr>
                  </w:pPr>
                  <w:r>
                    <w:rPr>
                      <w:rFonts w:hint="eastAsia"/>
                      <w:sz w:val="21"/>
                      <w:szCs w:val="21"/>
                      <w:lang w:val="en-US" w:eastAsia="zh-CN"/>
                    </w:rPr>
                    <w:t>压铸</w:t>
                  </w:r>
                </w:p>
              </w:tc>
              <w:tc>
                <w:tcPr>
                  <w:tcW w:w="405" w:type="pct"/>
                  <w:shd w:val="clear" w:color="auto" w:fill="auto"/>
                  <w:vAlign w:val="center"/>
                </w:tcPr>
                <w:p w14:paraId="0BB75602">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颗粒物</w:t>
                  </w:r>
                </w:p>
              </w:tc>
              <w:tc>
                <w:tcPr>
                  <w:tcW w:w="350" w:type="pct"/>
                  <w:vAlign w:val="center"/>
                </w:tcPr>
                <w:p w14:paraId="1DF54E59">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3.53 </w:t>
                  </w:r>
                </w:p>
              </w:tc>
              <w:tc>
                <w:tcPr>
                  <w:tcW w:w="381" w:type="pct"/>
                  <w:vAlign w:val="center"/>
                </w:tcPr>
                <w:p w14:paraId="20F89922">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0.10 </w:t>
                  </w:r>
                </w:p>
              </w:tc>
              <w:tc>
                <w:tcPr>
                  <w:tcW w:w="352" w:type="pct"/>
                  <w:tcMar>
                    <w:left w:w="28" w:type="dxa"/>
                    <w:right w:w="28" w:type="dxa"/>
                  </w:tcMar>
                  <w:vAlign w:val="center"/>
                </w:tcPr>
                <w:p w14:paraId="755BF1A2">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0.711 </w:t>
                  </w:r>
                </w:p>
              </w:tc>
              <w:tc>
                <w:tcPr>
                  <w:tcW w:w="818" w:type="pct"/>
                  <w:vMerge w:val="continue"/>
                  <w:vAlign w:val="center"/>
                </w:tcPr>
                <w:p w14:paraId="6D2C9A43">
                  <w:pPr>
                    <w:spacing w:line="240" w:lineRule="auto"/>
                    <w:jc w:val="center"/>
                    <w:rPr>
                      <w:rFonts w:hint="eastAsia" w:ascii="Times New Roman" w:hAnsi="Times New Roman" w:cs="Times New Roman"/>
                      <w:sz w:val="21"/>
                      <w:szCs w:val="21"/>
                      <w:lang w:val="en-US" w:eastAsia="zh-CN"/>
                    </w:rPr>
                  </w:pPr>
                </w:p>
              </w:tc>
              <w:tc>
                <w:tcPr>
                  <w:tcW w:w="294" w:type="pct"/>
                  <w:vAlign w:val="center"/>
                </w:tcPr>
                <w:p w14:paraId="0B18A0CD">
                  <w:pPr>
                    <w:spacing w:line="240" w:lineRule="auto"/>
                    <w:jc w:val="center"/>
                    <w:rPr>
                      <w:rFonts w:hint="eastAsia" w:ascii="Times New Roman" w:hAnsi="Times New Roman" w:cs="Times New Roman"/>
                      <w:sz w:val="21"/>
                      <w:szCs w:val="21"/>
                      <w:lang w:val="en-US" w:eastAsia="zh-CN"/>
                    </w:rPr>
                  </w:pPr>
                  <w:r>
                    <w:rPr>
                      <w:rFonts w:hint="eastAsia" w:cs="Times New Roman"/>
                      <w:sz w:val="21"/>
                      <w:szCs w:val="21"/>
                      <w:lang w:val="en-US" w:eastAsia="zh-CN"/>
                    </w:rPr>
                    <w:t>90</w:t>
                  </w:r>
                  <w:r>
                    <w:rPr>
                      <w:rFonts w:hint="eastAsia" w:ascii="Times New Roman" w:hAnsi="Times New Roman" w:cs="Times New Roman"/>
                      <w:sz w:val="21"/>
                      <w:szCs w:val="21"/>
                      <w:lang w:val="en-US" w:eastAsia="zh-CN"/>
                    </w:rPr>
                    <w:t>%</w:t>
                  </w:r>
                </w:p>
              </w:tc>
              <w:tc>
                <w:tcPr>
                  <w:tcW w:w="361" w:type="pct"/>
                  <w:vAlign w:val="center"/>
                </w:tcPr>
                <w:p w14:paraId="414CE3E0">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0.353 </w:t>
                  </w:r>
                </w:p>
              </w:tc>
              <w:tc>
                <w:tcPr>
                  <w:tcW w:w="333" w:type="pct"/>
                  <w:vAlign w:val="center"/>
                </w:tcPr>
                <w:p w14:paraId="732E9A34">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 </w:t>
                  </w:r>
                </w:p>
              </w:tc>
              <w:tc>
                <w:tcPr>
                  <w:tcW w:w="401" w:type="pct"/>
                  <w:vAlign w:val="center"/>
                </w:tcPr>
                <w:p w14:paraId="6EC5BEF1">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0.071 </w:t>
                  </w:r>
                </w:p>
              </w:tc>
              <w:tc>
                <w:tcPr>
                  <w:tcW w:w="362" w:type="pct"/>
                  <w:vMerge w:val="continue"/>
                  <w:vAlign w:val="center"/>
                </w:tcPr>
                <w:p w14:paraId="6195E98C">
                  <w:pPr>
                    <w:spacing w:line="240" w:lineRule="auto"/>
                    <w:jc w:val="center"/>
                    <w:rPr>
                      <w:sz w:val="21"/>
                      <w:szCs w:val="21"/>
                    </w:rPr>
                  </w:pPr>
                </w:p>
              </w:tc>
            </w:tr>
            <w:tr w14:paraId="0C3A7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7" w:type="pct"/>
                  <w:vMerge w:val="continue"/>
                  <w:vAlign w:val="center"/>
                </w:tcPr>
                <w:p w14:paraId="64641199">
                  <w:pPr>
                    <w:spacing w:line="240" w:lineRule="auto"/>
                    <w:jc w:val="center"/>
                    <w:rPr>
                      <w:rFonts w:hint="eastAsia"/>
                      <w:sz w:val="21"/>
                      <w:szCs w:val="21"/>
                    </w:rPr>
                  </w:pPr>
                </w:p>
              </w:tc>
              <w:tc>
                <w:tcPr>
                  <w:tcW w:w="303" w:type="pct"/>
                  <w:vMerge w:val="continue"/>
                  <w:vAlign w:val="center"/>
                </w:tcPr>
                <w:p w14:paraId="1B715ACF">
                  <w:pPr>
                    <w:spacing w:line="240" w:lineRule="auto"/>
                    <w:jc w:val="center"/>
                    <w:rPr>
                      <w:rFonts w:hint="eastAsia"/>
                      <w:sz w:val="21"/>
                      <w:szCs w:val="21"/>
                      <w:lang w:val="en-US" w:eastAsia="zh-CN"/>
                    </w:rPr>
                  </w:pPr>
                </w:p>
              </w:tc>
              <w:tc>
                <w:tcPr>
                  <w:tcW w:w="370" w:type="pct"/>
                  <w:vMerge w:val="continue"/>
                  <w:vAlign w:val="center"/>
                </w:tcPr>
                <w:p w14:paraId="3A4B5B7A">
                  <w:pPr>
                    <w:spacing w:line="240" w:lineRule="auto"/>
                    <w:jc w:val="center"/>
                    <w:rPr>
                      <w:rFonts w:hint="eastAsia"/>
                      <w:sz w:val="21"/>
                      <w:szCs w:val="21"/>
                      <w:lang w:val="en-US" w:eastAsia="zh-CN"/>
                    </w:rPr>
                  </w:pPr>
                </w:p>
              </w:tc>
              <w:tc>
                <w:tcPr>
                  <w:tcW w:w="405" w:type="pct"/>
                  <w:vAlign w:val="center"/>
                </w:tcPr>
                <w:p w14:paraId="186DDD3D">
                  <w:pPr>
                    <w:spacing w:line="240" w:lineRule="auto"/>
                    <w:jc w:val="center"/>
                    <w:rPr>
                      <w:rFonts w:hint="default"/>
                      <w:sz w:val="21"/>
                      <w:szCs w:val="21"/>
                      <w:lang w:val="en-US" w:eastAsia="zh-CN"/>
                    </w:rPr>
                  </w:pPr>
                  <w:r>
                    <w:rPr>
                      <w:rFonts w:hint="eastAsia"/>
                      <w:sz w:val="21"/>
                      <w:szCs w:val="21"/>
                      <w:lang w:val="en-US" w:eastAsia="zh-CN"/>
                    </w:rPr>
                    <w:t>非甲烷总烃</w:t>
                  </w:r>
                </w:p>
              </w:tc>
              <w:tc>
                <w:tcPr>
                  <w:tcW w:w="350" w:type="pct"/>
                  <w:vAlign w:val="center"/>
                </w:tcPr>
                <w:p w14:paraId="09E18974">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13.39</w:t>
                  </w:r>
                  <w:r>
                    <w:rPr>
                      <w:rFonts w:hint="default" w:ascii="Times New Roman" w:hAnsi="Times New Roman" w:cs="Times New Roman"/>
                      <w:sz w:val="21"/>
                      <w:szCs w:val="21"/>
                      <w:lang w:val="en-US" w:eastAsia="zh-CN"/>
                    </w:rPr>
                    <w:t xml:space="preserve"> </w:t>
                  </w:r>
                </w:p>
              </w:tc>
              <w:tc>
                <w:tcPr>
                  <w:tcW w:w="381" w:type="pct"/>
                  <w:vAlign w:val="center"/>
                </w:tcPr>
                <w:p w14:paraId="6B15C67C">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38</w:t>
                  </w:r>
                  <w:r>
                    <w:rPr>
                      <w:rFonts w:hint="default" w:ascii="Times New Roman" w:hAnsi="Times New Roman" w:cs="Times New Roman"/>
                      <w:sz w:val="21"/>
                      <w:szCs w:val="21"/>
                      <w:lang w:val="en-US" w:eastAsia="zh-CN"/>
                    </w:rPr>
                    <w:t xml:space="preserve"> </w:t>
                  </w:r>
                </w:p>
              </w:tc>
              <w:tc>
                <w:tcPr>
                  <w:tcW w:w="352" w:type="pct"/>
                  <w:tcMar>
                    <w:left w:w="28" w:type="dxa"/>
                    <w:right w:w="28" w:type="dxa"/>
                  </w:tcMar>
                  <w:vAlign w:val="center"/>
                </w:tcPr>
                <w:p w14:paraId="44CF4102">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2.7</w:t>
                  </w:r>
                  <w:r>
                    <w:rPr>
                      <w:rFonts w:hint="default" w:ascii="Times New Roman" w:hAnsi="Times New Roman" w:cs="Times New Roman"/>
                      <w:sz w:val="21"/>
                      <w:szCs w:val="21"/>
                      <w:lang w:val="en-US" w:eastAsia="zh-CN"/>
                    </w:rPr>
                    <w:t xml:space="preserve"> </w:t>
                  </w:r>
                </w:p>
              </w:tc>
              <w:tc>
                <w:tcPr>
                  <w:tcW w:w="818" w:type="pct"/>
                  <w:vMerge w:val="continue"/>
                  <w:vAlign w:val="center"/>
                </w:tcPr>
                <w:p w14:paraId="432DDB42">
                  <w:pPr>
                    <w:spacing w:line="240" w:lineRule="auto"/>
                    <w:jc w:val="center"/>
                    <w:rPr>
                      <w:rFonts w:hint="eastAsia" w:ascii="Times New Roman" w:hAnsi="Times New Roman" w:cs="Times New Roman"/>
                      <w:sz w:val="21"/>
                      <w:szCs w:val="21"/>
                      <w:lang w:val="en-US" w:eastAsia="zh-CN"/>
                    </w:rPr>
                  </w:pPr>
                </w:p>
              </w:tc>
              <w:tc>
                <w:tcPr>
                  <w:tcW w:w="294" w:type="pct"/>
                  <w:vAlign w:val="center"/>
                </w:tcPr>
                <w:p w14:paraId="017A1D5F">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90%</w:t>
                  </w:r>
                </w:p>
              </w:tc>
              <w:tc>
                <w:tcPr>
                  <w:tcW w:w="361" w:type="pct"/>
                  <w:vAlign w:val="center"/>
                </w:tcPr>
                <w:p w14:paraId="2A43CB0E">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1.339 </w:t>
                  </w:r>
                </w:p>
              </w:tc>
              <w:tc>
                <w:tcPr>
                  <w:tcW w:w="333" w:type="pct"/>
                  <w:vAlign w:val="center"/>
                </w:tcPr>
                <w:p w14:paraId="792F9B52">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0.04 </w:t>
                  </w:r>
                </w:p>
              </w:tc>
              <w:tc>
                <w:tcPr>
                  <w:tcW w:w="401" w:type="pct"/>
                  <w:vAlign w:val="center"/>
                </w:tcPr>
                <w:p w14:paraId="5DA09FAF">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27</w:t>
                  </w:r>
                  <w:r>
                    <w:rPr>
                      <w:rFonts w:hint="default" w:ascii="Times New Roman" w:hAnsi="Times New Roman" w:cs="Times New Roman"/>
                      <w:sz w:val="21"/>
                      <w:szCs w:val="21"/>
                      <w:lang w:val="en-US" w:eastAsia="zh-CN"/>
                    </w:rPr>
                    <w:t xml:space="preserve"> </w:t>
                  </w:r>
                </w:p>
              </w:tc>
              <w:tc>
                <w:tcPr>
                  <w:tcW w:w="362" w:type="pct"/>
                  <w:vMerge w:val="continue"/>
                  <w:vAlign w:val="center"/>
                </w:tcPr>
                <w:p w14:paraId="04320A08">
                  <w:pPr>
                    <w:spacing w:line="240" w:lineRule="auto"/>
                    <w:jc w:val="center"/>
                    <w:rPr>
                      <w:sz w:val="21"/>
                      <w:szCs w:val="21"/>
                    </w:rPr>
                  </w:pPr>
                </w:p>
              </w:tc>
            </w:tr>
            <w:tr w14:paraId="0047B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7" w:type="pct"/>
                  <w:vMerge w:val="continue"/>
                  <w:vAlign w:val="center"/>
                </w:tcPr>
                <w:p w14:paraId="62AD5CE5">
                  <w:pPr>
                    <w:spacing w:line="240" w:lineRule="auto"/>
                    <w:jc w:val="center"/>
                    <w:rPr>
                      <w:rFonts w:hint="eastAsia"/>
                      <w:sz w:val="21"/>
                      <w:szCs w:val="21"/>
                    </w:rPr>
                  </w:pPr>
                </w:p>
              </w:tc>
              <w:tc>
                <w:tcPr>
                  <w:tcW w:w="303" w:type="pct"/>
                  <w:vMerge w:val="continue"/>
                  <w:vAlign w:val="center"/>
                </w:tcPr>
                <w:p w14:paraId="18456F37">
                  <w:pPr>
                    <w:spacing w:line="240" w:lineRule="auto"/>
                    <w:jc w:val="center"/>
                    <w:rPr>
                      <w:rFonts w:hint="eastAsia"/>
                      <w:sz w:val="21"/>
                      <w:szCs w:val="21"/>
                      <w:lang w:val="en-US" w:eastAsia="zh-CN"/>
                    </w:rPr>
                  </w:pPr>
                </w:p>
              </w:tc>
              <w:tc>
                <w:tcPr>
                  <w:tcW w:w="370" w:type="pct"/>
                  <w:vMerge w:val="restart"/>
                  <w:vAlign w:val="center"/>
                </w:tcPr>
                <w:p w14:paraId="5A8B8913">
                  <w:pPr>
                    <w:spacing w:line="240" w:lineRule="auto"/>
                    <w:jc w:val="center"/>
                    <w:rPr>
                      <w:rFonts w:hint="default"/>
                      <w:sz w:val="21"/>
                      <w:szCs w:val="21"/>
                      <w:lang w:val="en-US" w:eastAsia="zh-CN"/>
                    </w:rPr>
                  </w:pPr>
                  <w:r>
                    <w:rPr>
                      <w:rFonts w:hint="eastAsia"/>
                      <w:sz w:val="21"/>
                      <w:szCs w:val="21"/>
                      <w:lang w:val="en-US" w:eastAsia="zh-CN"/>
                    </w:rPr>
                    <w:t>天然气燃烧</w:t>
                  </w:r>
                </w:p>
              </w:tc>
              <w:tc>
                <w:tcPr>
                  <w:tcW w:w="405" w:type="pct"/>
                  <w:vAlign w:val="center"/>
                </w:tcPr>
                <w:p w14:paraId="2F324B83">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880" w:type="dxa"/>
                  <w:vAlign w:val="center"/>
                </w:tcPr>
                <w:p w14:paraId="24B91BC1">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0.57 </w:t>
                  </w:r>
                </w:p>
              </w:tc>
              <w:tc>
                <w:tcPr>
                  <w:tcW w:w="958" w:type="dxa"/>
                  <w:vAlign w:val="center"/>
                </w:tcPr>
                <w:p w14:paraId="18E86F20">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 </w:t>
                  </w:r>
                </w:p>
              </w:tc>
              <w:tc>
                <w:tcPr>
                  <w:tcW w:w="885" w:type="dxa"/>
                  <w:tcMar>
                    <w:left w:w="28" w:type="dxa"/>
                    <w:right w:w="28" w:type="dxa"/>
                  </w:tcMar>
                  <w:vAlign w:val="center"/>
                </w:tcPr>
                <w:p w14:paraId="424DBF3F">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0.114 </w:t>
                  </w:r>
                </w:p>
              </w:tc>
              <w:tc>
                <w:tcPr>
                  <w:tcW w:w="818" w:type="pct"/>
                  <w:vMerge w:val="continue"/>
                  <w:vAlign w:val="center"/>
                </w:tcPr>
                <w:p w14:paraId="4752FD89">
                  <w:pPr>
                    <w:spacing w:line="240" w:lineRule="auto"/>
                    <w:jc w:val="center"/>
                    <w:rPr>
                      <w:rFonts w:hint="default" w:ascii="Times New Roman" w:hAnsi="Times New Roman" w:cs="Times New Roman"/>
                      <w:sz w:val="21"/>
                      <w:szCs w:val="21"/>
                      <w:lang w:val="en-US" w:eastAsia="zh-CN"/>
                    </w:rPr>
                  </w:pPr>
                </w:p>
              </w:tc>
              <w:tc>
                <w:tcPr>
                  <w:tcW w:w="294" w:type="pct"/>
                  <w:vAlign w:val="center"/>
                </w:tcPr>
                <w:p w14:paraId="0F65E81C">
                  <w:pPr>
                    <w:spacing w:line="240" w:lineRule="auto"/>
                    <w:jc w:val="center"/>
                    <w:rPr>
                      <w:rFonts w:hint="eastAsia" w:ascii="Times New Roman" w:hAnsi="Times New Roman" w:cs="Times New Roman"/>
                      <w:sz w:val="21"/>
                      <w:szCs w:val="21"/>
                      <w:lang w:val="en-US" w:eastAsia="zh-CN"/>
                    </w:rPr>
                  </w:pPr>
                  <w:r>
                    <w:rPr>
                      <w:rFonts w:hint="eastAsia" w:cs="Times New Roman"/>
                      <w:sz w:val="21"/>
                      <w:szCs w:val="21"/>
                      <w:lang w:val="en-US" w:eastAsia="zh-CN"/>
                    </w:rPr>
                    <w:t>90%</w:t>
                  </w:r>
                </w:p>
              </w:tc>
              <w:tc>
                <w:tcPr>
                  <w:tcW w:w="361" w:type="pct"/>
                  <w:shd w:val="clear" w:color="auto" w:fill="auto"/>
                  <w:vAlign w:val="center"/>
                </w:tcPr>
                <w:p w14:paraId="69775579">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0.057 </w:t>
                  </w:r>
                </w:p>
              </w:tc>
              <w:tc>
                <w:tcPr>
                  <w:tcW w:w="333" w:type="pct"/>
                  <w:shd w:val="clear" w:color="auto" w:fill="auto"/>
                  <w:vAlign w:val="center"/>
                </w:tcPr>
                <w:p w14:paraId="772D8755">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0.01 </w:t>
                  </w:r>
                </w:p>
              </w:tc>
              <w:tc>
                <w:tcPr>
                  <w:tcW w:w="401" w:type="pct"/>
                  <w:shd w:val="clear" w:color="auto" w:fill="auto"/>
                  <w:vAlign w:val="center"/>
                </w:tcPr>
                <w:p w14:paraId="2CED27DA">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0.011 </w:t>
                  </w:r>
                </w:p>
              </w:tc>
              <w:tc>
                <w:tcPr>
                  <w:tcW w:w="362" w:type="pct"/>
                  <w:vMerge w:val="continue"/>
                  <w:vAlign w:val="center"/>
                </w:tcPr>
                <w:p w14:paraId="5D76573D">
                  <w:pPr>
                    <w:spacing w:line="240" w:lineRule="auto"/>
                    <w:jc w:val="center"/>
                    <w:rPr>
                      <w:sz w:val="21"/>
                      <w:szCs w:val="21"/>
                    </w:rPr>
                  </w:pPr>
                </w:p>
              </w:tc>
            </w:tr>
            <w:tr w14:paraId="0125C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7" w:type="pct"/>
                  <w:vMerge w:val="continue"/>
                  <w:vAlign w:val="center"/>
                </w:tcPr>
                <w:p w14:paraId="17C20BD5">
                  <w:pPr>
                    <w:spacing w:line="240" w:lineRule="auto"/>
                    <w:jc w:val="center"/>
                    <w:rPr>
                      <w:rFonts w:hint="eastAsia"/>
                      <w:sz w:val="21"/>
                      <w:szCs w:val="21"/>
                    </w:rPr>
                  </w:pPr>
                </w:p>
              </w:tc>
              <w:tc>
                <w:tcPr>
                  <w:tcW w:w="303" w:type="pct"/>
                  <w:vMerge w:val="continue"/>
                  <w:vAlign w:val="center"/>
                </w:tcPr>
                <w:p w14:paraId="36C025AF">
                  <w:pPr>
                    <w:spacing w:line="240" w:lineRule="auto"/>
                    <w:jc w:val="center"/>
                    <w:rPr>
                      <w:rFonts w:hint="eastAsia"/>
                      <w:sz w:val="21"/>
                      <w:szCs w:val="21"/>
                      <w:lang w:val="en-US" w:eastAsia="zh-CN"/>
                    </w:rPr>
                  </w:pPr>
                </w:p>
              </w:tc>
              <w:tc>
                <w:tcPr>
                  <w:tcW w:w="370" w:type="pct"/>
                  <w:vMerge w:val="continue"/>
                  <w:vAlign w:val="center"/>
                </w:tcPr>
                <w:p w14:paraId="6EEF0435">
                  <w:pPr>
                    <w:spacing w:line="240" w:lineRule="auto"/>
                    <w:jc w:val="center"/>
                    <w:rPr>
                      <w:rFonts w:hint="eastAsia"/>
                      <w:sz w:val="21"/>
                      <w:szCs w:val="21"/>
                      <w:lang w:val="en-US" w:eastAsia="zh-CN"/>
                    </w:rPr>
                  </w:pPr>
                </w:p>
              </w:tc>
              <w:tc>
                <w:tcPr>
                  <w:tcW w:w="405" w:type="pct"/>
                  <w:vAlign w:val="center"/>
                </w:tcPr>
                <w:p w14:paraId="270755E4">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880" w:type="dxa"/>
                  <w:vAlign w:val="center"/>
                </w:tcPr>
                <w:p w14:paraId="26618DDC">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0.397 </w:t>
                  </w:r>
                </w:p>
              </w:tc>
              <w:tc>
                <w:tcPr>
                  <w:tcW w:w="958" w:type="dxa"/>
                  <w:vAlign w:val="center"/>
                </w:tcPr>
                <w:p w14:paraId="324D4E91">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 </w:t>
                  </w:r>
                </w:p>
              </w:tc>
              <w:tc>
                <w:tcPr>
                  <w:tcW w:w="885" w:type="dxa"/>
                  <w:tcMar>
                    <w:left w:w="28" w:type="dxa"/>
                    <w:right w:w="28" w:type="dxa"/>
                  </w:tcMar>
                  <w:vAlign w:val="center"/>
                </w:tcPr>
                <w:p w14:paraId="247479A3">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0.080 </w:t>
                  </w:r>
                </w:p>
              </w:tc>
              <w:tc>
                <w:tcPr>
                  <w:tcW w:w="818" w:type="pct"/>
                  <w:vMerge w:val="continue"/>
                  <w:vAlign w:val="center"/>
                </w:tcPr>
                <w:p w14:paraId="201C96C2">
                  <w:pPr>
                    <w:spacing w:line="240" w:lineRule="auto"/>
                    <w:jc w:val="center"/>
                    <w:rPr>
                      <w:rFonts w:hint="eastAsia" w:ascii="Times New Roman" w:hAnsi="Times New Roman" w:cs="Times New Roman"/>
                      <w:sz w:val="21"/>
                      <w:szCs w:val="21"/>
                      <w:lang w:val="en-US" w:eastAsia="zh-CN"/>
                    </w:rPr>
                  </w:pPr>
                </w:p>
              </w:tc>
              <w:tc>
                <w:tcPr>
                  <w:tcW w:w="294" w:type="pct"/>
                  <w:vAlign w:val="center"/>
                </w:tcPr>
                <w:p w14:paraId="0C143005">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361" w:type="pct"/>
                  <w:shd w:val="clear" w:color="auto" w:fill="auto"/>
                  <w:vAlign w:val="center"/>
                </w:tcPr>
                <w:p w14:paraId="5D95071A">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0.397 </w:t>
                  </w:r>
                </w:p>
              </w:tc>
              <w:tc>
                <w:tcPr>
                  <w:tcW w:w="333" w:type="pct"/>
                  <w:shd w:val="clear" w:color="auto" w:fill="auto"/>
                  <w:vAlign w:val="center"/>
                </w:tcPr>
                <w:p w14:paraId="6AA3E41C">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0.01 </w:t>
                  </w:r>
                </w:p>
              </w:tc>
              <w:tc>
                <w:tcPr>
                  <w:tcW w:w="401" w:type="pct"/>
                  <w:shd w:val="clear" w:color="auto" w:fill="auto"/>
                  <w:vAlign w:val="center"/>
                </w:tcPr>
                <w:p w14:paraId="5396F7B4">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0.080 </w:t>
                  </w:r>
                </w:p>
              </w:tc>
              <w:tc>
                <w:tcPr>
                  <w:tcW w:w="362" w:type="pct"/>
                  <w:vMerge w:val="continue"/>
                  <w:vAlign w:val="center"/>
                </w:tcPr>
                <w:p w14:paraId="0502ED04">
                  <w:pPr>
                    <w:spacing w:line="240" w:lineRule="auto"/>
                    <w:jc w:val="center"/>
                    <w:rPr>
                      <w:sz w:val="21"/>
                      <w:szCs w:val="21"/>
                    </w:rPr>
                  </w:pPr>
                </w:p>
              </w:tc>
            </w:tr>
            <w:tr w14:paraId="2851E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7" w:type="pct"/>
                  <w:vMerge w:val="continue"/>
                  <w:vAlign w:val="center"/>
                </w:tcPr>
                <w:p w14:paraId="01FD1C0D">
                  <w:pPr>
                    <w:spacing w:line="240" w:lineRule="auto"/>
                    <w:jc w:val="center"/>
                    <w:rPr>
                      <w:rFonts w:hint="eastAsia"/>
                      <w:sz w:val="21"/>
                      <w:szCs w:val="21"/>
                    </w:rPr>
                  </w:pPr>
                </w:p>
              </w:tc>
              <w:tc>
                <w:tcPr>
                  <w:tcW w:w="303" w:type="pct"/>
                  <w:vMerge w:val="continue"/>
                  <w:vAlign w:val="center"/>
                </w:tcPr>
                <w:p w14:paraId="4A7946CD">
                  <w:pPr>
                    <w:spacing w:line="240" w:lineRule="auto"/>
                    <w:jc w:val="center"/>
                    <w:rPr>
                      <w:rFonts w:hint="eastAsia"/>
                      <w:sz w:val="21"/>
                      <w:szCs w:val="21"/>
                      <w:lang w:val="en-US" w:eastAsia="zh-CN"/>
                    </w:rPr>
                  </w:pPr>
                </w:p>
              </w:tc>
              <w:tc>
                <w:tcPr>
                  <w:tcW w:w="370" w:type="pct"/>
                  <w:vMerge w:val="continue"/>
                  <w:vAlign w:val="center"/>
                </w:tcPr>
                <w:p w14:paraId="7B60A16B">
                  <w:pPr>
                    <w:spacing w:line="240" w:lineRule="auto"/>
                    <w:jc w:val="center"/>
                    <w:rPr>
                      <w:rFonts w:hint="eastAsia"/>
                      <w:sz w:val="21"/>
                      <w:szCs w:val="21"/>
                      <w:lang w:val="en-US" w:eastAsia="zh-CN"/>
                    </w:rPr>
                  </w:pPr>
                </w:p>
              </w:tc>
              <w:tc>
                <w:tcPr>
                  <w:tcW w:w="405" w:type="pct"/>
                  <w:vAlign w:val="center"/>
                </w:tcPr>
                <w:p w14:paraId="1992B9F8">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NOx</w:t>
                  </w:r>
                </w:p>
              </w:tc>
              <w:tc>
                <w:tcPr>
                  <w:tcW w:w="880" w:type="dxa"/>
                  <w:vAlign w:val="center"/>
                </w:tcPr>
                <w:p w14:paraId="6F4968B0">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1.855 </w:t>
                  </w:r>
                </w:p>
              </w:tc>
              <w:tc>
                <w:tcPr>
                  <w:tcW w:w="958" w:type="dxa"/>
                  <w:vAlign w:val="center"/>
                </w:tcPr>
                <w:p w14:paraId="08D594A4">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 </w:t>
                  </w:r>
                </w:p>
              </w:tc>
              <w:tc>
                <w:tcPr>
                  <w:tcW w:w="885" w:type="dxa"/>
                  <w:tcMar>
                    <w:left w:w="28" w:type="dxa"/>
                    <w:right w:w="28" w:type="dxa"/>
                  </w:tcMar>
                  <w:vAlign w:val="center"/>
                </w:tcPr>
                <w:p w14:paraId="503A82BE">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0.374 </w:t>
                  </w:r>
                </w:p>
              </w:tc>
              <w:tc>
                <w:tcPr>
                  <w:tcW w:w="818" w:type="pct"/>
                  <w:vMerge w:val="continue"/>
                  <w:vAlign w:val="center"/>
                </w:tcPr>
                <w:p w14:paraId="0450EA85">
                  <w:pPr>
                    <w:spacing w:line="240" w:lineRule="auto"/>
                    <w:jc w:val="center"/>
                    <w:rPr>
                      <w:rFonts w:hint="eastAsia" w:ascii="Times New Roman" w:hAnsi="Times New Roman" w:cs="Times New Roman"/>
                      <w:sz w:val="21"/>
                      <w:szCs w:val="21"/>
                      <w:lang w:val="en-US" w:eastAsia="zh-CN"/>
                    </w:rPr>
                  </w:pPr>
                </w:p>
              </w:tc>
              <w:tc>
                <w:tcPr>
                  <w:tcW w:w="294" w:type="pct"/>
                  <w:vAlign w:val="center"/>
                </w:tcPr>
                <w:p w14:paraId="2B9E28C8">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361" w:type="pct"/>
                  <w:shd w:val="clear" w:color="auto" w:fill="auto"/>
                  <w:vAlign w:val="center"/>
                </w:tcPr>
                <w:p w14:paraId="4ADF1D10">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1.855 </w:t>
                  </w:r>
                </w:p>
              </w:tc>
              <w:tc>
                <w:tcPr>
                  <w:tcW w:w="333" w:type="pct"/>
                  <w:shd w:val="clear" w:color="auto" w:fill="auto"/>
                  <w:vAlign w:val="center"/>
                </w:tcPr>
                <w:p w14:paraId="08A08451">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0.05 </w:t>
                  </w:r>
                </w:p>
              </w:tc>
              <w:tc>
                <w:tcPr>
                  <w:tcW w:w="401" w:type="pct"/>
                  <w:shd w:val="clear" w:color="auto" w:fill="auto"/>
                  <w:vAlign w:val="center"/>
                </w:tcPr>
                <w:p w14:paraId="1A07CA4C">
                  <w:pPr>
                    <w:spacing w:line="240" w:lineRule="auto"/>
                    <w:jc w:val="center"/>
                    <w:rPr>
                      <w:rFonts w:hint="default" w:ascii="Times New Roman" w:hAnsi="Times New Roman" w:eastAsia="仿宋" w:cs="Times New Roman"/>
                      <w:kern w:val="2"/>
                      <w:sz w:val="21"/>
                      <w:szCs w:val="21"/>
                      <w:lang w:val="en-US" w:eastAsia="zh-CN" w:bidi="ar-SA"/>
                    </w:rPr>
                  </w:pPr>
                  <w:r>
                    <w:rPr>
                      <w:rFonts w:hint="default" w:cs="Times New Roman"/>
                      <w:sz w:val="21"/>
                      <w:szCs w:val="21"/>
                      <w:lang w:val="en-US" w:eastAsia="zh-CN"/>
                    </w:rPr>
                    <w:t xml:space="preserve">0.374 </w:t>
                  </w:r>
                </w:p>
              </w:tc>
              <w:tc>
                <w:tcPr>
                  <w:tcW w:w="362" w:type="pct"/>
                  <w:vMerge w:val="continue"/>
                  <w:vAlign w:val="center"/>
                </w:tcPr>
                <w:p w14:paraId="607D5281">
                  <w:pPr>
                    <w:spacing w:line="240" w:lineRule="auto"/>
                    <w:jc w:val="center"/>
                    <w:rPr>
                      <w:sz w:val="21"/>
                      <w:szCs w:val="21"/>
                    </w:rPr>
                  </w:pPr>
                </w:p>
              </w:tc>
            </w:tr>
            <w:tr w14:paraId="262DB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40" w:type="pct"/>
                  <w:gridSpan w:val="3"/>
                  <w:vMerge w:val="restart"/>
                  <w:vAlign w:val="center"/>
                </w:tcPr>
                <w:p w14:paraId="376904AA">
                  <w:pPr>
                    <w:spacing w:line="240" w:lineRule="auto"/>
                    <w:jc w:val="center"/>
                    <w:rPr>
                      <w:rFonts w:hint="default"/>
                      <w:b/>
                      <w:bCs/>
                      <w:sz w:val="21"/>
                      <w:szCs w:val="21"/>
                      <w:lang w:val="en-US" w:eastAsia="zh-CN"/>
                    </w:rPr>
                  </w:pPr>
                  <w:r>
                    <w:rPr>
                      <w:rFonts w:hint="eastAsia"/>
                      <w:b/>
                      <w:bCs/>
                      <w:sz w:val="21"/>
                      <w:szCs w:val="21"/>
                      <w:lang w:val="en-US" w:eastAsia="zh-CN"/>
                    </w:rPr>
                    <w:t>合计</w:t>
                  </w:r>
                </w:p>
              </w:tc>
              <w:tc>
                <w:tcPr>
                  <w:tcW w:w="405" w:type="pct"/>
                  <w:vAlign w:val="center"/>
                </w:tcPr>
                <w:p w14:paraId="40F40F16">
                  <w:pPr>
                    <w:spacing w:line="240" w:lineRule="auto"/>
                    <w:jc w:val="center"/>
                    <w:rPr>
                      <w:rFonts w:hint="eastAsia" w:ascii="Times New Roman" w:hAnsi="Times New Roman" w:cs="Times New Roman"/>
                      <w:b/>
                      <w:bCs/>
                      <w:sz w:val="21"/>
                      <w:szCs w:val="21"/>
                      <w:lang w:val="en-US" w:eastAsia="zh-CN"/>
                    </w:rPr>
                  </w:pPr>
                  <w:r>
                    <w:rPr>
                      <w:rFonts w:hint="eastAsia"/>
                      <w:b/>
                      <w:bCs/>
                      <w:sz w:val="21"/>
                      <w:szCs w:val="21"/>
                      <w:lang w:val="en-US" w:eastAsia="zh-CN"/>
                    </w:rPr>
                    <w:t>颗粒物</w:t>
                  </w:r>
                </w:p>
              </w:tc>
              <w:tc>
                <w:tcPr>
                  <w:tcW w:w="350" w:type="pct"/>
                  <w:shd w:val="clear" w:color="auto" w:fill="auto"/>
                  <w:vAlign w:val="center"/>
                </w:tcPr>
                <w:p w14:paraId="40C8712E">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17.5</w:t>
                  </w:r>
                  <w:r>
                    <w:rPr>
                      <w:rFonts w:hint="eastAsia" w:cs="Times New Roman"/>
                      <w:b/>
                      <w:bCs/>
                      <w:sz w:val="21"/>
                      <w:szCs w:val="21"/>
                      <w:lang w:val="en-US" w:eastAsia="zh-CN"/>
                    </w:rPr>
                    <w:t>67</w:t>
                  </w:r>
                  <w:r>
                    <w:rPr>
                      <w:rFonts w:hint="eastAsia" w:ascii="Times New Roman" w:hAnsi="Times New Roman" w:cs="Times New Roman"/>
                      <w:b/>
                      <w:bCs/>
                      <w:sz w:val="21"/>
                      <w:szCs w:val="21"/>
                      <w:lang w:val="en-US" w:eastAsia="zh-CN"/>
                    </w:rPr>
                    <w:t xml:space="preserve"> </w:t>
                  </w:r>
                </w:p>
              </w:tc>
              <w:tc>
                <w:tcPr>
                  <w:tcW w:w="381" w:type="pct"/>
                  <w:shd w:val="clear" w:color="auto" w:fill="auto"/>
                  <w:vAlign w:val="center"/>
                </w:tcPr>
                <w:p w14:paraId="061797E5">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0.49</w:t>
                  </w:r>
                </w:p>
              </w:tc>
              <w:tc>
                <w:tcPr>
                  <w:tcW w:w="352" w:type="pct"/>
                  <w:shd w:val="clear" w:color="auto" w:fill="auto"/>
                  <w:tcMar>
                    <w:left w:w="28" w:type="dxa"/>
                    <w:right w:w="28" w:type="dxa"/>
                  </w:tcMar>
                  <w:vAlign w:val="center"/>
                </w:tcPr>
                <w:p w14:paraId="441A749B">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3.5</w:t>
                  </w:r>
                  <w:r>
                    <w:rPr>
                      <w:rFonts w:hint="eastAsia" w:cs="Times New Roman"/>
                      <w:b/>
                      <w:bCs/>
                      <w:sz w:val="21"/>
                      <w:szCs w:val="21"/>
                      <w:lang w:val="en-US" w:eastAsia="zh-CN"/>
                    </w:rPr>
                    <w:t>42</w:t>
                  </w:r>
                  <w:r>
                    <w:rPr>
                      <w:rFonts w:hint="eastAsia" w:ascii="Times New Roman" w:hAnsi="Times New Roman" w:cs="Times New Roman"/>
                      <w:b/>
                      <w:bCs/>
                      <w:sz w:val="21"/>
                      <w:szCs w:val="21"/>
                      <w:lang w:val="en-US" w:eastAsia="zh-CN"/>
                    </w:rPr>
                    <w:t xml:space="preserve"> </w:t>
                  </w:r>
                </w:p>
              </w:tc>
              <w:tc>
                <w:tcPr>
                  <w:tcW w:w="818" w:type="pct"/>
                  <w:vMerge w:val="restart"/>
                  <w:shd w:val="clear" w:color="auto" w:fill="auto"/>
                  <w:vAlign w:val="center"/>
                </w:tcPr>
                <w:p w14:paraId="11489897">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cs="Times New Roman"/>
                      <w:b/>
                      <w:bCs/>
                      <w:sz w:val="21"/>
                      <w:szCs w:val="21"/>
                      <w:lang w:val="en-US" w:eastAsia="zh-CN"/>
                    </w:rPr>
                    <w:t>水喷淋+干式过滤+</w:t>
                  </w:r>
                  <w:r>
                    <w:rPr>
                      <w:rFonts w:hint="eastAsia" w:ascii="Times New Roman" w:hAnsi="Times New Roman" w:cs="Times New Roman"/>
                      <w:b/>
                      <w:bCs/>
                      <w:sz w:val="21"/>
                      <w:szCs w:val="21"/>
                      <w:lang w:val="en-US" w:eastAsia="zh-CN"/>
                    </w:rPr>
                    <w:t>二级活性炭吸附装置（TA001）</w:t>
                  </w:r>
                </w:p>
              </w:tc>
              <w:tc>
                <w:tcPr>
                  <w:tcW w:w="294" w:type="pct"/>
                  <w:shd w:val="clear" w:color="auto" w:fill="auto"/>
                  <w:vAlign w:val="center"/>
                </w:tcPr>
                <w:p w14:paraId="35F7BE46">
                  <w:pPr>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90%</w:t>
                  </w:r>
                </w:p>
              </w:tc>
              <w:tc>
                <w:tcPr>
                  <w:tcW w:w="361" w:type="pct"/>
                  <w:vAlign w:val="center"/>
                </w:tcPr>
                <w:p w14:paraId="50C28D23">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1.75</w:t>
                  </w:r>
                  <w:r>
                    <w:rPr>
                      <w:rFonts w:hint="eastAsia" w:cs="Times New Roman"/>
                      <w:b/>
                      <w:bCs/>
                      <w:sz w:val="21"/>
                      <w:szCs w:val="21"/>
                      <w:lang w:val="en-US" w:eastAsia="zh-CN"/>
                    </w:rPr>
                    <w:t>7</w:t>
                  </w:r>
                  <w:r>
                    <w:rPr>
                      <w:rFonts w:hint="eastAsia" w:ascii="Times New Roman" w:hAnsi="Times New Roman" w:cs="Times New Roman"/>
                      <w:b/>
                      <w:bCs/>
                      <w:sz w:val="21"/>
                      <w:szCs w:val="21"/>
                      <w:lang w:val="en-US" w:eastAsia="zh-CN"/>
                    </w:rPr>
                    <w:t xml:space="preserve"> </w:t>
                  </w:r>
                </w:p>
              </w:tc>
              <w:tc>
                <w:tcPr>
                  <w:tcW w:w="333" w:type="pct"/>
                  <w:vAlign w:val="center"/>
                </w:tcPr>
                <w:p w14:paraId="06F87E19">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0.05 </w:t>
                  </w:r>
                </w:p>
              </w:tc>
              <w:tc>
                <w:tcPr>
                  <w:tcW w:w="401" w:type="pct"/>
                  <w:shd w:val="clear" w:color="auto" w:fill="auto"/>
                  <w:vAlign w:val="center"/>
                </w:tcPr>
                <w:p w14:paraId="60333CD5">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0.35</w:t>
                  </w:r>
                  <w:r>
                    <w:rPr>
                      <w:rFonts w:hint="eastAsia" w:cs="Times New Roman"/>
                      <w:b/>
                      <w:bCs/>
                      <w:sz w:val="21"/>
                      <w:szCs w:val="21"/>
                      <w:lang w:val="en-US" w:eastAsia="zh-CN"/>
                    </w:rPr>
                    <w:t>4</w:t>
                  </w:r>
                  <w:r>
                    <w:rPr>
                      <w:rFonts w:hint="eastAsia" w:ascii="Times New Roman" w:hAnsi="Times New Roman" w:cs="Times New Roman"/>
                      <w:b/>
                      <w:bCs/>
                      <w:sz w:val="21"/>
                      <w:szCs w:val="21"/>
                      <w:lang w:val="en-US" w:eastAsia="zh-CN"/>
                    </w:rPr>
                    <w:t xml:space="preserve"> </w:t>
                  </w:r>
                </w:p>
              </w:tc>
              <w:tc>
                <w:tcPr>
                  <w:tcW w:w="362" w:type="pct"/>
                  <w:vMerge w:val="restart"/>
                  <w:shd w:val="clear" w:color="auto" w:fill="auto"/>
                  <w:vAlign w:val="center"/>
                </w:tcPr>
                <w:p w14:paraId="3B361B75">
                  <w:pPr>
                    <w:spacing w:line="240" w:lineRule="auto"/>
                    <w:jc w:val="center"/>
                    <w:rPr>
                      <w:b/>
                      <w:bCs/>
                      <w:sz w:val="21"/>
                      <w:szCs w:val="21"/>
                    </w:rPr>
                  </w:pPr>
                  <w:r>
                    <w:rPr>
                      <w:b/>
                      <w:bCs/>
                      <w:sz w:val="21"/>
                      <w:szCs w:val="21"/>
                    </w:rPr>
                    <w:t>间断</w:t>
                  </w:r>
                </w:p>
                <w:p w14:paraId="3AB61018">
                  <w:pPr>
                    <w:spacing w:line="240" w:lineRule="auto"/>
                    <w:jc w:val="center"/>
                    <w:rPr>
                      <w:rFonts w:ascii="Times New Roman" w:hAnsi="Times New Roman" w:eastAsia="仿宋" w:cs="Times New Roman"/>
                      <w:kern w:val="2"/>
                      <w:sz w:val="21"/>
                      <w:szCs w:val="21"/>
                      <w:lang w:val="en-US" w:eastAsia="zh-CN" w:bidi="ar-SA"/>
                    </w:rPr>
                  </w:pPr>
                  <w:r>
                    <w:rPr>
                      <w:b/>
                      <w:bCs/>
                      <w:sz w:val="21"/>
                      <w:szCs w:val="21"/>
                    </w:rPr>
                    <w:t>排放</w:t>
                  </w:r>
                  <w:r>
                    <w:rPr>
                      <w:rFonts w:hint="eastAsia"/>
                      <w:b/>
                      <w:bCs/>
                      <w:sz w:val="21"/>
                      <w:szCs w:val="21"/>
                      <w:lang w:val="en-US" w:eastAsia="zh-CN"/>
                    </w:rPr>
                    <w:t>72</w:t>
                  </w:r>
                  <w:r>
                    <w:rPr>
                      <w:b/>
                      <w:bCs/>
                      <w:sz w:val="21"/>
                      <w:szCs w:val="21"/>
                    </w:rPr>
                    <w:t>00h</w:t>
                  </w:r>
                </w:p>
              </w:tc>
            </w:tr>
            <w:tr w14:paraId="56D8C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40" w:type="pct"/>
                  <w:gridSpan w:val="3"/>
                  <w:vMerge w:val="continue"/>
                  <w:vAlign w:val="center"/>
                </w:tcPr>
                <w:p w14:paraId="6B52DD51">
                  <w:pPr>
                    <w:spacing w:line="240" w:lineRule="auto"/>
                    <w:jc w:val="center"/>
                    <w:rPr>
                      <w:rFonts w:hint="eastAsia"/>
                      <w:b/>
                      <w:bCs/>
                      <w:sz w:val="21"/>
                      <w:szCs w:val="21"/>
                      <w:lang w:val="en-US" w:eastAsia="zh-CN"/>
                    </w:rPr>
                  </w:pPr>
                </w:p>
              </w:tc>
              <w:tc>
                <w:tcPr>
                  <w:tcW w:w="405" w:type="pct"/>
                  <w:shd w:val="clear" w:color="auto" w:fill="auto"/>
                  <w:vAlign w:val="center"/>
                </w:tcPr>
                <w:p w14:paraId="61E74F7D">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非甲烷总烃</w:t>
                  </w:r>
                </w:p>
              </w:tc>
              <w:tc>
                <w:tcPr>
                  <w:tcW w:w="350" w:type="pct"/>
                  <w:shd w:val="clear" w:color="auto" w:fill="auto"/>
                  <w:vAlign w:val="center"/>
                </w:tcPr>
                <w:p w14:paraId="2432AC58">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13.39</w:t>
                  </w:r>
                  <w:r>
                    <w:rPr>
                      <w:rFonts w:hint="default" w:ascii="Times New Roman" w:hAnsi="Times New Roman" w:cs="Times New Roman"/>
                      <w:b/>
                      <w:bCs/>
                      <w:sz w:val="21"/>
                      <w:szCs w:val="21"/>
                      <w:lang w:val="en-US" w:eastAsia="zh-CN"/>
                    </w:rPr>
                    <w:t xml:space="preserve"> </w:t>
                  </w:r>
                </w:p>
              </w:tc>
              <w:tc>
                <w:tcPr>
                  <w:tcW w:w="381" w:type="pct"/>
                  <w:shd w:val="clear" w:color="auto" w:fill="auto"/>
                  <w:vAlign w:val="center"/>
                </w:tcPr>
                <w:p w14:paraId="131D328A">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0.</w:t>
                  </w:r>
                  <w:r>
                    <w:rPr>
                      <w:rFonts w:hint="eastAsia" w:ascii="Times New Roman" w:hAnsi="Times New Roman" w:cs="Times New Roman"/>
                      <w:b/>
                      <w:bCs/>
                      <w:sz w:val="21"/>
                      <w:szCs w:val="21"/>
                      <w:lang w:val="en-US" w:eastAsia="zh-CN"/>
                    </w:rPr>
                    <w:t>38</w:t>
                  </w:r>
                  <w:r>
                    <w:rPr>
                      <w:rFonts w:hint="default" w:ascii="Times New Roman" w:hAnsi="Times New Roman" w:cs="Times New Roman"/>
                      <w:b/>
                      <w:bCs/>
                      <w:sz w:val="21"/>
                      <w:szCs w:val="21"/>
                      <w:lang w:val="en-US" w:eastAsia="zh-CN"/>
                    </w:rPr>
                    <w:t xml:space="preserve"> </w:t>
                  </w:r>
                </w:p>
              </w:tc>
              <w:tc>
                <w:tcPr>
                  <w:tcW w:w="352" w:type="pct"/>
                  <w:shd w:val="clear" w:color="auto" w:fill="auto"/>
                  <w:tcMar>
                    <w:left w:w="28" w:type="dxa"/>
                    <w:right w:w="28" w:type="dxa"/>
                  </w:tcMar>
                  <w:vAlign w:val="center"/>
                </w:tcPr>
                <w:p w14:paraId="21D9F1F0">
                  <w:pPr>
                    <w:spacing w:line="24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2.7</w:t>
                  </w:r>
                  <w:r>
                    <w:rPr>
                      <w:rFonts w:hint="default" w:ascii="Times New Roman" w:hAnsi="Times New Roman" w:cs="Times New Roman"/>
                      <w:b/>
                      <w:bCs/>
                      <w:sz w:val="21"/>
                      <w:szCs w:val="21"/>
                      <w:lang w:val="en-US" w:eastAsia="zh-CN"/>
                    </w:rPr>
                    <w:t xml:space="preserve"> </w:t>
                  </w:r>
                </w:p>
              </w:tc>
              <w:tc>
                <w:tcPr>
                  <w:tcW w:w="818" w:type="pct"/>
                  <w:vMerge w:val="continue"/>
                  <w:vAlign w:val="center"/>
                </w:tcPr>
                <w:p w14:paraId="452435A1">
                  <w:pPr>
                    <w:spacing w:line="240" w:lineRule="auto"/>
                    <w:jc w:val="center"/>
                    <w:rPr>
                      <w:rFonts w:hint="eastAsia" w:ascii="Times New Roman" w:hAnsi="Times New Roman" w:cs="Times New Roman"/>
                      <w:b/>
                      <w:bCs/>
                      <w:sz w:val="21"/>
                      <w:szCs w:val="21"/>
                      <w:lang w:val="en-US" w:eastAsia="zh-CN"/>
                    </w:rPr>
                  </w:pPr>
                </w:p>
              </w:tc>
              <w:tc>
                <w:tcPr>
                  <w:tcW w:w="294" w:type="pct"/>
                  <w:shd w:val="clear" w:color="auto" w:fill="auto"/>
                  <w:vAlign w:val="center"/>
                </w:tcPr>
                <w:p w14:paraId="7BC09F1A">
                  <w:pPr>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90%</w:t>
                  </w:r>
                </w:p>
              </w:tc>
              <w:tc>
                <w:tcPr>
                  <w:tcW w:w="361" w:type="pct"/>
                  <w:shd w:val="clear" w:color="auto" w:fill="auto"/>
                  <w:vAlign w:val="center"/>
                </w:tcPr>
                <w:p w14:paraId="1B6FEEB6">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1.339 </w:t>
                  </w:r>
                </w:p>
              </w:tc>
              <w:tc>
                <w:tcPr>
                  <w:tcW w:w="333" w:type="pct"/>
                  <w:shd w:val="clear" w:color="auto" w:fill="auto"/>
                  <w:vAlign w:val="center"/>
                </w:tcPr>
                <w:p w14:paraId="530F81E8">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0.04 </w:t>
                  </w:r>
                </w:p>
              </w:tc>
              <w:tc>
                <w:tcPr>
                  <w:tcW w:w="401" w:type="pct"/>
                  <w:shd w:val="clear" w:color="auto" w:fill="auto"/>
                  <w:vAlign w:val="center"/>
                </w:tcPr>
                <w:p w14:paraId="766D310E">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0.</w:t>
                  </w:r>
                  <w:r>
                    <w:rPr>
                      <w:rFonts w:hint="eastAsia" w:ascii="Times New Roman" w:hAnsi="Times New Roman" w:cs="Times New Roman"/>
                      <w:b/>
                      <w:bCs/>
                      <w:sz w:val="21"/>
                      <w:szCs w:val="21"/>
                      <w:lang w:val="en-US" w:eastAsia="zh-CN"/>
                    </w:rPr>
                    <w:t>27</w:t>
                  </w:r>
                  <w:r>
                    <w:rPr>
                      <w:rFonts w:hint="default" w:ascii="Times New Roman" w:hAnsi="Times New Roman" w:cs="Times New Roman"/>
                      <w:b/>
                      <w:bCs/>
                      <w:sz w:val="21"/>
                      <w:szCs w:val="21"/>
                      <w:lang w:val="en-US" w:eastAsia="zh-CN"/>
                    </w:rPr>
                    <w:t xml:space="preserve"> </w:t>
                  </w:r>
                </w:p>
              </w:tc>
              <w:tc>
                <w:tcPr>
                  <w:tcW w:w="362" w:type="pct"/>
                  <w:vMerge w:val="continue"/>
                  <w:vAlign w:val="center"/>
                </w:tcPr>
                <w:p w14:paraId="7BFD0DFC">
                  <w:pPr>
                    <w:spacing w:line="240" w:lineRule="auto"/>
                    <w:jc w:val="center"/>
                    <w:rPr>
                      <w:sz w:val="21"/>
                      <w:szCs w:val="21"/>
                    </w:rPr>
                  </w:pPr>
                </w:p>
              </w:tc>
            </w:tr>
            <w:tr w14:paraId="67347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40" w:type="pct"/>
                  <w:gridSpan w:val="3"/>
                  <w:vMerge w:val="continue"/>
                  <w:vAlign w:val="center"/>
                </w:tcPr>
                <w:p w14:paraId="245293BB">
                  <w:pPr>
                    <w:spacing w:line="240" w:lineRule="auto"/>
                    <w:jc w:val="center"/>
                    <w:rPr>
                      <w:rFonts w:hint="eastAsia"/>
                      <w:b/>
                      <w:bCs/>
                      <w:sz w:val="21"/>
                      <w:szCs w:val="21"/>
                      <w:lang w:val="en-US" w:eastAsia="zh-CN"/>
                    </w:rPr>
                  </w:pPr>
                </w:p>
              </w:tc>
              <w:tc>
                <w:tcPr>
                  <w:tcW w:w="405" w:type="pct"/>
                  <w:shd w:val="clear" w:color="auto" w:fill="auto"/>
                  <w:vAlign w:val="center"/>
                </w:tcPr>
                <w:p w14:paraId="7AD304A7">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ascii="Times New Roman" w:hAnsi="Times New Roman" w:cs="Times New Roman"/>
                      <w:b/>
                      <w:bCs/>
                      <w:sz w:val="21"/>
                      <w:szCs w:val="21"/>
                      <w:lang w:val="en-US" w:eastAsia="zh-CN"/>
                    </w:rPr>
                    <w:t>SO</w:t>
                  </w:r>
                  <w:r>
                    <w:rPr>
                      <w:rFonts w:hint="eastAsia" w:ascii="Times New Roman" w:hAnsi="Times New Roman" w:cs="Times New Roman"/>
                      <w:b/>
                      <w:bCs/>
                      <w:sz w:val="21"/>
                      <w:szCs w:val="21"/>
                      <w:vertAlign w:val="subscript"/>
                      <w:lang w:val="en-US" w:eastAsia="zh-CN"/>
                    </w:rPr>
                    <w:t>2</w:t>
                  </w:r>
                </w:p>
              </w:tc>
              <w:tc>
                <w:tcPr>
                  <w:tcW w:w="880" w:type="dxa"/>
                  <w:shd w:val="clear" w:color="auto" w:fill="auto"/>
                  <w:vAlign w:val="center"/>
                </w:tcPr>
                <w:p w14:paraId="32B49566">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0.397 </w:t>
                  </w:r>
                </w:p>
              </w:tc>
              <w:tc>
                <w:tcPr>
                  <w:tcW w:w="958" w:type="dxa"/>
                  <w:shd w:val="clear" w:color="auto" w:fill="auto"/>
                  <w:vAlign w:val="center"/>
                </w:tcPr>
                <w:p w14:paraId="6B67DB4B">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0.01 </w:t>
                  </w:r>
                </w:p>
              </w:tc>
              <w:tc>
                <w:tcPr>
                  <w:tcW w:w="885" w:type="dxa"/>
                  <w:shd w:val="clear" w:color="auto" w:fill="auto"/>
                  <w:tcMar>
                    <w:left w:w="28" w:type="dxa"/>
                    <w:right w:w="28" w:type="dxa"/>
                  </w:tcMar>
                  <w:vAlign w:val="center"/>
                </w:tcPr>
                <w:p w14:paraId="1C3A9BA3">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0.080 </w:t>
                  </w:r>
                </w:p>
              </w:tc>
              <w:tc>
                <w:tcPr>
                  <w:tcW w:w="818" w:type="pct"/>
                  <w:vMerge w:val="continue"/>
                  <w:vAlign w:val="center"/>
                </w:tcPr>
                <w:p w14:paraId="05479356">
                  <w:pPr>
                    <w:spacing w:line="240" w:lineRule="auto"/>
                    <w:jc w:val="center"/>
                    <w:rPr>
                      <w:rFonts w:hint="eastAsia" w:ascii="Times New Roman" w:hAnsi="Times New Roman" w:cs="Times New Roman"/>
                      <w:b/>
                      <w:bCs/>
                      <w:sz w:val="21"/>
                      <w:szCs w:val="21"/>
                      <w:lang w:val="en-US" w:eastAsia="zh-CN"/>
                    </w:rPr>
                  </w:pPr>
                </w:p>
              </w:tc>
              <w:tc>
                <w:tcPr>
                  <w:tcW w:w="294" w:type="pct"/>
                  <w:shd w:val="clear" w:color="auto" w:fill="auto"/>
                  <w:vAlign w:val="center"/>
                </w:tcPr>
                <w:p w14:paraId="1CB75C0D">
                  <w:pPr>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w:t>
                  </w:r>
                </w:p>
              </w:tc>
              <w:tc>
                <w:tcPr>
                  <w:tcW w:w="908" w:type="dxa"/>
                  <w:shd w:val="clear" w:color="auto" w:fill="auto"/>
                  <w:vAlign w:val="center"/>
                </w:tcPr>
                <w:p w14:paraId="443280EC">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0.397 </w:t>
                  </w:r>
                </w:p>
              </w:tc>
              <w:tc>
                <w:tcPr>
                  <w:tcW w:w="837" w:type="dxa"/>
                  <w:shd w:val="clear" w:color="auto" w:fill="auto"/>
                  <w:vAlign w:val="center"/>
                </w:tcPr>
                <w:p w14:paraId="099CE042">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0.01 </w:t>
                  </w:r>
                </w:p>
              </w:tc>
              <w:tc>
                <w:tcPr>
                  <w:tcW w:w="1008" w:type="dxa"/>
                  <w:shd w:val="clear" w:color="auto" w:fill="auto"/>
                  <w:vAlign w:val="center"/>
                </w:tcPr>
                <w:p w14:paraId="352EE0B6">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0.080 </w:t>
                  </w:r>
                </w:p>
              </w:tc>
              <w:tc>
                <w:tcPr>
                  <w:tcW w:w="362" w:type="pct"/>
                  <w:vMerge w:val="continue"/>
                  <w:vAlign w:val="center"/>
                </w:tcPr>
                <w:p w14:paraId="240FB41A">
                  <w:pPr>
                    <w:spacing w:line="240" w:lineRule="auto"/>
                    <w:jc w:val="center"/>
                    <w:rPr>
                      <w:sz w:val="21"/>
                      <w:szCs w:val="21"/>
                    </w:rPr>
                  </w:pPr>
                </w:p>
              </w:tc>
            </w:tr>
            <w:tr w14:paraId="6D929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40" w:type="pct"/>
                  <w:gridSpan w:val="3"/>
                  <w:vMerge w:val="continue"/>
                  <w:vAlign w:val="center"/>
                </w:tcPr>
                <w:p w14:paraId="6DBBD26C">
                  <w:pPr>
                    <w:spacing w:line="240" w:lineRule="auto"/>
                    <w:jc w:val="center"/>
                    <w:rPr>
                      <w:rFonts w:hint="eastAsia"/>
                      <w:b/>
                      <w:bCs/>
                      <w:sz w:val="21"/>
                      <w:szCs w:val="21"/>
                      <w:lang w:val="en-US" w:eastAsia="zh-CN"/>
                    </w:rPr>
                  </w:pPr>
                </w:p>
              </w:tc>
              <w:tc>
                <w:tcPr>
                  <w:tcW w:w="405" w:type="pct"/>
                  <w:shd w:val="clear" w:color="auto" w:fill="auto"/>
                  <w:vAlign w:val="center"/>
                </w:tcPr>
                <w:p w14:paraId="56632504">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ascii="Times New Roman" w:hAnsi="Times New Roman" w:cs="Times New Roman"/>
                      <w:b/>
                      <w:bCs/>
                      <w:sz w:val="21"/>
                      <w:szCs w:val="21"/>
                      <w:lang w:val="en-US" w:eastAsia="zh-CN"/>
                    </w:rPr>
                    <w:t>NOx</w:t>
                  </w:r>
                </w:p>
              </w:tc>
              <w:tc>
                <w:tcPr>
                  <w:tcW w:w="880" w:type="dxa"/>
                  <w:shd w:val="clear" w:color="auto" w:fill="auto"/>
                  <w:vAlign w:val="center"/>
                </w:tcPr>
                <w:p w14:paraId="437304E7">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1.855 </w:t>
                  </w:r>
                </w:p>
              </w:tc>
              <w:tc>
                <w:tcPr>
                  <w:tcW w:w="958" w:type="dxa"/>
                  <w:shd w:val="clear" w:color="auto" w:fill="auto"/>
                  <w:vAlign w:val="center"/>
                </w:tcPr>
                <w:p w14:paraId="531B25B7">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0.05 </w:t>
                  </w:r>
                </w:p>
              </w:tc>
              <w:tc>
                <w:tcPr>
                  <w:tcW w:w="885" w:type="dxa"/>
                  <w:shd w:val="clear" w:color="auto" w:fill="auto"/>
                  <w:tcMar>
                    <w:left w:w="28" w:type="dxa"/>
                    <w:right w:w="28" w:type="dxa"/>
                  </w:tcMar>
                  <w:vAlign w:val="center"/>
                </w:tcPr>
                <w:p w14:paraId="4AF6648D">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0.374 </w:t>
                  </w:r>
                </w:p>
              </w:tc>
              <w:tc>
                <w:tcPr>
                  <w:tcW w:w="818" w:type="pct"/>
                  <w:vMerge w:val="continue"/>
                  <w:vAlign w:val="center"/>
                </w:tcPr>
                <w:p w14:paraId="311951E5">
                  <w:pPr>
                    <w:spacing w:line="240" w:lineRule="auto"/>
                    <w:jc w:val="center"/>
                    <w:rPr>
                      <w:rFonts w:hint="eastAsia" w:ascii="Times New Roman" w:hAnsi="Times New Roman" w:cs="Times New Roman"/>
                      <w:b/>
                      <w:bCs/>
                      <w:sz w:val="21"/>
                      <w:szCs w:val="21"/>
                      <w:lang w:val="en-US" w:eastAsia="zh-CN"/>
                    </w:rPr>
                  </w:pPr>
                </w:p>
              </w:tc>
              <w:tc>
                <w:tcPr>
                  <w:tcW w:w="294" w:type="pct"/>
                  <w:shd w:val="clear" w:color="auto" w:fill="auto"/>
                  <w:vAlign w:val="center"/>
                </w:tcPr>
                <w:p w14:paraId="3585EBFB">
                  <w:pPr>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w:t>
                  </w:r>
                </w:p>
              </w:tc>
              <w:tc>
                <w:tcPr>
                  <w:tcW w:w="908" w:type="dxa"/>
                  <w:shd w:val="clear" w:color="auto" w:fill="auto"/>
                  <w:vAlign w:val="center"/>
                </w:tcPr>
                <w:p w14:paraId="788B7C11">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1.855 </w:t>
                  </w:r>
                </w:p>
              </w:tc>
              <w:tc>
                <w:tcPr>
                  <w:tcW w:w="837" w:type="dxa"/>
                  <w:shd w:val="clear" w:color="auto" w:fill="auto"/>
                  <w:vAlign w:val="center"/>
                </w:tcPr>
                <w:p w14:paraId="081E30CE">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0.05 </w:t>
                  </w:r>
                </w:p>
              </w:tc>
              <w:tc>
                <w:tcPr>
                  <w:tcW w:w="1008" w:type="dxa"/>
                  <w:shd w:val="clear" w:color="auto" w:fill="auto"/>
                  <w:vAlign w:val="center"/>
                </w:tcPr>
                <w:p w14:paraId="44E776AC">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0.374 </w:t>
                  </w:r>
                </w:p>
              </w:tc>
              <w:tc>
                <w:tcPr>
                  <w:tcW w:w="362" w:type="pct"/>
                  <w:vMerge w:val="continue"/>
                  <w:vAlign w:val="center"/>
                </w:tcPr>
                <w:p w14:paraId="51EF21AF">
                  <w:pPr>
                    <w:spacing w:line="240" w:lineRule="auto"/>
                    <w:jc w:val="center"/>
                    <w:rPr>
                      <w:sz w:val="21"/>
                      <w:szCs w:val="21"/>
                    </w:rPr>
                  </w:pPr>
                </w:p>
              </w:tc>
            </w:tr>
          </w:tbl>
          <w:p w14:paraId="6F8787E9">
            <w:pPr>
              <w:spacing w:line="240" w:lineRule="auto"/>
              <w:jc w:val="center"/>
              <w:rPr>
                <w:b/>
                <w:bCs/>
                <w:sz w:val="21"/>
                <w:szCs w:val="21"/>
              </w:rPr>
            </w:pPr>
            <w:r>
              <w:rPr>
                <w:b/>
                <w:bCs/>
                <w:sz w:val="21"/>
                <w:szCs w:val="21"/>
              </w:rPr>
              <w:t>表</w:t>
            </w:r>
            <w:r>
              <w:rPr>
                <w:rFonts w:hint="eastAsia"/>
                <w:b/>
                <w:bCs/>
                <w:sz w:val="21"/>
                <w:szCs w:val="21"/>
              </w:rPr>
              <w:t xml:space="preserve">4-3  </w:t>
            </w:r>
            <w:r>
              <w:rPr>
                <w:b/>
                <w:bCs/>
                <w:sz w:val="21"/>
                <w:szCs w:val="21"/>
              </w:rPr>
              <w:t>本项目无组织废气排放一览表</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2116"/>
              <w:gridCol w:w="2085"/>
              <w:gridCol w:w="1995"/>
              <w:gridCol w:w="2847"/>
              <w:gridCol w:w="1558"/>
            </w:tblGrid>
            <w:tr w14:paraId="6AD95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pct"/>
                  <w:vAlign w:val="center"/>
                </w:tcPr>
                <w:p w14:paraId="3EAF4BDC">
                  <w:pPr>
                    <w:spacing w:line="240" w:lineRule="auto"/>
                    <w:jc w:val="center"/>
                    <w:rPr>
                      <w:b/>
                      <w:bCs/>
                      <w:sz w:val="21"/>
                      <w:szCs w:val="21"/>
                    </w:rPr>
                  </w:pPr>
                  <w:r>
                    <w:rPr>
                      <w:b/>
                      <w:bCs/>
                      <w:sz w:val="21"/>
                      <w:szCs w:val="21"/>
                    </w:rPr>
                    <w:t>污染源位置</w:t>
                  </w:r>
                </w:p>
              </w:tc>
              <w:tc>
                <w:tcPr>
                  <w:tcW w:w="842" w:type="pct"/>
                  <w:vAlign w:val="center"/>
                </w:tcPr>
                <w:p w14:paraId="20FC9C8A">
                  <w:pPr>
                    <w:spacing w:line="240" w:lineRule="auto"/>
                    <w:jc w:val="center"/>
                    <w:rPr>
                      <w:rFonts w:hint="eastAsia" w:eastAsia="仿宋"/>
                      <w:b/>
                      <w:bCs/>
                      <w:sz w:val="21"/>
                      <w:szCs w:val="21"/>
                      <w:lang w:eastAsia="zh-CN"/>
                    </w:rPr>
                  </w:pPr>
                  <w:r>
                    <w:rPr>
                      <w:b/>
                      <w:bCs/>
                      <w:sz w:val="21"/>
                      <w:szCs w:val="21"/>
                    </w:rPr>
                    <w:t>产生</w:t>
                  </w:r>
                  <w:r>
                    <w:rPr>
                      <w:rFonts w:hint="eastAsia"/>
                      <w:b/>
                      <w:bCs/>
                      <w:sz w:val="21"/>
                      <w:szCs w:val="21"/>
                      <w:lang w:eastAsia="zh-CN"/>
                    </w:rPr>
                    <w:t>工段</w:t>
                  </w:r>
                </w:p>
              </w:tc>
              <w:tc>
                <w:tcPr>
                  <w:tcW w:w="830" w:type="pct"/>
                  <w:vAlign w:val="center"/>
                </w:tcPr>
                <w:p w14:paraId="7EEF177C">
                  <w:pPr>
                    <w:spacing w:line="240" w:lineRule="auto"/>
                    <w:jc w:val="center"/>
                    <w:rPr>
                      <w:b/>
                      <w:bCs/>
                      <w:sz w:val="21"/>
                      <w:szCs w:val="21"/>
                    </w:rPr>
                  </w:pPr>
                  <w:r>
                    <w:rPr>
                      <w:b/>
                      <w:bCs/>
                      <w:sz w:val="21"/>
                      <w:szCs w:val="21"/>
                    </w:rPr>
                    <w:t>污染物</w:t>
                  </w:r>
                </w:p>
              </w:tc>
              <w:tc>
                <w:tcPr>
                  <w:tcW w:w="794" w:type="pct"/>
                  <w:vAlign w:val="center"/>
                </w:tcPr>
                <w:p w14:paraId="747758DC">
                  <w:pPr>
                    <w:spacing w:line="240" w:lineRule="auto"/>
                    <w:jc w:val="center"/>
                    <w:rPr>
                      <w:b/>
                      <w:bCs/>
                      <w:sz w:val="21"/>
                      <w:szCs w:val="21"/>
                    </w:rPr>
                  </w:pPr>
                  <w:r>
                    <w:rPr>
                      <w:b/>
                      <w:bCs/>
                      <w:sz w:val="21"/>
                      <w:szCs w:val="21"/>
                    </w:rPr>
                    <w:t>排放量t/a</w:t>
                  </w:r>
                </w:p>
              </w:tc>
              <w:tc>
                <w:tcPr>
                  <w:tcW w:w="1133" w:type="pct"/>
                  <w:vAlign w:val="center"/>
                </w:tcPr>
                <w:p w14:paraId="463C55E9">
                  <w:pPr>
                    <w:spacing w:line="240" w:lineRule="auto"/>
                    <w:jc w:val="center"/>
                    <w:rPr>
                      <w:b/>
                      <w:bCs/>
                      <w:sz w:val="21"/>
                      <w:szCs w:val="21"/>
                      <w:highlight w:val="none"/>
                    </w:rPr>
                  </w:pPr>
                  <w:r>
                    <w:rPr>
                      <w:b/>
                      <w:bCs/>
                      <w:sz w:val="21"/>
                      <w:szCs w:val="21"/>
                      <w:highlight w:val="none"/>
                    </w:rPr>
                    <w:t>面源面积m</w:t>
                  </w:r>
                  <w:r>
                    <w:rPr>
                      <w:b/>
                      <w:bCs/>
                      <w:sz w:val="21"/>
                      <w:szCs w:val="21"/>
                      <w:highlight w:val="none"/>
                      <w:vertAlign w:val="superscript"/>
                    </w:rPr>
                    <w:t>2</w:t>
                  </w:r>
                </w:p>
              </w:tc>
              <w:tc>
                <w:tcPr>
                  <w:tcW w:w="620" w:type="pct"/>
                  <w:tcMar>
                    <w:left w:w="28" w:type="dxa"/>
                    <w:right w:w="28" w:type="dxa"/>
                  </w:tcMar>
                  <w:vAlign w:val="center"/>
                </w:tcPr>
                <w:p w14:paraId="02B28BBB">
                  <w:pPr>
                    <w:spacing w:line="240" w:lineRule="auto"/>
                    <w:jc w:val="center"/>
                    <w:rPr>
                      <w:b/>
                      <w:bCs/>
                      <w:sz w:val="21"/>
                      <w:szCs w:val="21"/>
                      <w:highlight w:val="none"/>
                    </w:rPr>
                  </w:pPr>
                  <w:r>
                    <w:rPr>
                      <w:b/>
                      <w:bCs/>
                      <w:sz w:val="21"/>
                      <w:szCs w:val="21"/>
                      <w:highlight w:val="none"/>
                    </w:rPr>
                    <w:t>面源高度m</w:t>
                  </w:r>
                </w:p>
              </w:tc>
            </w:tr>
            <w:tr w14:paraId="23940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pct"/>
                  <w:vMerge w:val="restart"/>
                  <w:vAlign w:val="center"/>
                </w:tcPr>
                <w:p w14:paraId="5BC15D1A">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生产车间</w:t>
                  </w:r>
                </w:p>
              </w:tc>
              <w:tc>
                <w:tcPr>
                  <w:tcW w:w="842" w:type="pct"/>
                  <w:vAlign w:val="center"/>
                </w:tcPr>
                <w:p w14:paraId="7207BC97">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熔化</w:t>
                  </w:r>
                </w:p>
              </w:tc>
              <w:tc>
                <w:tcPr>
                  <w:tcW w:w="830" w:type="pct"/>
                  <w:shd w:val="clear" w:color="auto" w:fill="auto"/>
                  <w:vAlign w:val="center"/>
                </w:tcPr>
                <w:p w14:paraId="2B9B1EC9">
                  <w:pPr>
                    <w:spacing w:line="240" w:lineRule="auto"/>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颗粒物</w:t>
                  </w:r>
                </w:p>
              </w:tc>
              <w:tc>
                <w:tcPr>
                  <w:tcW w:w="794" w:type="pct"/>
                  <w:vAlign w:val="center"/>
                </w:tcPr>
                <w:p w14:paraId="409B904A">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0.302 </w:t>
                  </w:r>
                </w:p>
              </w:tc>
              <w:tc>
                <w:tcPr>
                  <w:tcW w:w="1133" w:type="pct"/>
                  <w:vMerge w:val="restart"/>
                  <w:vAlign w:val="center"/>
                </w:tcPr>
                <w:p w14:paraId="5047406D">
                  <w:pPr>
                    <w:spacing w:line="240" w:lineRule="auto"/>
                    <w:jc w:val="center"/>
                    <w:rPr>
                      <w:rFonts w:hint="default" w:eastAsia="仿宋"/>
                      <w:sz w:val="21"/>
                      <w:szCs w:val="21"/>
                      <w:highlight w:val="none"/>
                      <w:lang w:val="en-US" w:eastAsia="zh-CN"/>
                    </w:rPr>
                  </w:pPr>
                  <w:r>
                    <w:rPr>
                      <w:rFonts w:hint="eastAsia"/>
                      <w:sz w:val="21"/>
                      <w:szCs w:val="21"/>
                      <w:highlight w:val="none"/>
                      <w:lang w:val="en-US" w:eastAsia="zh-CN"/>
                    </w:rPr>
                    <w:t>1880</w:t>
                  </w:r>
                </w:p>
              </w:tc>
              <w:tc>
                <w:tcPr>
                  <w:tcW w:w="620" w:type="pct"/>
                  <w:vMerge w:val="restart"/>
                  <w:tcMar>
                    <w:left w:w="28" w:type="dxa"/>
                    <w:right w:w="28" w:type="dxa"/>
                  </w:tcMar>
                  <w:vAlign w:val="center"/>
                </w:tcPr>
                <w:p w14:paraId="0AA17812">
                  <w:pPr>
                    <w:spacing w:line="240" w:lineRule="auto"/>
                    <w:jc w:val="center"/>
                    <w:rPr>
                      <w:rFonts w:hint="default" w:eastAsia="仿宋"/>
                      <w:sz w:val="21"/>
                      <w:szCs w:val="21"/>
                      <w:highlight w:val="none"/>
                      <w:lang w:val="en-US" w:eastAsia="zh-CN"/>
                    </w:rPr>
                  </w:pPr>
                  <w:r>
                    <w:rPr>
                      <w:rFonts w:hint="eastAsia"/>
                      <w:sz w:val="21"/>
                      <w:szCs w:val="21"/>
                      <w:highlight w:val="none"/>
                      <w:lang w:val="en-US" w:eastAsia="zh-CN"/>
                    </w:rPr>
                    <w:t>12</w:t>
                  </w:r>
                </w:p>
              </w:tc>
            </w:tr>
            <w:tr w14:paraId="6A99E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pct"/>
                  <w:vMerge w:val="continue"/>
                  <w:vAlign w:val="center"/>
                </w:tcPr>
                <w:p w14:paraId="70D165B6">
                  <w:pPr>
                    <w:spacing w:line="240" w:lineRule="auto"/>
                    <w:jc w:val="center"/>
                    <w:rPr>
                      <w:rFonts w:hint="eastAsia"/>
                      <w:sz w:val="21"/>
                      <w:szCs w:val="21"/>
                      <w:lang w:val="en-US" w:eastAsia="zh-CN"/>
                    </w:rPr>
                  </w:pPr>
                </w:p>
              </w:tc>
              <w:tc>
                <w:tcPr>
                  <w:tcW w:w="842" w:type="pct"/>
                  <w:vMerge w:val="restart"/>
                  <w:vAlign w:val="center"/>
                </w:tcPr>
                <w:p w14:paraId="6D3F53DB">
                  <w:pPr>
                    <w:spacing w:line="240" w:lineRule="auto"/>
                    <w:jc w:val="center"/>
                    <w:rPr>
                      <w:rFonts w:hint="default"/>
                      <w:sz w:val="21"/>
                      <w:szCs w:val="21"/>
                      <w:lang w:val="en-US" w:eastAsia="zh-CN"/>
                    </w:rPr>
                  </w:pPr>
                  <w:r>
                    <w:rPr>
                      <w:rFonts w:hint="eastAsia"/>
                      <w:sz w:val="21"/>
                      <w:szCs w:val="21"/>
                      <w:lang w:val="en-US" w:eastAsia="zh-CN"/>
                    </w:rPr>
                    <w:t>压铸</w:t>
                  </w:r>
                </w:p>
              </w:tc>
              <w:tc>
                <w:tcPr>
                  <w:tcW w:w="830" w:type="pct"/>
                  <w:shd w:val="clear" w:color="auto" w:fill="auto"/>
                  <w:vAlign w:val="center"/>
                </w:tcPr>
                <w:p w14:paraId="67EB0DED">
                  <w:pPr>
                    <w:spacing w:line="240" w:lineRule="auto"/>
                    <w:jc w:val="center"/>
                    <w:rPr>
                      <w:rFonts w:hint="eastAsia"/>
                      <w:sz w:val="21"/>
                      <w:szCs w:val="21"/>
                      <w:lang w:val="en-US" w:eastAsia="zh-CN"/>
                    </w:rPr>
                  </w:pPr>
                  <w:r>
                    <w:rPr>
                      <w:rFonts w:hint="eastAsia" w:cs="Times New Roman"/>
                      <w:kern w:val="2"/>
                      <w:sz w:val="21"/>
                      <w:szCs w:val="21"/>
                      <w:lang w:val="en-US" w:eastAsia="zh-CN" w:bidi="ar-SA"/>
                    </w:rPr>
                    <w:t>颗粒物</w:t>
                  </w:r>
                </w:p>
              </w:tc>
              <w:tc>
                <w:tcPr>
                  <w:tcW w:w="794" w:type="pct"/>
                  <w:vAlign w:val="center"/>
                </w:tcPr>
                <w:p w14:paraId="33C64C5A">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0.079 </w:t>
                  </w:r>
                </w:p>
              </w:tc>
              <w:tc>
                <w:tcPr>
                  <w:tcW w:w="1133" w:type="pct"/>
                  <w:vMerge w:val="continue"/>
                  <w:vAlign w:val="center"/>
                </w:tcPr>
                <w:p w14:paraId="08DD0917">
                  <w:pPr>
                    <w:spacing w:line="240" w:lineRule="auto"/>
                    <w:jc w:val="center"/>
                    <w:rPr>
                      <w:rFonts w:hint="eastAsia"/>
                      <w:sz w:val="21"/>
                      <w:szCs w:val="21"/>
                      <w:highlight w:val="yellow"/>
                    </w:rPr>
                  </w:pPr>
                </w:p>
              </w:tc>
              <w:tc>
                <w:tcPr>
                  <w:tcW w:w="620" w:type="pct"/>
                  <w:vMerge w:val="continue"/>
                  <w:tcMar>
                    <w:left w:w="28" w:type="dxa"/>
                    <w:right w:w="28" w:type="dxa"/>
                  </w:tcMar>
                  <w:vAlign w:val="center"/>
                </w:tcPr>
                <w:p w14:paraId="3A747EBD">
                  <w:pPr>
                    <w:spacing w:line="240" w:lineRule="auto"/>
                    <w:jc w:val="center"/>
                    <w:rPr>
                      <w:rFonts w:hint="eastAsia"/>
                      <w:sz w:val="21"/>
                      <w:szCs w:val="21"/>
                      <w:highlight w:val="yellow"/>
                    </w:rPr>
                  </w:pPr>
                </w:p>
              </w:tc>
            </w:tr>
            <w:tr w14:paraId="649F3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pct"/>
                  <w:vMerge w:val="continue"/>
                  <w:vAlign w:val="center"/>
                </w:tcPr>
                <w:p w14:paraId="27904DF7">
                  <w:pPr>
                    <w:spacing w:line="240" w:lineRule="auto"/>
                    <w:jc w:val="center"/>
                    <w:rPr>
                      <w:rFonts w:hint="eastAsia"/>
                      <w:sz w:val="21"/>
                      <w:szCs w:val="21"/>
                      <w:lang w:val="en-US" w:eastAsia="zh-CN"/>
                    </w:rPr>
                  </w:pPr>
                </w:p>
              </w:tc>
              <w:tc>
                <w:tcPr>
                  <w:tcW w:w="842" w:type="pct"/>
                  <w:vMerge w:val="continue"/>
                  <w:vAlign w:val="center"/>
                </w:tcPr>
                <w:p w14:paraId="0BEFE937">
                  <w:pPr>
                    <w:spacing w:line="240" w:lineRule="auto"/>
                    <w:jc w:val="center"/>
                    <w:rPr>
                      <w:rFonts w:hint="eastAsia"/>
                      <w:sz w:val="21"/>
                      <w:szCs w:val="21"/>
                      <w:lang w:val="en-US" w:eastAsia="zh-CN"/>
                    </w:rPr>
                  </w:pPr>
                </w:p>
              </w:tc>
              <w:tc>
                <w:tcPr>
                  <w:tcW w:w="830" w:type="pct"/>
                  <w:shd w:val="clear" w:color="auto" w:fill="auto"/>
                  <w:vAlign w:val="center"/>
                </w:tcPr>
                <w:p w14:paraId="42841C22">
                  <w:pPr>
                    <w:spacing w:line="240" w:lineRule="auto"/>
                    <w:jc w:val="center"/>
                    <w:rPr>
                      <w:rFonts w:hint="eastAsia"/>
                      <w:sz w:val="21"/>
                      <w:szCs w:val="21"/>
                      <w:lang w:val="en-US" w:eastAsia="zh-CN"/>
                    </w:rPr>
                  </w:pPr>
                  <w:r>
                    <w:rPr>
                      <w:rFonts w:hint="eastAsia"/>
                      <w:sz w:val="21"/>
                      <w:szCs w:val="21"/>
                      <w:lang w:val="en-US" w:eastAsia="zh-CN"/>
                    </w:rPr>
                    <w:t>非甲烷总烃</w:t>
                  </w:r>
                </w:p>
              </w:tc>
              <w:tc>
                <w:tcPr>
                  <w:tcW w:w="794" w:type="pct"/>
                  <w:vAlign w:val="center"/>
                </w:tcPr>
                <w:p w14:paraId="7FC678CC">
                  <w:pPr>
                    <w:spacing w:line="240" w:lineRule="auto"/>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3</w:t>
                  </w:r>
                  <w:r>
                    <w:rPr>
                      <w:rFonts w:hint="default" w:ascii="Times New Roman" w:hAnsi="Times New Roman" w:cs="Times New Roman"/>
                      <w:sz w:val="21"/>
                      <w:szCs w:val="21"/>
                      <w:lang w:val="en-US" w:eastAsia="zh-CN"/>
                    </w:rPr>
                    <w:t xml:space="preserve"> </w:t>
                  </w:r>
                </w:p>
              </w:tc>
              <w:tc>
                <w:tcPr>
                  <w:tcW w:w="1133" w:type="pct"/>
                  <w:vMerge w:val="continue"/>
                  <w:vAlign w:val="center"/>
                </w:tcPr>
                <w:p w14:paraId="632EAC4C">
                  <w:pPr>
                    <w:spacing w:line="240" w:lineRule="auto"/>
                    <w:jc w:val="center"/>
                    <w:rPr>
                      <w:rFonts w:hint="eastAsia"/>
                      <w:sz w:val="21"/>
                      <w:szCs w:val="21"/>
                      <w:highlight w:val="yellow"/>
                    </w:rPr>
                  </w:pPr>
                </w:p>
              </w:tc>
              <w:tc>
                <w:tcPr>
                  <w:tcW w:w="620" w:type="pct"/>
                  <w:vMerge w:val="continue"/>
                  <w:tcMar>
                    <w:left w:w="28" w:type="dxa"/>
                    <w:right w:w="28" w:type="dxa"/>
                  </w:tcMar>
                  <w:vAlign w:val="center"/>
                </w:tcPr>
                <w:p w14:paraId="410C4F23">
                  <w:pPr>
                    <w:spacing w:line="240" w:lineRule="auto"/>
                    <w:jc w:val="center"/>
                    <w:rPr>
                      <w:rFonts w:hint="eastAsia"/>
                      <w:sz w:val="21"/>
                      <w:szCs w:val="21"/>
                      <w:highlight w:val="yellow"/>
                    </w:rPr>
                  </w:pPr>
                </w:p>
              </w:tc>
            </w:tr>
            <w:tr w14:paraId="28400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1" w:type="pct"/>
                  <w:gridSpan w:val="2"/>
                  <w:vMerge w:val="restart"/>
                  <w:vAlign w:val="center"/>
                </w:tcPr>
                <w:p w14:paraId="1BB7E45E">
                  <w:pPr>
                    <w:spacing w:line="240" w:lineRule="auto"/>
                    <w:jc w:val="center"/>
                    <w:rPr>
                      <w:rFonts w:hint="eastAsia"/>
                      <w:b/>
                      <w:bCs/>
                      <w:sz w:val="21"/>
                      <w:szCs w:val="21"/>
                      <w:lang w:val="en-US" w:eastAsia="zh-CN"/>
                    </w:rPr>
                  </w:pPr>
                  <w:r>
                    <w:rPr>
                      <w:rFonts w:hint="eastAsia"/>
                      <w:b/>
                      <w:bCs/>
                      <w:sz w:val="21"/>
                      <w:szCs w:val="21"/>
                      <w:lang w:val="en-US" w:eastAsia="zh-CN"/>
                    </w:rPr>
                    <w:t>合计</w:t>
                  </w:r>
                </w:p>
              </w:tc>
              <w:tc>
                <w:tcPr>
                  <w:tcW w:w="830" w:type="pct"/>
                  <w:shd w:val="clear" w:color="auto" w:fill="auto"/>
                  <w:vAlign w:val="center"/>
                </w:tcPr>
                <w:p w14:paraId="756896A9">
                  <w:pPr>
                    <w:spacing w:line="240" w:lineRule="auto"/>
                    <w:jc w:val="center"/>
                    <w:rPr>
                      <w:rFonts w:hint="eastAsia" w:ascii="Times New Roman" w:hAnsi="Times New Roman" w:cs="Times New Roman"/>
                      <w:b/>
                      <w:bCs/>
                      <w:sz w:val="21"/>
                      <w:szCs w:val="21"/>
                      <w:lang w:val="en-US" w:eastAsia="zh-CN"/>
                    </w:rPr>
                  </w:pPr>
                  <w:r>
                    <w:rPr>
                      <w:rFonts w:hint="eastAsia" w:cs="Times New Roman"/>
                      <w:b/>
                      <w:bCs/>
                      <w:kern w:val="2"/>
                      <w:sz w:val="21"/>
                      <w:szCs w:val="21"/>
                      <w:lang w:val="en-US" w:eastAsia="zh-CN" w:bidi="ar-SA"/>
                    </w:rPr>
                    <w:t>颗粒物</w:t>
                  </w:r>
                </w:p>
              </w:tc>
              <w:tc>
                <w:tcPr>
                  <w:tcW w:w="794" w:type="pct"/>
                  <w:vAlign w:val="center"/>
                </w:tcPr>
                <w:p w14:paraId="005B5A5C">
                  <w:pPr>
                    <w:spacing w:line="240" w:lineRule="auto"/>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0.381</w:t>
                  </w:r>
                </w:p>
              </w:tc>
              <w:tc>
                <w:tcPr>
                  <w:tcW w:w="1133" w:type="pct"/>
                  <w:vMerge w:val="restart"/>
                  <w:shd w:val="clear" w:color="auto" w:fill="auto"/>
                  <w:vAlign w:val="center"/>
                </w:tcPr>
                <w:p w14:paraId="1B320ABB">
                  <w:pPr>
                    <w:spacing w:line="240" w:lineRule="auto"/>
                    <w:jc w:val="center"/>
                    <w:rPr>
                      <w:rFonts w:hint="eastAsia" w:ascii="Times New Roman" w:hAnsi="Times New Roman" w:eastAsia="仿宋" w:cs="Times New Roman"/>
                      <w:b/>
                      <w:bCs/>
                      <w:kern w:val="2"/>
                      <w:sz w:val="21"/>
                      <w:szCs w:val="21"/>
                      <w:highlight w:val="none"/>
                      <w:lang w:val="en-US" w:eastAsia="zh-CN" w:bidi="ar-SA"/>
                    </w:rPr>
                  </w:pPr>
                  <w:r>
                    <w:rPr>
                      <w:rFonts w:hint="eastAsia"/>
                      <w:b/>
                      <w:bCs/>
                      <w:sz w:val="21"/>
                      <w:szCs w:val="21"/>
                      <w:highlight w:val="none"/>
                      <w:lang w:val="en-US" w:eastAsia="zh-CN"/>
                    </w:rPr>
                    <w:t>1880</w:t>
                  </w:r>
                </w:p>
              </w:tc>
              <w:tc>
                <w:tcPr>
                  <w:tcW w:w="620" w:type="pct"/>
                  <w:vMerge w:val="restart"/>
                  <w:shd w:val="clear" w:color="auto" w:fill="auto"/>
                  <w:tcMar>
                    <w:left w:w="28" w:type="dxa"/>
                    <w:right w:w="28" w:type="dxa"/>
                  </w:tcMar>
                  <w:vAlign w:val="center"/>
                </w:tcPr>
                <w:p w14:paraId="211B34C7">
                  <w:pPr>
                    <w:spacing w:line="240" w:lineRule="auto"/>
                    <w:jc w:val="center"/>
                    <w:rPr>
                      <w:rFonts w:hint="eastAsia" w:ascii="Times New Roman" w:hAnsi="Times New Roman" w:eastAsia="仿宋" w:cs="Times New Roman"/>
                      <w:b/>
                      <w:bCs/>
                      <w:kern w:val="2"/>
                      <w:sz w:val="21"/>
                      <w:szCs w:val="21"/>
                      <w:highlight w:val="none"/>
                      <w:lang w:val="en-US" w:eastAsia="zh-CN" w:bidi="ar-SA"/>
                    </w:rPr>
                  </w:pPr>
                  <w:r>
                    <w:rPr>
                      <w:rFonts w:hint="eastAsia"/>
                      <w:b/>
                      <w:bCs/>
                      <w:sz w:val="21"/>
                      <w:szCs w:val="21"/>
                      <w:highlight w:val="none"/>
                      <w:lang w:val="en-US" w:eastAsia="zh-CN"/>
                    </w:rPr>
                    <w:t>12</w:t>
                  </w:r>
                </w:p>
              </w:tc>
            </w:tr>
            <w:tr w14:paraId="0DFBF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1" w:type="pct"/>
                  <w:gridSpan w:val="2"/>
                  <w:vMerge w:val="continue"/>
                  <w:vAlign w:val="center"/>
                </w:tcPr>
                <w:p w14:paraId="2679C488">
                  <w:pPr>
                    <w:spacing w:line="240" w:lineRule="auto"/>
                    <w:jc w:val="center"/>
                    <w:rPr>
                      <w:rFonts w:hint="eastAsia"/>
                      <w:sz w:val="21"/>
                      <w:szCs w:val="21"/>
                      <w:lang w:val="en-US" w:eastAsia="zh-CN"/>
                    </w:rPr>
                  </w:pPr>
                </w:p>
              </w:tc>
              <w:tc>
                <w:tcPr>
                  <w:tcW w:w="830" w:type="pct"/>
                  <w:shd w:val="clear" w:color="auto" w:fill="auto"/>
                  <w:vAlign w:val="center"/>
                </w:tcPr>
                <w:p w14:paraId="568A44E1">
                  <w:pPr>
                    <w:spacing w:line="240" w:lineRule="auto"/>
                    <w:jc w:val="center"/>
                    <w:rPr>
                      <w:rFonts w:hint="eastAsia" w:ascii="Times New Roman" w:hAnsi="Times New Roman" w:eastAsia="仿宋" w:cs="Times New Roman"/>
                      <w:b/>
                      <w:bCs/>
                      <w:kern w:val="2"/>
                      <w:sz w:val="21"/>
                      <w:szCs w:val="21"/>
                      <w:lang w:val="en-US" w:eastAsia="zh-CN" w:bidi="ar-SA"/>
                    </w:rPr>
                  </w:pPr>
                  <w:r>
                    <w:rPr>
                      <w:rFonts w:hint="eastAsia"/>
                      <w:b/>
                      <w:bCs/>
                      <w:sz w:val="21"/>
                      <w:szCs w:val="21"/>
                      <w:lang w:val="en-US" w:eastAsia="zh-CN"/>
                    </w:rPr>
                    <w:t>非甲烷总烃</w:t>
                  </w:r>
                </w:p>
              </w:tc>
              <w:tc>
                <w:tcPr>
                  <w:tcW w:w="794" w:type="pct"/>
                  <w:vAlign w:val="center"/>
                </w:tcPr>
                <w:p w14:paraId="2387A921">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0.</w:t>
                  </w:r>
                  <w:r>
                    <w:rPr>
                      <w:rFonts w:hint="eastAsia" w:cs="Times New Roman"/>
                      <w:b/>
                      <w:bCs/>
                      <w:sz w:val="21"/>
                      <w:szCs w:val="21"/>
                      <w:lang w:val="en-US" w:eastAsia="zh-CN"/>
                    </w:rPr>
                    <w:t>3</w:t>
                  </w:r>
                  <w:r>
                    <w:rPr>
                      <w:rFonts w:hint="default" w:ascii="Times New Roman" w:hAnsi="Times New Roman" w:cs="Times New Roman"/>
                      <w:b/>
                      <w:bCs/>
                      <w:sz w:val="21"/>
                      <w:szCs w:val="21"/>
                      <w:lang w:val="en-US" w:eastAsia="zh-CN"/>
                    </w:rPr>
                    <w:t xml:space="preserve"> </w:t>
                  </w:r>
                </w:p>
              </w:tc>
              <w:tc>
                <w:tcPr>
                  <w:tcW w:w="1133" w:type="pct"/>
                  <w:vMerge w:val="continue"/>
                  <w:vAlign w:val="center"/>
                </w:tcPr>
                <w:p w14:paraId="7A10D1C0">
                  <w:pPr>
                    <w:spacing w:line="240" w:lineRule="auto"/>
                    <w:jc w:val="center"/>
                    <w:rPr>
                      <w:rFonts w:hint="eastAsia"/>
                      <w:sz w:val="21"/>
                      <w:szCs w:val="21"/>
                      <w:highlight w:val="yellow"/>
                    </w:rPr>
                  </w:pPr>
                </w:p>
              </w:tc>
              <w:tc>
                <w:tcPr>
                  <w:tcW w:w="620" w:type="pct"/>
                  <w:vMerge w:val="continue"/>
                  <w:tcMar>
                    <w:left w:w="28" w:type="dxa"/>
                    <w:right w:w="28" w:type="dxa"/>
                  </w:tcMar>
                  <w:vAlign w:val="center"/>
                </w:tcPr>
                <w:p w14:paraId="10AA99F3">
                  <w:pPr>
                    <w:spacing w:line="240" w:lineRule="auto"/>
                    <w:jc w:val="center"/>
                    <w:rPr>
                      <w:rFonts w:hint="eastAsia"/>
                      <w:sz w:val="21"/>
                      <w:szCs w:val="21"/>
                      <w:highlight w:val="yellow"/>
                    </w:rPr>
                  </w:pPr>
                </w:p>
              </w:tc>
            </w:tr>
          </w:tbl>
          <w:p w14:paraId="3FB3C908">
            <w:pPr>
              <w:spacing w:line="480" w:lineRule="exact"/>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1.2废气污染物防治措施及其可行性分析</w:t>
            </w:r>
          </w:p>
          <w:p w14:paraId="4CD13740">
            <w:pPr>
              <w:adjustRightInd w:val="0"/>
              <w:snapToGrid w:val="0"/>
              <w:spacing w:line="480" w:lineRule="exact"/>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1.2.1污染防治措施</w:t>
            </w:r>
          </w:p>
          <w:p w14:paraId="25B4101E">
            <w:pPr>
              <w:pStyle w:val="2"/>
              <w:spacing w:before="0" w:after="0" w:line="480" w:lineRule="exact"/>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本项目运营期有</w:t>
            </w:r>
            <w:r>
              <w:rPr>
                <w:rFonts w:hint="eastAsia" w:cs="Times New Roman"/>
                <w:sz w:val="24"/>
                <w:szCs w:val="24"/>
                <w:lang w:val="en-US" w:eastAsia="zh-CN"/>
              </w:rPr>
              <w:t>熔化</w:t>
            </w:r>
            <w:r>
              <w:rPr>
                <w:rFonts w:hint="eastAsia" w:ascii="Times New Roman" w:hAnsi="Times New Roman" w:cs="Times New Roman"/>
                <w:sz w:val="24"/>
                <w:szCs w:val="24"/>
                <w:lang w:val="en-US" w:eastAsia="zh-CN"/>
              </w:rPr>
              <w:t>废气</w:t>
            </w:r>
            <w:r>
              <w:rPr>
                <w:rFonts w:hint="eastAsia" w:cs="Times New Roman"/>
                <w:sz w:val="24"/>
                <w:szCs w:val="24"/>
                <w:lang w:val="en-US" w:eastAsia="zh-CN"/>
              </w:rPr>
              <w:t>、压铸废气和天然气燃烧尾气</w:t>
            </w:r>
            <w:r>
              <w:rPr>
                <w:rFonts w:hint="eastAsia" w:ascii="Times New Roman" w:hAnsi="Times New Roman" w:cs="Times New Roman"/>
                <w:sz w:val="24"/>
                <w:szCs w:val="24"/>
                <w:lang w:val="en-US" w:eastAsia="zh-CN"/>
              </w:rPr>
              <w:t>产生。</w:t>
            </w:r>
            <w:r>
              <w:rPr>
                <w:rFonts w:hint="eastAsia" w:cs="Times New Roman"/>
                <w:sz w:val="24"/>
                <w:szCs w:val="24"/>
                <w:lang w:val="en-US" w:eastAsia="zh-CN"/>
              </w:rPr>
              <w:t>熔化</w:t>
            </w:r>
            <w:r>
              <w:rPr>
                <w:rFonts w:hint="eastAsia" w:ascii="Times New Roman" w:hAnsi="Times New Roman" w:cs="Times New Roman"/>
                <w:sz w:val="24"/>
                <w:szCs w:val="24"/>
                <w:lang w:val="en-US" w:eastAsia="zh-CN"/>
              </w:rPr>
              <w:t>废气</w:t>
            </w:r>
            <w:r>
              <w:rPr>
                <w:rFonts w:hint="eastAsia" w:cs="Times New Roman"/>
                <w:sz w:val="24"/>
                <w:szCs w:val="24"/>
                <w:lang w:val="en-US" w:eastAsia="zh-CN"/>
              </w:rPr>
              <w:t>、压铸废气和</w:t>
            </w:r>
            <w:r>
              <w:rPr>
                <w:rFonts w:hint="default" w:ascii="Times New Roman" w:hAnsi="Times New Roman" w:cs="Times New Roman"/>
                <w:sz w:val="24"/>
                <w:szCs w:val="24"/>
                <w:lang w:val="en-US" w:eastAsia="zh-CN"/>
              </w:rPr>
              <w:t>天然气燃烧废气</w:t>
            </w:r>
            <w:r>
              <w:rPr>
                <w:rFonts w:hint="eastAsia" w:cs="Times New Roman"/>
                <w:sz w:val="24"/>
                <w:szCs w:val="24"/>
                <w:lang w:val="en-US" w:eastAsia="zh-CN"/>
              </w:rPr>
              <w:t>经</w:t>
            </w:r>
            <w:r>
              <w:rPr>
                <w:rFonts w:hint="eastAsia" w:ascii="Times New Roman" w:hAnsi="Times New Roman" w:cs="Times New Roman"/>
                <w:sz w:val="24"/>
                <w:szCs w:val="24"/>
                <w:lang w:val="en-US" w:eastAsia="zh-CN"/>
              </w:rPr>
              <w:t>集气罩收集后利用</w:t>
            </w:r>
            <w:r>
              <w:rPr>
                <w:rFonts w:hint="eastAsia" w:cs="Times New Roman"/>
                <w:sz w:val="24"/>
                <w:szCs w:val="24"/>
                <w:lang w:val="en-US" w:eastAsia="zh-CN"/>
              </w:rPr>
              <w:t>一套水喷淋+干式过滤+二级活性炭吸附装置</w:t>
            </w:r>
            <w:r>
              <w:rPr>
                <w:rFonts w:hint="eastAsia" w:ascii="Times New Roman" w:hAnsi="Times New Roman" w:cs="Times New Roman"/>
                <w:sz w:val="24"/>
                <w:szCs w:val="24"/>
                <w:lang w:val="en-US" w:eastAsia="zh-CN"/>
              </w:rPr>
              <w:t>（TA001）处理</w:t>
            </w:r>
            <w:r>
              <w:rPr>
                <w:rFonts w:hint="eastAsia" w:cs="Times New Roman"/>
                <w:sz w:val="24"/>
                <w:szCs w:val="24"/>
                <w:lang w:val="en-US" w:eastAsia="zh-CN"/>
              </w:rPr>
              <w:t>，</w:t>
            </w:r>
            <w:r>
              <w:rPr>
                <w:rFonts w:hint="eastAsia" w:ascii="Times New Roman" w:hAnsi="Times New Roman" w:cs="Times New Roman"/>
                <w:sz w:val="24"/>
                <w:szCs w:val="24"/>
                <w:lang w:val="en-US" w:eastAsia="zh-CN"/>
              </w:rPr>
              <w:t>处理后的</w:t>
            </w:r>
            <w:r>
              <w:rPr>
                <w:rFonts w:hint="default" w:ascii="Times New Roman" w:hAnsi="Times New Roman" w:cs="Times New Roman"/>
                <w:sz w:val="24"/>
                <w:szCs w:val="24"/>
                <w:lang w:val="en-US" w:eastAsia="zh-CN"/>
              </w:rPr>
              <w:t>达标尾气一并通过15m高</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排气筒（DA001）排放，具体废气处理情况如下图所示。</w:t>
            </w:r>
          </w:p>
          <w:p w14:paraId="641EFD55">
            <w:pPr>
              <w:pStyle w:val="2"/>
              <w:spacing w:before="0" w:after="0"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3439795" cy="1765300"/>
                  <wp:effectExtent l="0" t="0" r="8255" b="0"/>
                  <wp:docPr id="2" name="ECB019B1-382A-4266-B25C-5B523AA43C14-2" descr="C:/Users/Administrator/AppData/Local/Temp/wps.zFuTz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zFuTzEwps"/>
                          <pic:cNvPicPr>
                            <a:picLocks noChangeAspect="1"/>
                          </pic:cNvPicPr>
                        </pic:nvPicPr>
                        <pic:blipFill>
                          <a:blip r:embed="rId17"/>
                          <a:srcRect l="3105" t="7697" r="2302" b="5319"/>
                          <a:stretch>
                            <a:fillRect/>
                          </a:stretch>
                        </pic:blipFill>
                        <pic:spPr>
                          <a:xfrm>
                            <a:off x="0" y="0"/>
                            <a:ext cx="3439795" cy="1765300"/>
                          </a:xfrm>
                          <a:prstGeom prst="rect">
                            <a:avLst/>
                          </a:prstGeom>
                        </pic:spPr>
                      </pic:pic>
                    </a:graphicData>
                  </a:graphic>
                </wp:inline>
              </w:drawing>
            </w:r>
          </w:p>
          <w:p w14:paraId="380EB6CD">
            <w:pPr>
              <w:spacing w:line="240" w:lineRule="auto"/>
              <w:jc w:val="center"/>
              <w:rPr>
                <w:b/>
                <w:bCs/>
                <w:kern w:val="0"/>
                <w:sz w:val="21"/>
                <w:szCs w:val="21"/>
                <w:lang w:bidi="ar"/>
              </w:rPr>
            </w:pPr>
            <w:r>
              <w:rPr>
                <w:rFonts w:hint="eastAsia"/>
                <w:b/>
                <w:bCs/>
                <w:kern w:val="0"/>
                <w:sz w:val="21"/>
                <w:szCs w:val="21"/>
                <w:lang w:bidi="ar"/>
              </w:rPr>
              <w:t>图4-1  本项目废气处理措施示意图</w:t>
            </w:r>
          </w:p>
          <w:p w14:paraId="499A5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bCs/>
                <w:color w:val="auto"/>
                <w:kern w:val="2"/>
                <w:sz w:val="24"/>
                <w:szCs w:val="22"/>
                <w:lang w:val="en-US" w:eastAsia="zh-CN" w:bidi="ar-SA"/>
              </w:rPr>
            </w:pPr>
            <w:r>
              <w:rPr>
                <w:rFonts w:hint="eastAsia" w:cs="Times New Roman"/>
                <w:b/>
                <w:bCs/>
                <w:color w:val="auto"/>
                <w:kern w:val="2"/>
                <w:sz w:val="24"/>
                <w:szCs w:val="22"/>
                <w:lang w:val="en-US" w:eastAsia="zh-CN" w:bidi="ar-SA"/>
              </w:rPr>
              <w:t>1.2.2</w:t>
            </w:r>
            <w:r>
              <w:rPr>
                <w:rFonts w:hint="eastAsia" w:ascii="Times New Roman" w:hAnsi="Times New Roman" w:eastAsia="仿宋" w:cs="Times New Roman"/>
                <w:b/>
                <w:bCs/>
                <w:color w:val="auto"/>
                <w:kern w:val="2"/>
                <w:sz w:val="24"/>
                <w:szCs w:val="22"/>
                <w:lang w:val="en-US" w:eastAsia="zh-CN" w:bidi="ar-SA"/>
              </w:rPr>
              <w:t>可行性分析</w:t>
            </w:r>
          </w:p>
          <w:p w14:paraId="591156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bCs/>
                <w:color w:val="auto"/>
                <w:kern w:val="2"/>
                <w:sz w:val="24"/>
                <w:szCs w:val="22"/>
                <w:lang w:val="en-US" w:eastAsia="zh-CN" w:bidi="ar-SA"/>
              </w:rPr>
            </w:pPr>
            <w:r>
              <w:rPr>
                <w:rFonts w:hint="eastAsia" w:ascii="仿宋" w:hAnsi="仿宋" w:cs="仿宋"/>
                <w:b/>
                <w:bCs/>
                <w:color w:val="auto"/>
                <w:kern w:val="2"/>
                <w:sz w:val="24"/>
                <w:szCs w:val="22"/>
                <w:lang w:val="en-US" w:eastAsia="zh-CN" w:bidi="ar-SA"/>
              </w:rPr>
              <w:t>（1）</w:t>
            </w:r>
            <w:r>
              <w:rPr>
                <w:rFonts w:hint="eastAsia" w:ascii="Times New Roman" w:hAnsi="Times New Roman" w:eastAsia="仿宋" w:cs="Times New Roman"/>
                <w:b/>
                <w:bCs/>
                <w:color w:val="auto"/>
                <w:kern w:val="2"/>
                <w:sz w:val="24"/>
                <w:szCs w:val="22"/>
                <w:lang w:val="en-US" w:eastAsia="zh-CN" w:bidi="ar-SA"/>
              </w:rPr>
              <w:t>与排污许可证相符性分析</w:t>
            </w:r>
          </w:p>
          <w:p w14:paraId="67E18DA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本项目属于</w:t>
            </w:r>
            <w:r>
              <w:rPr>
                <w:rFonts w:hint="eastAsia" w:cs="Times New Roman"/>
                <w:color w:val="auto"/>
                <w:kern w:val="0"/>
                <w:sz w:val="24"/>
                <w:szCs w:val="24"/>
                <w:lang w:val="en-US" w:eastAsia="zh-CN" w:bidi="ar"/>
              </w:rPr>
              <w:t>C3812电动机制造、C3670汽车零部件及配件制造、C3392有色金属铸造</w:t>
            </w:r>
            <w:r>
              <w:rPr>
                <w:rFonts w:hint="eastAsia" w:ascii="Times New Roman" w:hAnsi="Times New Roman" w:cs="Times New Roman"/>
                <w:color w:val="auto"/>
                <w:kern w:val="0"/>
                <w:sz w:val="24"/>
                <w:szCs w:val="24"/>
                <w:lang w:val="en-US" w:eastAsia="zh-CN" w:bidi="ar"/>
              </w:rPr>
              <w:t>项目，</w:t>
            </w:r>
            <w:r>
              <w:rPr>
                <w:rFonts w:hint="eastAsia" w:cs="Times New Roman"/>
                <w:color w:val="auto"/>
                <w:kern w:val="0"/>
                <w:sz w:val="24"/>
                <w:szCs w:val="24"/>
                <w:lang w:val="en-US" w:eastAsia="zh-CN" w:bidi="ar"/>
              </w:rPr>
              <w:t>参照</w:t>
            </w:r>
            <w:r>
              <w:rPr>
                <w:rFonts w:hint="eastAsia" w:ascii="Times New Roman" w:hAnsi="Times New Roman" w:cs="Times New Roman"/>
                <w:color w:val="auto"/>
                <w:kern w:val="0"/>
                <w:sz w:val="24"/>
                <w:szCs w:val="24"/>
                <w:lang w:val="en-US" w:eastAsia="zh-CN" w:bidi="ar"/>
              </w:rPr>
              <w:t xml:space="preserve">《排污许可证申请与核发技术规范 </w:t>
            </w:r>
            <w:r>
              <w:rPr>
                <w:rFonts w:hint="default" w:ascii="Times New Roman" w:hAnsi="Times New Roman" w:cs="Times New Roman"/>
                <w:color w:val="auto"/>
                <w:kern w:val="0"/>
                <w:sz w:val="24"/>
                <w:szCs w:val="24"/>
                <w:lang w:val="en-US" w:eastAsia="zh-CN" w:bidi="ar"/>
              </w:rPr>
              <w:t>金属铸造工业》（HJ1115</w:t>
            </w:r>
            <w:r>
              <w:rPr>
                <w:rFonts w:hint="eastAsia" w:ascii="Times New Roman" w:hAnsi="Times New Roman"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2020）</w:t>
            </w:r>
            <w:r>
              <w:rPr>
                <w:rFonts w:hint="eastAsia" w:ascii="Times New Roman" w:hAnsi="Times New Roman" w:cs="Times New Roman"/>
                <w:color w:val="auto"/>
                <w:kern w:val="0"/>
                <w:sz w:val="24"/>
                <w:szCs w:val="24"/>
                <w:lang w:val="en-US" w:eastAsia="zh-CN" w:bidi="ar"/>
              </w:rPr>
              <w:t>中</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表10 排污单位废气产污环节、污染物种类、排放形式及污染</w:t>
            </w:r>
            <w:r>
              <w:rPr>
                <w:rFonts w:hint="eastAsia" w:cs="Times New Roman"/>
                <w:color w:val="auto"/>
                <w:kern w:val="0"/>
                <w:sz w:val="24"/>
                <w:szCs w:val="24"/>
                <w:lang w:val="en-US" w:eastAsia="zh-CN" w:bidi="ar"/>
              </w:rPr>
              <w:t>防治设施表”</w:t>
            </w:r>
            <w:r>
              <w:rPr>
                <w:rFonts w:hint="eastAsia" w:ascii="Times New Roman" w:hAnsi="Times New Roman"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本项目废气处理技术可行性如下表所示</w:t>
            </w:r>
            <w:r>
              <w:rPr>
                <w:rFonts w:hint="eastAsia" w:cs="Times New Roman"/>
                <w:color w:val="auto"/>
                <w:kern w:val="0"/>
                <w:sz w:val="24"/>
                <w:szCs w:val="24"/>
                <w:lang w:val="en-US" w:eastAsia="zh-CN" w:bidi="ar"/>
              </w:rPr>
              <w:t>。</w:t>
            </w:r>
          </w:p>
          <w:p w14:paraId="0EF62742">
            <w:pPr>
              <w:spacing w:line="240" w:lineRule="auto"/>
              <w:jc w:val="center"/>
              <w:rPr>
                <w:rFonts w:hint="default"/>
                <w:b/>
                <w:bCs/>
                <w:sz w:val="21"/>
                <w:szCs w:val="21"/>
              </w:rPr>
            </w:pPr>
            <w:r>
              <w:rPr>
                <w:rFonts w:hint="default"/>
                <w:b/>
                <w:bCs/>
                <w:sz w:val="21"/>
                <w:szCs w:val="21"/>
              </w:rPr>
              <w:t>表4-</w:t>
            </w:r>
            <w:r>
              <w:rPr>
                <w:rFonts w:hint="eastAsia"/>
                <w:b/>
                <w:bCs/>
                <w:sz w:val="21"/>
                <w:szCs w:val="21"/>
                <w:lang w:val="en-US" w:eastAsia="zh-CN"/>
              </w:rPr>
              <w:t xml:space="preserve">4 </w:t>
            </w:r>
            <w:r>
              <w:rPr>
                <w:rFonts w:hint="default"/>
                <w:b/>
                <w:bCs/>
                <w:sz w:val="21"/>
                <w:szCs w:val="21"/>
              </w:rPr>
              <w:t xml:space="preserve"> 废气治理设施评价表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64"/>
              <w:gridCol w:w="1142"/>
              <w:gridCol w:w="1394"/>
              <w:gridCol w:w="1620"/>
              <w:gridCol w:w="4953"/>
              <w:gridCol w:w="2000"/>
            </w:tblGrid>
            <w:tr w14:paraId="46BA79D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82" w:type="pct"/>
                  <w:noWrap w:val="0"/>
                  <w:vAlign w:val="center"/>
                </w:tcPr>
                <w:p w14:paraId="0A340F42">
                  <w:pPr>
                    <w:spacing w:line="240" w:lineRule="auto"/>
                    <w:jc w:val="center"/>
                    <w:rPr>
                      <w:rFonts w:hint="default"/>
                      <w:b/>
                      <w:bCs/>
                      <w:sz w:val="21"/>
                      <w:szCs w:val="21"/>
                    </w:rPr>
                  </w:pPr>
                  <w:r>
                    <w:rPr>
                      <w:rFonts w:hint="default"/>
                      <w:b/>
                      <w:bCs/>
                      <w:sz w:val="21"/>
                      <w:szCs w:val="21"/>
                    </w:rPr>
                    <w:t>产污环节</w:t>
                  </w:r>
                </w:p>
              </w:tc>
              <w:tc>
                <w:tcPr>
                  <w:tcW w:w="454" w:type="pct"/>
                  <w:noWrap w:val="0"/>
                  <w:vAlign w:val="center"/>
                </w:tcPr>
                <w:p w14:paraId="1790FDCA">
                  <w:pPr>
                    <w:spacing w:line="240" w:lineRule="auto"/>
                    <w:jc w:val="center"/>
                    <w:rPr>
                      <w:rFonts w:hint="default"/>
                      <w:b/>
                      <w:bCs/>
                      <w:sz w:val="21"/>
                      <w:szCs w:val="21"/>
                    </w:rPr>
                  </w:pPr>
                  <w:r>
                    <w:rPr>
                      <w:rFonts w:hint="default"/>
                      <w:b/>
                      <w:bCs/>
                      <w:sz w:val="21"/>
                      <w:szCs w:val="21"/>
                    </w:rPr>
                    <w:t>污染物种类</w:t>
                  </w:r>
                </w:p>
              </w:tc>
              <w:tc>
                <w:tcPr>
                  <w:tcW w:w="554" w:type="pct"/>
                  <w:noWrap w:val="0"/>
                  <w:vAlign w:val="center"/>
                </w:tcPr>
                <w:p w14:paraId="434BBB64">
                  <w:pPr>
                    <w:spacing w:line="240" w:lineRule="auto"/>
                    <w:jc w:val="center"/>
                    <w:rPr>
                      <w:rFonts w:hint="default"/>
                      <w:b/>
                      <w:bCs/>
                      <w:sz w:val="21"/>
                      <w:szCs w:val="21"/>
                    </w:rPr>
                  </w:pPr>
                  <w:r>
                    <w:rPr>
                      <w:rFonts w:hint="default"/>
                      <w:b/>
                      <w:bCs/>
                      <w:sz w:val="21"/>
                      <w:szCs w:val="21"/>
                    </w:rPr>
                    <w:t>排放形式</w:t>
                  </w:r>
                </w:p>
              </w:tc>
              <w:tc>
                <w:tcPr>
                  <w:tcW w:w="644" w:type="pct"/>
                  <w:noWrap w:val="0"/>
                  <w:vAlign w:val="center"/>
                </w:tcPr>
                <w:p w14:paraId="773D475F">
                  <w:pPr>
                    <w:spacing w:line="240" w:lineRule="auto"/>
                    <w:jc w:val="center"/>
                    <w:rPr>
                      <w:rFonts w:hint="default"/>
                      <w:b/>
                      <w:bCs/>
                      <w:sz w:val="21"/>
                      <w:szCs w:val="21"/>
                    </w:rPr>
                  </w:pPr>
                  <w:r>
                    <w:rPr>
                      <w:rFonts w:hint="default"/>
                      <w:b/>
                      <w:bCs/>
                      <w:sz w:val="21"/>
                      <w:szCs w:val="21"/>
                    </w:rPr>
                    <w:t>本项目治理工艺</w:t>
                  </w:r>
                </w:p>
              </w:tc>
              <w:tc>
                <w:tcPr>
                  <w:tcW w:w="1969" w:type="pct"/>
                  <w:noWrap w:val="0"/>
                  <w:vAlign w:val="center"/>
                </w:tcPr>
                <w:p w14:paraId="329AD886">
                  <w:pPr>
                    <w:spacing w:line="240" w:lineRule="auto"/>
                    <w:jc w:val="center"/>
                    <w:rPr>
                      <w:rFonts w:hint="default"/>
                      <w:b/>
                      <w:bCs/>
                      <w:sz w:val="21"/>
                      <w:szCs w:val="21"/>
                    </w:rPr>
                  </w:pPr>
                  <w:r>
                    <w:rPr>
                      <w:rFonts w:hint="default"/>
                      <w:b/>
                      <w:bCs/>
                      <w:sz w:val="21"/>
                      <w:szCs w:val="21"/>
                    </w:rPr>
                    <w:t>排污许可技术规范中的可行技术</w:t>
                  </w:r>
                </w:p>
              </w:tc>
              <w:tc>
                <w:tcPr>
                  <w:tcW w:w="795" w:type="pct"/>
                  <w:noWrap w:val="0"/>
                  <w:vAlign w:val="center"/>
                </w:tcPr>
                <w:p w14:paraId="0EDB4D18">
                  <w:pPr>
                    <w:spacing w:line="240" w:lineRule="auto"/>
                    <w:jc w:val="center"/>
                    <w:rPr>
                      <w:rFonts w:hint="default"/>
                      <w:b/>
                      <w:bCs/>
                      <w:sz w:val="21"/>
                      <w:szCs w:val="21"/>
                    </w:rPr>
                  </w:pPr>
                  <w:r>
                    <w:rPr>
                      <w:rFonts w:hint="default"/>
                      <w:b/>
                      <w:bCs/>
                      <w:sz w:val="21"/>
                      <w:szCs w:val="21"/>
                    </w:rPr>
                    <w:t>是否属于排污许可技术规范中可行技术</w:t>
                  </w:r>
                </w:p>
              </w:tc>
            </w:tr>
            <w:tr w14:paraId="70474B2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82" w:type="pct"/>
                  <w:noWrap w:val="0"/>
                  <w:vAlign w:val="center"/>
                </w:tcPr>
                <w:p w14:paraId="4B036DAF">
                  <w:pPr>
                    <w:spacing w:line="240" w:lineRule="auto"/>
                    <w:jc w:val="center"/>
                    <w:rPr>
                      <w:rFonts w:hint="default"/>
                      <w:sz w:val="21"/>
                      <w:szCs w:val="21"/>
                      <w:lang w:val="en-US" w:eastAsia="zh-CN"/>
                    </w:rPr>
                  </w:pPr>
                  <w:r>
                    <w:rPr>
                      <w:rFonts w:hint="default"/>
                      <w:sz w:val="21"/>
                      <w:szCs w:val="21"/>
                      <w:lang w:val="en-US" w:eastAsia="zh-CN"/>
                    </w:rPr>
                    <w:t>金属熔炼（化）</w:t>
                  </w:r>
                </w:p>
              </w:tc>
              <w:tc>
                <w:tcPr>
                  <w:tcW w:w="454" w:type="pct"/>
                  <w:noWrap w:val="0"/>
                  <w:vAlign w:val="center"/>
                </w:tcPr>
                <w:p w14:paraId="6412C301">
                  <w:pPr>
                    <w:spacing w:line="240" w:lineRule="auto"/>
                    <w:jc w:val="center"/>
                    <w:rPr>
                      <w:rFonts w:hint="default"/>
                      <w:sz w:val="21"/>
                      <w:szCs w:val="21"/>
                      <w:lang w:val="en-US" w:eastAsia="zh-CN"/>
                    </w:rPr>
                  </w:pPr>
                  <w:r>
                    <w:rPr>
                      <w:rFonts w:hint="default"/>
                      <w:sz w:val="21"/>
                      <w:szCs w:val="21"/>
                      <w:lang w:val="en-US" w:eastAsia="zh-CN"/>
                    </w:rPr>
                    <w:t>颗粒物</w:t>
                  </w:r>
                </w:p>
              </w:tc>
              <w:tc>
                <w:tcPr>
                  <w:tcW w:w="554" w:type="pct"/>
                  <w:noWrap w:val="0"/>
                  <w:vAlign w:val="center"/>
                </w:tcPr>
                <w:p w14:paraId="582551F7">
                  <w:pPr>
                    <w:spacing w:line="240" w:lineRule="auto"/>
                    <w:jc w:val="center"/>
                    <w:rPr>
                      <w:rFonts w:hint="default"/>
                      <w:sz w:val="21"/>
                      <w:szCs w:val="21"/>
                      <w:lang w:val="en-US" w:eastAsia="zh-CN"/>
                    </w:rPr>
                  </w:pPr>
                  <w:r>
                    <w:rPr>
                      <w:rFonts w:hint="default"/>
                      <w:sz w:val="21"/>
                      <w:szCs w:val="21"/>
                      <w:lang w:val="en-US" w:eastAsia="zh-CN"/>
                    </w:rPr>
                    <w:t>有组织</w:t>
                  </w:r>
                </w:p>
              </w:tc>
              <w:tc>
                <w:tcPr>
                  <w:tcW w:w="644" w:type="pct"/>
                  <w:vMerge w:val="restart"/>
                  <w:noWrap w:val="0"/>
                  <w:vAlign w:val="center"/>
                </w:tcPr>
                <w:p w14:paraId="014ACA30">
                  <w:pPr>
                    <w:spacing w:line="240" w:lineRule="auto"/>
                    <w:jc w:val="center"/>
                    <w:rPr>
                      <w:rFonts w:hint="default"/>
                      <w:sz w:val="21"/>
                      <w:szCs w:val="21"/>
                      <w:lang w:val="en-US" w:eastAsia="zh-CN"/>
                    </w:rPr>
                  </w:pPr>
                  <w:r>
                    <w:rPr>
                      <w:rFonts w:hint="default"/>
                      <w:sz w:val="21"/>
                      <w:szCs w:val="21"/>
                      <w:lang w:val="en-US" w:eastAsia="zh-CN"/>
                    </w:rPr>
                    <w:t>水喷淋+</w:t>
                  </w:r>
                  <w:r>
                    <w:rPr>
                      <w:rFonts w:hint="eastAsia"/>
                      <w:sz w:val="21"/>
                      <w:szCs w:val="21"/>
                      <w:lang w:val="en-US" w:eastAsia="zh-CN"/>
                    </w:rPr>
                    <w:t>干式过滤+</w:t>
                  </w:r>
                  <w:r>
                    <w:rPr>
                      <w:rFonts w:hint="default"/>
                      <w:sz w:val="21"/>
                      <w:szCs w:val="21"/>
                      <w:lang w:val="en-US" w:eastAsia="zh-CN"/>
                    </w:rPr>
                    <w:t>二级活性炭吸附</w:t>
                  </w:r>
                </w:p>
              </w:tc>
              <w:tc>
                <w:tcPr>
                  <w:tcW w:w="1969" w:type="pct"/>
                  <w:vMerge w:val="restart"/>
                  <w:noWrap w:val="0"/>
                  <w:vAlign w:val="center"/>
                </w:tcPr>
                <w:p w14:paraId="4EAA7A09">
                  <w:pPr>
                    <w:spacing w:line="240" w:lineRule="auto"/>
                    <w:jc w:val="center"/>
                    <w:rPr>
                      <w:rFonts w:hint="default"/>
                      <w:sz w:val="21"/>
                      <w:szCs w:val="21"/>
                      <w:lang w:val="en-US" w:eastAsia="zh-CN"/>
                    </w:rPr>
                  </w:pPr>
                  <w:r>
                    <w:rPr>
                      <w:rFonts w:hint="default"/>
                      <w:sz w:val="21"/>
                      <w:szCs w:val="21"/>
                      <w:lang w:val="en-US" w:eastAsia="zh-CN"/>
                    </w:rPr>
                    <w:t>静电除尘器、袋式除尘器、电袋复合除尘器、旋风除尘器、滤筒除尘器、湿式除尘器、其他</w:t>
                  </w:r>
                </w:p>
              </w:tc>
              <w:tc>
                <w:tcPr>
                  <w:tcW w:w="795" w:type="pct"/>
                  <w:vMerge w:val="restart"/>
                  <w:noWrap w:val="0"/>
                  <w:vAlign w:val="center"/>
                </w:tcPr>
                <w:p w14:paraId="5C57BA07">
                  <w:pPr>
                    <w:spacing w:line="240" w:lineRule="auto"/>
                    <w:jc w:val="center"/>
                    <w:rPr>
                      <w:rFonts w:hint="default"/>
                      <w:sz w:val="21"/>
                      <w:szCs w:val="21"/>
                      <w:lang w:val="en-US" w:eastAsia="zh-CN"/>
                    </w:rPr>
                  </w:pPr>
                  <w:r>
                    <w:rPr>
                      <w:rFonts w:hint="default"/>
                      <w:sz w:val="21"/>
                      <w:szCs w:val="21"/>
                      <w:lang w:val="en-US" w:eastAsia="zh-CN"/>
                    </w:rPr>
                    <w:t>是</w:t>
                  </w:r>
                </w:p>
              </w:tc>
            </w:tr>
            <w:tr w14:paraId="2F6C7AB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82" w:type="pct"/>
                  <w:vMerge w:val="restart"/>
                  <w:noWrap w:val="0"/>
                  <w:vAlign w:val="center"/>
                </w:tcPr>
                <w:p w14:paraId="1ABECEC1">
                  <w:pPr>
                    <w:spacing w:line="240" w:lineRule="auto"/>
                    <w:jc w:val="center"/>
                    <w:rPr>
                      <w:rFonts w:hint="default"/>
                      <w:sz w:val="21"/>
                      <w:szCs w:val="21"/>
                      <w:lang w:val="en-US" w:eastAsia="zh-CN"/>
                    </w:rPr>
                  </w:pPr>
                  <w:r>
                    <w:rPr>
                      <w:rFonts w:hint="default"/>
                      <w:sz w:val="21"/>
                      <w:szCs w:val="21"/>
                      <w:lang w:val="en-US" w:eastAsia="zh-CN"/>
                    </w:rPr>
                    <w:t>压铸</w:t>
                  </w:r>
                </w:p>
              </w:tc>
              <w:tc>
                <w:tcPr>
                  <w:tcW w:w="454" w:type="pct"/>
                  <w:noWrap w:val="0"/>
                  <w:vAlign w:val="center"/>
                </w:tcPr>
                <w:p w14:paraId="5B2B220A">
                  <w:pPr>
                    <w:spacing w:line="240" w:lineRule="auto"/>
                    <w:jc w:val="center"/>
                    <w:rPr>
                      <w:rFonts w:hint="default"/>
                      <w:sz w:val="21"/>
                      <w:szCs w:val="21"/>
                      <w:lang w:val="en-US" w:eastAsia="zh-CN"/>
                    </w:rPr>
                  </w:pPr>
                  <w:r>
                    <w:rPr>
                      <w:rFonts w:hint="default"/>
                      <w:sz w:val="21"/>
                      <w:szCs w:val="21"/>
                      <w:lang w:val="en-US" w:eastAsia="zh-CN"/>
                    </w:rPr>
                    <w:t>颗粒物</w:t>
                  </w:r>
                </w:p>
              </w:tc>
              <w:tc>
                <w:tcPr>
                  <w:tcW w:w="554" w:type="pct"/>
                  <w:noWrap w:val="0"/>
                  <w:vAlign w:val="center"/>
                </w:tcPr>
                <w:p w14:paraId="793078A7">
                  <w:pPr>
                    <w:spacing w:line="240" w:lineRule="auto"/>
                    <w:jc w:val="center"/>
                    <w:rPr>
                      <w:rFonts w:hint="default"/>
                      <w:sz w:val="21"/>
                      <w:szCs w:val="21"/>
                      <w:lang w:val="en-US" w:eastAsia="zh-CN"/>
                    </w:rPr>
                  </w:pPr>
                  <w:r>
                    <w:rPr>
                      <w:rFonts w:hint="default"/>
                      <w:sz w:val="21"/>
                      <w:szCs w:val="21"/>
                      <w:lang w:val="en-US" w:eastAsia="zh-CN"/>
                    </w:rPr>
                    <w:t>有组织</w:t>
                  </w:r>
                </w:p>
              </w:tc>
              <w:tc>
                <w:tcPr>
                  <w:tcW w:w="644" w:type="pct"/>
                  <w:vMerge w:val="continue"/>
                  <w:noWrap w:val="0"/>
                  <w:vAlign w:val="center"/>
                </w:tcPr>
                <w:p w14:paraId="698D7237">
                  <w:pPr>
                    <w:spacing w:line="240" w:lineRule="auto"/>
                    <w:jc w:val="center"/>
                    <w:rPr>
                      <w:rFonts w:hint="default"/>
                      <w:sz w:val="21"/>
                      <w:szCs w:val="21"/>
                      <w:lang w:val="en-US" w:eastAsia="zh-CN"/>
                    </w:rPr>
                  </w:pPr>
                </w:p>
              </w:tc>
              <w:tc>
                <w:tcPr>
                  <w:tcW w:w="1969" w:type="pct"/>
                  <w:vMerge w:val="continue"/>
                  <w:noWrap w:val="0"/>
                  <w:vAlign w:val="center"/>
                </w:tcPr>
                <w:p w14:paraId="030051E8">
                  <w:pPr>
                    <w:spacing w:line="240" w:lineRule="auto"/>
                    <w:jc w:val="center"/>
                    <w:rPr>
                      <w:rFonts w:hint="default"/>
                      <w:sz w:val="21"/>
                      <w:szCs w:val="21"/>
                      <w:lang w:val="en-US" w:eastAsia="zh-CN"/>
                    </w:rPr>
                  </w:pPr>
                </w:p>
              </w:tc>
              <w:tc>
                <w:tcPr>
                  <w:tcW w:w="795" w:type="pct"/>
                  <w:vMerge w:val="continue"/>
                  <w:noWrap w:val="0"/>
                  <w:vAlign w:val="center"/>
                </w:tcPr>
                <w:p w14:paraId="466D17A5">
                  <w:pPr>
                    <w:spacing w:line="240" w:lineRule="auto"/>
                    <w:jc w:val="center"/>
                    <w:rPr>
                      <w:rFonts w:hint="default"/>
                      <w:sz w:val="21"/>
                      <w:szCs w:val="21"/>
                      <w:lang w:val="en-US" w:eastAsia="zh-CN"/>
                    </w:rPr>
                  </w:pPr>
                </w:p>
              </w:tc>
            </w:tr>
            <w:tr w14:paraId="1CA1E55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82" w:type="pct"/>
                  <w:vMerge w:val="continue"/>
                  <w:noWrap w:val="0"/>
                  <w:vAlign w:val="center"/>
                </w:tcPr>
                <w:p w14:paraId="6EA82D08">
                  <w:pPr>
                    <w:spacing w:line="240" w:lineRule="auto"/>
                    <w:jc w:val="center"/>
                    <w:rPr>
                      <w:rFonts w:hint="default"/>
                      <w:sz w:val="21"/>
                      <w:szCs w:val="21"/>
                      <w:lang w:val="en-US" w:eastAsia="zh-CN"/>
                    </w:rPr>
                  </w:pPr>
                </w:p>
              </w:tc>
              <w:tc>
                <w:tcPr>
                  <w:tcW w:w="454" w:type="pct"/>
                  <w:noWrap w:val="0"/>
                  <w:vAlign w:val="center"/>
                </w:tcPr>
                <w:p w14:paraId="7A5DBFA6">
                  <w:pPr>
                    <w:spacing w:line="240" w:lineRule="auto"/>
                    <w:jc w:val="center"/>
                    <w:rPr>
                      <w:rFonts w:hint="default"/>
                      <w:sz w:val="21"/>
                      <w:szCs w:val="21"/>
                      <w:lang w:val="en-US" w:eastAsia="zh-CN"/>
                    </w:rPr>
                  </w:pPr>
                  <w:r>
                    <w:rPr>
                      <w:rFonts w:hint="default"/>
                      <w:sz w:val="21"/>
                      <w:szCs w:val="21"/>
                      <w:lang w:val="en-US" w:eastAsia="zh-CN"/>
                    </w:rPr>
                    <w:t>非甲烷总烃</w:t>
                  </w:r>
                </w:p>
              </w:tc>
              <w:tc>
                <w:tcPr>
                  <w:tcW w:w="554" w:type="pct"/>
                  <w:noWrap w:val="0"/>
                  <w:vAlign w:val="center"/>
                </w:tcPr>
                <w:p w14:paraId="6DE72EAC">
                  <w:pPr>
                    <w:spacing w:line="240" w:lineRule="auto"/>
                    <w:jc w:val="center"/>
                    <w:rPr>
                      <w:rFonts w:hint="default"/>
                      <w:sz w:val="21"/>
                      <w:szCs w:val="21"/>
                      <w:lang w:val="en-US" w:eastAsia="zh-CN"/>
                    </w:rPr>
                  </w:pPr>
                  <w:r>
                    <w:rPr>
                      <w:rFonts w:hint="default"/>
                      <w:sz w:val="21"/>
                      <w:szCs w:val="21"/>
                      <w:lang w:val="en-US" w:eastAsia="zh-CN"/>
                    </w:rPr>
                    <w:t>有组织</w:t>
                  </w:r>
                </w:p>
              </w:tc>
              <w:tc>
                <w:tcPr>
                  <w:tcW w:w="644" w:type="pct"/>
                  <w:vMerge w:val="continue"/>
                  <w:noWrap w:val="0"/>
                  <w:vAlign w:val="center"/>
                </w:tcPr>
                <w:p w14:paraId="7C242FA5">
                  <w:pPr>
                    <w:spacing w:line="240" w:lineRule="auto"/>
                    <w:jc w:val="center"/>
                    <w:rPr>
                      <w:rFonts w:hint="default"/>
                      <w:sz w:val="21"/>
                      <w:szCs w:val="21"/>
                      <w:lang w:val="en-US" w:eastAsia="zh-CN"/>
                    </w:rPr>
                  </w:pPr>
                </w:p>
              </w:tc>
              <w:tc>
                <w:tcPr>
                  <w:tcW w:w="1969" w:type="pct"/>
                  <w:noWrap w:val="0"/>
                  <w:vAlign w:val="center"/>
                </w:tcPr>
                <w:p w14:paraId="3A1C3669">
                  <w:pPr>
                    <w:spacing w:line="240" w:lineRule="auto"/>
                    <w:jc w:val="center"/>
                    <w:rPr>
                      <w:rFonts w:hint="default"/>
                      <w:sz w:val="21"/>
                      <w:szCs w:val="21"/>
                      <w:lang w:val="en-US" w:eastAsia="zh-CN"/>
                    </w:rPr>
                  </w:pPr>
                  <w:r>
                    <w:rPr>
                      <w:rFonts w:hint="default"/>
                      <w:sz w:val="21"/>
                      <w:szCs w:val="21"/>
                      <w:lang w:val="en-US" w:eastAsia="zh-CN"/>
                    </w:rPr>
                    <w:t>催化燃烧、活性炭吸附、蓄热燃烧、其他（参考浇注）</w:t>
                  </w:r>
                </w:p>
              </w:tc>
              <w:tc>
                <w:tcPr>
                  <w:tcW w:w="795" w:type="pct"/>
                  <w:vMerge w:val="continue"/>
                  <w:noWrap w:val="0"/>
                  <w:vAlign w:val="center"/>
                </w:tcPr>
                <w:p w14:paraId="0FED96C7">
                  <w:pPr>
                    <w:spacing w:line="240" w:lineRule="auto"/>
                    <w:jc w:val="center"/>
                    <w:rPr>
                      <w:rFonts w:hint="default"/>
                      <w:sz w:val="21"/>
                      <w:szCs w:val="21"/>
                      <w:lang w:val="en-US" w:eastAsia="zh-CN"/>
                    </w:rPr>
                  </w:pPr>
                </w:p>
              </w:tc>
            </w:tr>
          </w:tbl>
          <w:p w14:paraId="2FC148C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kern w:val="0"/>
                <w:sz w:val="24"/>
                <w:szCs w:val="24"/>
                <w:lang w:val="en-US" w:eastAsia="zh-CN" w:bidi="ar"/>
              </w:rPr>
            </w:pPr>
            <w:r>
              <w:rPr>
                <w:rFonts w:hint="eastAsia" w:cs="Times New Roman"/>
                <w:color w:val="auto"/>
                <w:kern w:val="0"/>
                <w:sz w:val="24"/>
                <w:szCs w:val="24"/>
                <w:lang w:val="en-US" w:eastAsia="zh-CN" w:bidi="ar"/>
              </w:rPr>
              <w:t>根据上表可知，</w:t>
            </w:r>
            <w:r>
              <w:rPr>
                <w:rFonts w:hint="eastAsia" w:ascii="Times New Roman" w:hAnsi="Times New Roman" w:cs="Times New Roman"/>
                <w:color w:val="auto"/>
                <w:kern w:val="0"/>
                <w:sz w:val="24"/>
                <w:szCs w:val="24"/>
                <w:lang w:val="en-US" w:eastAsia="zh-CN" w:bidi="ar"/>
              </w:rPr>
              <w:t>本项目熔化、压铸工段产生的</w:t>
            </w:r>
            <w:r>
              <w:rPr>
                <w:rFonts w:hint="eastAsia" w:cs="Times New Roman"/>
                <w:color w:val="auto"/>
                <w:kern w:val="0"/>
                <w:sz w:val="24"/>
                <w:szCs w:val="24"/>
                <w:lang w:val="en-US" w:eastAsia="zh-CN" w:bidi="ar"/>
              </w:rPr>
              <w:t>颗粒物、非甲烷总烃</w:t>
            </w:r>
            <w:r>
              <w:rPr>
                <w:rFonts w:hint="eastAsia" w:ascii="Times New Roman" w:hAnsi="Times New Roman" w:cs="Times New Roman"/>
                <w:color w:val="auto"/>
                <w:kern w:val="0"/>
                <w:sz w:val="24"/>
                <w:szCs w:val="24"/>
                <w:lang w:val="en-US" w:eastAsia="zh-CN" w:bidi="ar"/>
              </w:rPr>
              <w:t>经</w:t>
            </w:r>
            <w:r>
              <w:rPr>
                <w:rFonts w:hint="eastAsia" w:cs="Times New Roman"/>
                <w:color w:val="auto"/>
                <w:kern w:val="0"/>
                <w:sz w:val="24"/>
                <w:szCs w:val="24"/>
                <w:lang w:val="en-US" w:eastAsia="zh-CN" w:bidi="ar"/>
              </w:rPr>
              <w:t>“水喷淋+干式过滤+</w:t>
            </w:r>
            <w:r>
              <w:rPr>
                <w:rFonts w:hint="eastAsia" w:ascii="Times New Roman" w:hAnsi="Times New Roman" w:cs="Times New Roman"/>
                <w:color w:val="auto"/>
                <w:kern w:val="0"/>
                <w:sz w:val="24"/>
                <w:szCs w:val="24"/>
                <w:lang w:val="en-US" w:eastAsia="zh-CN" w:bidi="ar"/>
              </w:rPr>
              <w:t>二级活性炭吸附装置</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处理为可行技术。</w:t>
            </w:r>
          </w:p>
          <w:p w14:paraId="2E19CAC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9"/>
              <w:rPr>
                <w:rFonts w:hint="eastAsia" w:ascii="Times New Roman" w:hAnsi="Times New Roman" w:cs="Times New Roman"/>
                <w:color w:val="auto"/>
                <w:kern w:val="0"/>
                <w:sz w:val="24"/>
                <w:szCs w:val="24"/>
                <w:lang w:val="en-US" w:eastAsia="zh-CN" w:bidi="ar"/>
              </w:rPr>
            </w:pPr>
            <w:r>
              <w:rPr>
                <w:rFonts w:hint="eastAsia" w:cs="Times New Roman"/>
                <w:b/>
                <w:bCs/>
                <w:color w:val="auto"/>
                <w:kern w:val="2"/>
                <w:sz w:val="24"/>
                <w:szCs w:val="22"/>
                <w:lang w:val="en-US" w:eastAsia="zh-CN" w:bidi="ar-SA"/>
              </w:rPr>
              <w:t>（2）</w:t>
            </w:r>
            <w:r>
              <w:rPr>
                <w:rFonts w:hint="eastAsia" w:ascii="Times New Roman" w:hAnsi="Times New Roman" w:eastAsia="仿宋" w:cs="Times New Roman"/>
                <w:b/>
                <w:bCs/>
                <w:color w:val="auto"/>
                <w:kern w:val="2"/>
                <w:sz w:val="24"/>
                <w:szCs w:val="24"/>
                <w:lang w:val="en-US" w:eastAsia="zh-CN" w:bidi="ar-SA"/>
              </w:rPr>
              <w:t>废气处理工艺可行性</w:t>
            </w:r>
          </w:p>
          <w:p w14:paraId="758141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仿宋" w:hAnsi="仿宋" w:cs="仿宋"/>
                <w:b/>
                <w:bCs/>
                <w:color w:val="auto"/>
                <w:kern w:val="2"/>
                <w:sz w:val="24"/>
                <w:szCs w:val="22"/>
                <w:lang w:val="en-US" w:eastAsia="zh-CN" w:bidi="ar-SA"/>
              </w:rPr>
            </w:pPr>
            <w:r>
              <w:rPr>
                <w:rFonts w:hint="eastAsia" w:ascii="仿宋" w:hAnsi="仿宋" w:eastAsia="仿宋" w:cs="仿宋"/>
                <w:b/>
                <w:bCs/>
                <w:color w:val="auto"/>
                <w:kern w:val="2"/>
                <w:sz w:val="24"/>
                <w:szCs w:val="22"/>
                <w:lang w:val="en-US" w:eastAsia="zh-CN" w:bidi="ar-SA"/>
              </w:rPr>
              <w:t>①</w:t>
            </w:r>
            <w:r>
              <w:rPr>
                <w:rFonts w:hint="eastAsia" w:ascii="仿宋" w:hAnsi="仿宋" w:cs="仿宋"/>
                <w:b/>
                <w:bCs/>
                <w:color w:val="auto"/>
                <w:kern w:val="2"/>
                <w:sz w:val="24"/>
                <w:szCs w:val="22"/>
                <w:lang w:val="en-US" w:eastAsia="zh-CN" w:bidi="ar-SA"/>
              </w:rPr>
              <w:t>水喷淋</w:t>
            </w:r>
          </w:p>
          <w:p w14:paraId="3626EC2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水喷淋塔，又称洗涤塔，是一种利用液体喷淋来去除气体中污染物的设备。其工作原理是通过向含有有害物质的气流中喷射液体（通常是水或化学溶液），使得气液两相充分接触，从而实现对废气中有害成分的吸收或氧化等净化过程。喷淋塔采用水泵循环给水，由安装在隔水层底部的螺旋喷嘴喷出来，分离出来的粉尘颗粒物下沉到水箱底部，分离后的气体进入环保填充料隔水层，然后进入后段的废气处理设备</w:t>
            </w:r>
            <w:r>
              <w:rPr>
                <w:rFonts w:hint="eastAsia" w:cs="Times New Roman"/>
                <w:color w:val="auto"/>
                <w:kern w:val="0"/>
                <w:sz w:val="24"/>
                <w:szCs w:val="24"/>
                <w:lang w:val="en-US" w:eastAsia="zh-CN" w:bidi="ar"/>
              </w:rPr>
              <w:t>。</w:t>
            </w:r>
          </w:p>
          <w:p w14:paraId="1BF99E3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9"/>
              <w:rPr>
                <w:rFonts w:hint="eastAsia" w:ascii="仿宋" w:hAnsi="仿宋" w:cs="仿宋"/>
                <w:b/>
                <w:bCs/>
                <w:color w:val="auto"/>
                <w:kern w:val="2"/>
                <w:sz w:val="24"/>
                <w:szCs w:val="22"/>
                <w:lang w:val="en-US" w:eastAsia="zh-CN" w:bidi="ar-SA"/>
              </w:rPr>
            </w:pPr>
            <w:r>
              <w:rPr>
                <w:rFonts w:hint="default" w:ascii="仿宋" w:hAnsi="仿宋" w:eastAsia="仿宋" w:cs="仿宋"/>
                <w:b/>
                <w:bCs/>
                <w:color w:val="auto"/>
                <w:kern w:val="2"/>
                <w:sz w:val="24"/>
                <w:szCs w:val="22"/>
                <w:lang w:val="en-US" w:eastAsia="zh-CN" w:bidi="ar-SA"/>
              </w:rPr>
              <w:t>②</w:t>
            </w:r>
            <w:r>
              <w:rPr>
                <w:rFonts w:hint="eastAsia" w:ascii="仿宋" w:hAnsi="仿宋" w:cs="仿宋"/>
                <w:b/>
                <w:bCs/>
                <w:color w:val="auto"/>
                <w:kern w:val="2"/>
                <w:sz w:val="24"/>
                <w:szCs w:val="22"/>
                <w:lang w:val="en-US" w:eastAsia="zh-CN" w:bidi="ar-SA"/>
              </w:rPr>
              <w:t>干式过滤</w:t>
            </w:r>
          </w:p>
          <w:p w14:paraId="78B5EC1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干式过滤装置核心组件为多孔过滤材料，如玻璃纤维、</w:t>
            </w:r>
            <w:r>
              <w:rPr>
                <w:rFonts w:hint="eastAsia" w:cs="Times New Roman"/>
                <w:color w:val="auto"/>
                <w:kern w:val="0"/>
                <w:sz w:val="24"/>
                <w:szCs w:val="24"/>
                <w:lang w:val="en-US" w:eastAsia="zh-CN" w:bidi="ar"/>
              </w:rPr>
              <w:t>聚酯纤维</w:t>
            </w:r>
            <w:r>
              <w:rPr>
                <w:rFonts w:hint="eastAsia" w:ascii="Times New Roman" w:hAnsi="Times New Roman" w:cs="Times New Roman"/>
                <w:color w:val="auto"/>
                <w:kern w:val="0"/>
                <w:sz w:val="24"/>
                <w:szCs w:val="24"/>
                <w:lang w:val="en-US" w:eastAsia="zh-CN" w:bidi="ar"/>
              </w:rPr>
              <w:t>、PTFE覆膜材料，工作原理有（1）拦截作用：废气中粒径较大的颗粒物随气流通过滤材</w:t>
            </w:r>
            <w:r>
              <w:rPr>
                <w:rFonts w:hint="eastAsia" w:cs="Times New Roman"/>
                <w:color w:val="auto"/>
                <w:kern w:val="0"/>
                <w:sz w:val="24"/>
                <w:szCs w:val="24"/>
                <w:lang w:val="en-US" w:eastAsia="zh-CN" w:bidi="ar"/>
              </w:rPr>
              <w:t>时</w:t>
            </w:r>
            <w:r>
              <w:rPr>
                <w:rFonts w:hint="eastAsia" w:ascii="Times New Roman" w:hAnsi="Times New Roman" w:cs="Times New Roman"/>
                <w:color w:val="auto"/>
                <w:kern w:val="0"/>
                <w:sz w:val="24"/>
                <w:szCs w:val="24"/>
                <w:lang w:val="en-US" w:eastAsia="zh-CN" w:bidi="ar"/>
              </w:rPr>
              <w:t>，因尺寸超过滤材孔隙直径，直接被拦截滞留；（2）惯性碰撞：气流中的颗粒物具有惯性，当气流遇到滤材纤维时方向改变，质量较大的颗粒因惯性保持原运动轨迹，撞击并附着在滤材表面</w:t>
            </w:r>
            <w:r>
              <w:rPr>
                <w:rFonts w:hint="eastAsia" w:cs="Times New Roman"/>
                <w:color w:val="auto"/>
                <w:kern w:val="0"/>
                <w:sz w:val="24"/>
                <w:szCs w:val="24"/>
                <w:lang w:val="en-US" w:eastAsia="zh-CN" w:bidi="ar"/>
              </w:rPr>
              <w:t>；（3）扩散沉积</w:t>
            </w:r>
            <w:r>
              <w:rPr>
                <w:rFonts w:hint="eastAsia" w:ascii="Times New Roman" w:hAnsi="Times New Roman" w:cs="Times New Roman"/>
                <w:color w:val="auto"/>
                <w:kern w:val="0"/>
                <w:sz w:val="24"/>
                <w:szCs w:val="24"/>
                <w:lang w:val="en-US" w:eastAsia="zh-CN" w:bidi="ar"/>
              </w:rPr>
              <w:t>：极小颗粒物受气体分子热运动影响，做无规则布朗运动，与滤材纤维接触后被吸附。</w:t>
            </w:r>
          </w:p>
          <w:p w14:paraId="1119FF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2"/>
                <w:sz w:val="24"/>
                <w:szCs w:val="22"/>
                <w:lang w:val="en-US" w:eastAsia="zh-CN" w:bidi="ar-SA"/>
              </w:rPr>
            </w:pPr>
            <w:r>
              <w:rPr>
                <w:rFonts w:hint="default" w:ascii="仿宋" w:hAnsi="仿宋" w:eastAsia="仿宋" w:cs="仿宋"/>
                <w:b/>
                <w:bCs/>
                <w:color w:val="auto"/>
                <w:kern w:val="2"/>
                <w:sz w:val="24"/>
                <w:szCs w:val="22"/>
                <w:lang w:val="en-US" w:eastAsia="zh-CN" w:bidi="ar-SA"/>
              </w:rPr>
              <w:t>③</w:t>
            </w:r>
            <w:r>
              <w:rPr>
                <w:rFonts w:hint="eastAsia" w:ascii="Times New Roman" w:hAnsi="Times New Roman" w:cs="Times New Roman"/>
                <w:b/>
                <w:bCs/>
                <w:color w:val="auto"/>
                <w:kern w:val="2"/>
                <w:sz w:val="24"/>
                <w:szCs w:val="22"/>
                <w:lang w:val="en-US" w:eastAsia="zh-CN" w:bidi="ar-SA"/>
              </w:rPr>
              <w:t>活性炭吸附装置</w:t>
            </w:r>
          </w:p>
          <w:p w14:paraId="4C0893C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261CE715">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lang w:val="en-US" w:eastAsia="zh-CN"/>
              </w:rPr>
            </w:pPr>
          </w:p>
          <w:p w14:paraId="423B117D">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lang w:val="en-US" w:eastAsia="zh-CN"/>
              </w:rPr>
            </w:pPr>
          </w:p>
          <w:p w14:paraId="6AC6D4B1">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color w:val="auto"/>
                <w:sz w:val="21"/>
                <w:szCs w:val="18"/>
              </w:rPr>
            </w:pPr>
            <w:r>
              <w:rPr>
                <w:rFonts w:hint="default" w:ascii="Times New Roman" w:hAnsi="Times New Roman" w:eastAsia="仿宋" w:cs="Times New Roman"/>
                <w:b/>
                <w:bCs/>
                <w:color w:val="auto"/>
                <w:sz w:val="21"/>
                <w:szCs w:val="20"/>
                <w:lang w:val="en-US" w:eastAsia="zh-CN"/>
              </w:rPr>
              <w:t>表4-</w:t>
            </w:r>
            <w:r>
              <w:rPr>
                <w:rFonts w:hint="eastAsia" w:cs="Times New Roman"/>
                <w:b/>
                <w:bCs/>
                <w:color w:val="auto"/>
                <w:sz w:val="21"/>
                <w:szCs w:val="20"/>
                <w:lang w:val="en-US" w:eastAsia="zh-CN"/>
              </w:rPr>
              <w:t>5</w:t>
            </w:r>
            <w:r>
              <w:rPr>
                <w:rFonts w:hint="default" w:ascii="Times New Roman" w:hAnsi="Times New Roman" w:eastAsia="仿宋" w:cs="Times New Roman"/>
                <w:b/>
                <w:bCs/>
                <w:color w:val="auto"/>
                <w:sz w:val="21"/>
                <w:szCs w:val="20"/>
                <w:lang w:val="en-US" w:eastAsia="zh-CN"/>
              </w:rPr>
              <w:t xml:space="preserve">  </w:t>
            </w:r>
            <w:r>
              <w:rPr>
                <w:rFonts w:hint="eastAsia" w:eastAsia="仿宋"/>
                <w:b/>
                <w:color w:val="auto"/>
                <w:sz w:val="21"/>
                <w:szCs w:val="18"/>
              </w:rPr>
              <w:t>企业</w:t>
            </w:r>
            <w:r>
              <w:rPr>
                <w:rFonts w:hint="eastAsia" w:eastAsia="仿宋"/>
                <w:b/>
                <w:color w:val="auto"/>
                <w:sz w:val="21"/>
                <w:szCs w:val="18"/>
                <w:lang w:val="en-US" w:eastAsia="zh-CN"/>
              </w:rPr>
              <w:t>废气处理</w:t>
            </w:r>
            <w:r>
              <w:rPr>
                <w:rFonts w:hint="eastAsia" w:eastAsia="仿宋"/>
                <w:b/>
                <w:color w:val="auto"/>
                <w:sz w:val="21"/>
                <w:szCs w:val="18"/>
              </w:rPr>
              <w:t>装置设计参数</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1544"/>
              <w:gridCol w:w="1240"/>
              <w:gridCol w:w="7619"/>
            </w:tblGrid>
            <w:tr w14:paraId="4A029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4"/>
                  <w:tcBorders>
                    <w:tl2br w:val="nil"/>
                    <w:tr2bl w:val="nil"/>
                  </w:tcBorders>
                  <w:shd w:val="clear" w:color="auto" w:fill="auto"/>
                  <w:noWrap w:val="0"/>
                  <w:vAlign w:val="center"/>
                </w:tcPr>
                <w:p w14:paraId="553DE20D">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lang w:eastAsia="zh-CN"/>
                    </w:rPr>
                  </w:pPr>
                  <w:r>
                    <w:rPr>
                      <w:rFonts w:hint="eastAsia" w:cs="Times New Roman"/>
                      <w:b/>
                      <w:bCs/>
                      <w:color w:val="auto"/>
                      <w:sz w:val="21"/>
                      <w:szCs w:val="21"/>
                      <w:lang w:val="en-US" w:eastAsia="zh-CN"/>
                    </w:rPr>
                    <w:t>水喷淋+干式过滤+二级</w:t>
                  </w:r>
                  <w:r>
                    <w:rPr>
                      <w:rFonts w:hint="default" w:ascii="Times New Roman" w:hAnsi="Times New Roman" w:eastAsia="仿宋" w:cs="Times New Roman"/>
                      <w:b/>
                      <w:bCs/>
                      <w:color w:val="auto"/>
                      <w:sz w:val="21"/>
                      <w:szCs w:val="21"/>
                    </w:rPr>
                    <w:t>活性炭吸附装置</w:t>
                  </w:r>
                </w:p>
              </w:tc>
            </w:tr>
            <w:tr w14:paraId="6AB07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70" w:type="pct"/>
                  <w:gridSpan w:val="3"/>
                  <w:tcBorders>
                    <w:tl2br w:val="nil"/>
                    <w:tr2bl w:val="nil"/>
                  </w:tcBorders>
                  <w:shd w:val="clear" w:color="auto" w:fill="auto"/>
                  <w:noWrap w:val="0"/>
                  <w:vAlign w:val="center"/>
                </w:tcPr>
                <w:p w14:paraId="372763CD">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设计处理能力</w:t>
                  </w:r>
                </w:p>
              </w:tc>
              <w:tc>
                <w:tcPr>
                  <w:tcW w:w="3029" w:type="pct"/>
                  <w:tcBorders>
                    <w:tl2br w:val="nil"/>
                    <w:tr2bl w:val="nil"/>
                  </w:tcBorders>
                  <w:shd w:val="clear" w:color="auto" w:fill="auto"/>
                  <w:noWrap w:val="0"/>
                  <w:vAlign w:val="center"/>
                </w:tcPr>
                <w:p w14:paraId="13A184B0">
                  <w:pPr>
                    <w:pStyle w:val="66"/>
                    <w:keepNext w:val="0"/>
                    <w:keepLines w:val="0"/>
                    <w:suppressLineNumbers w:val="0"/>
                    <w:spacing w:before="0" w:beforeAutospacing="0" w:after="0" w:afterAutospacing="0" w:line="240" w:lineRule="auto"/>
                    <w:ind w:left="0" w:right="0" w:firstLine="482"/>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28</w:t>
                  </w:r>
                  <w:r>
                    <w:rPr>
                      <w:rFonts w:hint="eastAsia" w:ascii="Times New Roman" w:hAnsi="Times New Roman" w:eastAsia="仿宋" w:cs="Times New Roman"/>
                      <w:color w:val="auto"/>
                      <w:sz w:val="21"/>
                      <w:szCs w:val="21"/>
                      <w:lang w:val="en-US" w:eastAsia="zh-CN"/>
                    </w:rPr>
                    <w:t>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14:paraId="2D696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70" w:type="pct"/>
                  <w:gridSpan w:val="3"/>
                  <w:tcBorders>
                    <w:tl2br w:val="nil"/>
                    <w:tr2bl w:val="nil"/>
                  </w:tcBorders>
                  <w:shd w:val="clear" w:color="auto" w:fill="auto"/>
                  <w:noWrap w:val="0"/>
                  <w:vAlign w:val="center"/>
                </w:tcPr>
                <w:p w14:paraId="47BA177C">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废气收集方式</w:t>
                  </w:r>
                </w:p>
              </w:tc>
              <w:tc>
                <w:tcPr>
                  <w:tcW w:w="3029" w:type="pct"/>
                  <w:tcBorders>
                    <w:tl2br w:val="nil"/>
                    <w:tr2bl w:val="nil"/>
                  </w:tcBorders>
                  <w:shd w:val="clear" w:color="auto" w:fill="auto"/>
                  <w:noWrap w:val="0"/>
                  <w:vAlign w:val="center"/>
                </w:tcPr>
                <w:p w14:paraId="5ED16823">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集气罩收集</w:t>
                  </w:r>
                </w:p>
              </w:tc>
            </w:tr>
            <w:tr w14:paraId="34174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restart"/>
                  <w:tcBorders>
                    <w:tl2br w:val="nil"/>
                    <w:tr2bl w:val="nil"/>
                  </w:tcBorders>
                  <w:shd w:val="clear" w:color="auto" w:fill="auto"/>
                  <w:noWrap w:val="0"/>
                  <w:vAlign w:val="center"/>
                </w:tcPr>
                <w:p w14:paraId="3C78E805">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喷淋塔参数/规格</w:t>
                  </w:r>
                </w:p>
              </w:tc>
              <w:tc>
                <w:tcPr>
                  <w:tcW w:w="1107" w:type="pct"/>
                  <w:gridSpan w:val="2"/>
                  <w:tcBorders>
                    <w:tl2br w:val="nil"/>
                    <w:tr2bl w:val="nil"/>
                  </w:tcBorders>
                  <w:shd w:val="clear" w:color="auto" w:fill="auto"/>
                  <w:noWrap w:val="0"/>
                  <w:vAlign w:val="center"/>
                </w:tcPr>
                <w:p w14:paraId="2612F940">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设计尺寸</w:t>
                  </w:r>
                </w:p>
              </w:tc>
              <w:tc>
                <w:tcPr>
                  <w:tcW w:w="3029" w:type="pct"/>
                  <w:tcBorders>
                    <w:tl2br w:val="nil"/>
                    <w:tr2bl w:val="nil"/>
                  </w:tcBorders>
                  <w:shd w:val="clear" w:color="auto" w:fill="auto"/>
                  <w:noWrap w:val="0"/>
                  <w:vAlign w:val="center"/>
                </w:tcPr>
                <w:p w14:paraId="28DA61A2">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Φ2800×7500㎜</w:t>
                  </w:r>
                </w:p>
              </w:tc>
            </w:tr>
            <w:tr w14:paraId="0A348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continue"/>
                  <w:tcBorders>
                    <w:tl2br w:val="nil"/>
                    <w:tr2bl w:val="nil"/>
                  </w:tcBorders>
                  <w:shd w:val="clear" w:color="auto" w:fill="auto"/>
                  <w:noWrap w:val="0"/>
                  <w:vAlign w:val="center"/>
                </w:tcPr>
                <w:p w14:paraId="1009ECE5">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2B99B300">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材质</w:t>
                  </w:r>
                </w:p>
              </w:tc>
              <w:tc>
                <w:tcPr>
                  <w:tcW w:w="3029" w:type="pct"/>
                  <w:tcBorders>
                    <w:tl2br w:val="nil"/>
                    <w:tr2bl w:val="nil"/>
                  </w:tcBorders>
                  <w:shd w:val="clear" w:color="auto" w:fill="auto"/>
                  <w:noWrap w:val="0"/>
                  <w:vAlign w:val="center"/>
                </w:tcPr>
                <w:p w14:paraId="433BBB9C">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12mmPP防腐</w:t>
                  </w:r>
                </w:p>
              </w:tc>
            </w:tr>
            <w:tr w14:paraId="39E81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continue"/>
                  <w:tcBorders>
                    <w:tl2br w:val="nil"/>
                    <w:tr2bl w:val="nil"/>
                  </w:tcBorders>
                  <w:shd w:val="clear" w:color="auto" w:fill="auto"/>
                  <w:noWrap w:val="0"/>
                  <w:vAlign w:val="center"/>
                </w:tcPr>
                <w:p w14:paraId="49B7BEC8">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5EF107E9">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填料层数</w:t>
                  </w:r>
                </w:p>
              </w:tc>
              <w:tc>
                <w:tcPr>
                  <w:tcW w:w="3029" w:type="pct"/>
                  <w:tcBorders>
                    <w:tl2br w:val="nil"/>
                    <w:tr2bl w:val="nil"/>
                  </w:tcBorders>
                  <w:shd w:val="clear" w:color="auto" w:fill="auto"/>
                  <w:noWrap w:val="0"/>
                  <w:vAlign w:val="center"/>
                </w:tcPr>
                <w:p w14:paraId="39DFD302">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3层</w:t>
                  </w:r>
                </w:p>
              </w:tc>
            </w:tr>
            <w:tr w14:paraId="1A2C2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continue"/>
                  <w:tcBorders>
                    <w:tl2br w:val="nil"/>
                    <w:tr2bl w:val="nil"/>
                  </w:tcBorders>
                  <w:shd w:val="clear" w:color="auto" w:fill="auto"/>
                  <w:noWrap w:val="0"/>
                  <w:vAlign w:val="center"/>
                </w:tcPr>
                <w:p w14:paraId="08FDC92E">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3EEEA4A4">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循环水泵</w:t>
                  </w:r>
                </w:p>
              </w:tc>
              <w:tc>
                <w:tcPr>
                  <w:tcW w:w="3029" w:type="pct"/>
                  <w:tcBorders>
                    <w:tl2br w:val="nil"/>
                    <w:tr2bl w:val="nil"/>
                  </w:tcBorders>
                  <w:shd w:val="clear" w:color="auto" w:fill="auto"/>
                  <w:noWrap w:val="0"/>
                  <w:vAlign w:val="center"/>
                </w:tcPr>
                <w:p w14:paraId="513AB670">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65m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p>
              </w:tc>
            </w:tr>
            <w:tr w14:paraId="76841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continue"/>
                  <w:tcBorders>
                    <w:tl2br w:val="nil"/>
                    <w:tr2bl w:val="nil"/>
                  </w:tcBorders>
                  <w:shd w:val="clear" w:color="auto" w:fill="auto"/>
                  <w:noWrap w:val="0"/>
                  <w:vAlign w:val="center"/>
                </w:tcPr>
                <w:p w14:paraId="3AC128D2">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7AE60C16">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液位计</w:t>
                  </w:r>
                </w:p>
              </w:tc>
              <w:tc>
                <w:tcPr>
                  <w:tcW w:w="3029" w:type="pct"/>
                  <w:tcBorders>
                    <w:tl2br w:val="nil"/>
                    <w:tr2bl w:val="nil"/>
                  </w:tcBorders>
                  <w:shd w:val="clear" w:color="auto" w:fill="auto"/>
                  <w:noWrap w:val="0"/>
                  <w:vAlign w:val="center"/>
                </w:tcPr>
                <w:p w14:paraId="163611D2">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1台</w:t>
                  </w:r>
                </w:p>
              </w:tc>
            </w:tr>
            <w:tr w14:paraId="3457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restart"/>
                  <w:tcBorders>
                    <w:tl2br w:val="nil"/>
                    <w:tr2bl w:val="nil"/>
                  </w:tcBorders>
                  <w:shd w:val="clear" w:color="auto" w:fill="auto"/>
                  <w:noWrap w:val="0"/>
                  <w:vAlign w:val="center"/>
                </w:tcPr>
                <w:p w14:paraId="5158CA11">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干式过滤箱</w:t>
                  </w:r>
                  <w:r>
                    <w:rPr>
                      <w:rFonts w:hint="eastAsia" w:ascii="Times New Roman" w:hAnsi="Times New Roman" w:eastAsia="仿宋" w:cs="Times New Roman"/>
                      <w:b/>
                      <w:bCs/>
                      <w:color w:val="auto"/>
                      <w:sz w:val="21"/>
                      <w:szCs w:val="21"/>
                      <w:lang w:val="en-US" w:eastAsia="zh-CN"/>
                    </w:rPr>
                    <w:t>参数/规格</w:t>
                  </w:r>
                </w:p>
              </w:tc>
              <w:tc>
                <w:tcPr>
                  <w:tcW w:w="1107" w:type="pct"/>
                  <w:gridSpan w:val="2"/>
                  <w:tcBorders>
                    <w:tl2br w:val="nil"/>
                    <w:tr2bl w:val="nil"/>
                  </w:tcBorders>
                  <w:shd w:val="clear" w:color="auto" w:fill="auto"/>
                  <w:noWrap w:val="0"/>
                  <w:vAlign w:val="center"/>
                </w:tcPr>
                <w:p w14:paraId="1FB6CA96">
                  <w:pPr>
                    <w:pStyle w:val="66"/>
                    <w:keepNext w:val="0"/>
                    <w:keepLines w:val="0"/>
                    <w:suppressLineNumbers w:val="0"/>
                    <w:spacing w:before="0" w:beforeAutospacing="0" w:after="0" w:afterAutospacing="0" w:line="240" w:lineRule="auto"/>
                    <w:ind w:left="0" w:right="0"/>
                    <w:jc w:val="center"/>
                    <w:rPr>
                      <w:rFonts w:hint="eastAsia"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设计尺寸</w:t>
                  </w:r>
                </w:p>
              </w:tc>
              <w:tc>
                <w:tcPr>
                  <w:tcW w:w="3029" w:type="pct"/>
                  <w:tcBorders>
                    <w:tl2br w:val="nil"/>
                    <w:tr2bl w:val="nil"/>
                  </w:tcBorders>
                  <w:shd w:val="clear" w:color="auto" w:fill="auto"/>
                  <w:noWrap w:val="0"/>
                  <w:vAlign w:val="center"/>
                </w:tcPr>
                <w:p w14:paraId="2B7810AB">
                  <w:pPr>
                    <w:pStyle w:val="66"/>
                    <w:keepNext w:val="0"/>
                    <w:keepLines w:val="0"/>
                    <w:suppressLineNumbers w:val="0"/>
                    <w:spacing w:before="0" w:beforeAutospacing="0" w:after="0" w:afterAutospacing="0" w:line="240" w:lineRule="auto"/>
                    <w:ind w:left="0" w:right="0" w:firstLine="482"/>
                    <w:rPr>
                      <w:rFonts w:hint="eastAsia" w:cs="Times New Roman"/>
                      <w:color w:val="auto"/>
                      <w:sz w:val="21"/>
                      <w:szCs w:val="21"/>
                      <w:lang w:val="en-US" w:eastAsia="zh-CN"/>
                    </w:rPr>
                  </w:pPr>
                  <w:bookmarkStart w:id="1" w:name="OLE_LINK7"/>
                  <w:bookmarkStart w:id="2" w:name="OLE_LINK8"/>
                  <w:r>
                    <w:rPr>
                      <w:rFonts w:hint="eastAsia"/>
                      <w:sz w:val="20"/>
                    </w:rPr>
                    <w:t>32</w:t>
                  </w:r>
                  <w:r>
                    <w:rPr>
                      <w:sz w:val="20"/>
                    </w:rPr>
                    <w:t>00×</w:t>
                  </w:r>
                  <w:r>
                    <w:rPr>
                      <w:rFonts w:hint="eastAsia"/>
                      <w:sz w:val="20"/>
                    </w:rPr>
                    <w:t>3200</w:t>
                  </w:r>
                  <w:r>
                    <w:rPr>
                      <w:sz w:val="20"/>
                    </w:rPr>
                    <w:t>×</w:t>
                  </w:r>
                  <w:r>
                    <w:rPr>
                      <w:rFonts w:hint="eastAsia"/>
                      <w:sz w:val="20"/>
                    </w:rPr>
                    <w:t>26</w:t>
                  </w:r>
                  <w:r>
                    <w:rPr>
                      <w:sz w:val="20"/>
                    </w:rPr>
                    <w:t>00mm</w:t>
                  </w:r>
                  <w:bookmarkEnd w:id="1"/>
                  <w:bookmarkEnd w:id="2"/>
                </w:p>
              </w:tc>
            </w:tr>
            <w:tr w14:paraId="28838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continue"/>
                  <w:tcBorders>
                    <w:tl2br w:val="nil"/>
                    <w:tr2bl w:val="nil"/>
                  </w:tcBorders>
                  <w:shd w:val="clear" w:color="auto" w:fill="auto"/>
                  <w:noWrap w:val="0"/>
                  <w:vAlign w:val="center"/>
                </w:tcPr>
                <w:p w14:paraId="4D5F528E">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2F38648C">
                  <w:pPr>
                    <w:pStyle w:val="66"/>
                    <w:keepNext w:val="0"/>
                    <w:keepLines w:val="0"/>
                    <w:suppressLineNumbers w:val="0"/>
                    <w:spacing w:before="0" w:beforeAutospacing="0" w:after="0" w:afterAutospacing="0" w:line="240" w:lineRule="auto"/>
                    <w:ind w:left="0" w:right="0"/>
                    <w:jc w:val="center"/>
                    <w:rPr>
                      <w:rFonts w:hint="eastAsia"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材质</w:t>
                  </w:r>
                </w:p>
              </w:tc>
              <w:tc>
                <w:tcPr>
                  <w:tcW w:w="3029" w:type="pct"/>
                  <w:tcBorders>
                    <w:tl2br w:val="nil"/>
                    <w:tr2bl w:val="nil"/>
                  </w:tcBorders>
                  <w:shd w:val="clear" w:color="auto" w:fill="auto"/>
                  <w:noWrap w:val="0"/>
                  <w:vAlign w:val="center"/>
                </w:tcPr>
                <w:p w14:paraId="47D33894">
                  <w:pPr>
                    <w:pStyle w:val="66"/>
                    <w:keepNext w:val="0"/>
                    <w:keepLines w:val="0"/>
                    <w:suppressLineNumbers w:val="0"/>
                    <w:spacing w:before="0" w:beforeAutospacing="0" w:after="0" w:afterAutospacing="0" w:line="240" w:lineRule="auto"/>
                    <w:ind w:left="0" w:right="0" w:firstLine="482"/>
                    <w:rPr>
                      <w:rFonts w:hint="eastAsia" w:cs="Times New Roman"/>
                      <w:color w:val="auto"/>
                      <w:sz w:val="21"/>
                      <w:szCs w:val="21"/>
                      <w:lang w:val="en-US" w:eastAsia="zh-CN"/>
                    </w:rPr>
                  </w:pPr>
                  <w:r>
                    <w:rPr>
                      <w:rFonts w:hint="eastAsia" w:cs="Times New Roman"/>
                      <w:color w:val="auto"/>
                      <w:sz w:val="21"/>
                      <w:szCs w:val="21"/>
                      <w:lang w:val="en-US" w:eastAsia="zh-CN"/>
                    </w:rPr>
                    <w:t>12mmPP</w:t>
                  </w:r>
                </w:p>
              </w:tc>
            </w:tr>
            <w:tr w14:paraId="1FFC0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continue"/>
                  <w:tcBorders>
                    <w:tl2br w:val="nil"/>
                    <w:tr2bl w:val="nil"/>
                  </w:tcBorders>
                  <w:shd w:val="clear" w:color="auto" w:fill="auto"/>
                  <w:noWrap w:val="0"/>
                  <w:vAlign w:val="center"/>
                </w:tcPr>
                <w:p w14:paraId="2730E17A">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7583D632">
                  <w:pPr>
                    <w:pStyle w:val="66"/>
                    <w:keepNext w:val="0"/>
                    <w:keepLines w:val="0"/>
                    <w:suppressLineNumbers w:val="0"/>
                    <w:spacing w:before="0" w:beforeAutospacing="0" w:after="0" w:afterAutospacing="0" w:line="240" w:lineRule="auto"/>
                    <w:ind w:left="0" w:right="0"/>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过滤层</w:t>
                  </w:r>
                </w:p>
              </w:tc>
              <w:tc>
                <w:tcPr>
                  <w:tcW w:w="3029" w:type="pct"/>
                  <w:tcBorders>
                    <w:tl2br w:val="nil"/>
                    <w:tr2bl w:val="nil"/>
                  </w:tcBorders>
                  <w:shd w:val="clear" w:color="auto" w:fill="auto"/>
                  <w:noWrap w:val="0"/>
                  <w:vAlign w:val="center"/>
                </w:tcPr>
                <w:p w14:paraId="51FCAC83">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4层</w:t>
                  </w:r>
                </w:p>
              </w:tc>
            </w:tr>
            <w:tr w14:paraId="6BFAD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863" w:type="pct"/>
                  <w:vMerge w:val="restart"/>
                  <w:tcBorders>
                    <w:tl2br w:val="nil"/>
                    <w:tr2bl w:val="nil"/>
                  </w:tcBorders>
                  <w:shd w:val="clear" w:color="auto" w:fill="auto"/>
                  <w:noWrap w:val="0"/>
                  <w:vAlign w:val="center"/>
                </w:tcPr>
                <w:p w14:paraId="67527CB6">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二级</w:t>
                  </w:r>
                  <w:r>
                    <w:rPr>
                      <w:rFonts w:hint="default" w:ascii="Times New Roman" w:hAnsi="Times New Roman" w:eastAsia="仿宋" w:cs="Times New Roman"/>
                      <w:b/>
                      <w:bCs/>
                      <w:color w:val="auto"/>
                      <w:sz w:val="21"/>
                      <w:szCs w:val="21"/>
                    </w:rPr>
                    <w:t>活性炭吸附</w:t>
                  </w:r>
                  <w:r>
                    <w:rPr>
                      <w:rFonts w:hint="eastAsia" w:cs="Times New Roman"/>
                      <w:b/>
                      <w:bCs/>
                      <w:color w:val="auto"/>
                      <w:sz w:val="21"/>
                      <w:szCs w:val="21"/>
                      <w:lang w:val="en-US" w:eastAsia="zh-CN"/>
                    </w:rPr>
                    <w:t>装置</w:t>
                  </w:r>
                  <w:r>
                    <w:rPr>
                      <w:rFonts w:hint="eastAsia" w:ascii="Times New Roman" w:hAnsi="Times New Roman" w:eastAsia="仿宋" w:cs="Times New Roman"/>
                      <w:b/>
                      <w:bCs/>
                      <w:color w:val="auto"/>
                      <w:sz w:val="21"/>
                      <w:szCs w:val="21"/>
                      <w:lang w:val="en-US" w:eastAsia="zh-CN"/>
                    </w:rPr>
                    <w:t>参数/规格</w:t>
                  </w:r>
                </w:p>
              </w:tc>
              <w:tc>
                <w:tcPr>
                  <w:tcW w:w="1107" w:type="pct"/>
                  <w:gridSpan w:val="2"/>
                  <w:tcBorders>
                    <w:tl2br w:val="nil"/>
                    <w:tr2bl w:val="nil"/>
                  </w:tcBorders>
                  <w:shd w:val="clear" w:color="auto" w:fill="auto"/>
                  <w:noWrap w:val="0"/>
                  <w:vAlign w:val="center"/>
                </w:tcPr>
                <w:p w14:paraId="0B85E5A1">
                  <w:pPr>
                    <w:pStyle w:val="66"/>
                    <w:keepNext w:val="0"/>
                    <w:keepLines w:val="0"/>
                    <w:suppressLineNumbers w:val="0"/>
                    <w:spacing w:before="0" w:beforeAutospacing="0" w:after="0" w:afterAutospacing="0" w:line="240" w:lineRule="auto"/>
                    <w:ind w:left="0" w:right="0"/>
                    <w:jc w:val="center"/>
                    <w:rPr>
                      <w:rFonts w:hint="eastAsia"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设计尺寸</w:t>
                  </w:r>
                </w:p>
              </w:tc>
              <w:tc>
                <w:tcPr>
                  <w:tcW w:w="3029" w:type="pct"/>
                  <w:tcBorders>
                    <w:tl2br w:val="nil"/>
                    <w:tr2bl w:val="nil"/>
                  </w:tcBorders>
                  <w:shd w:val="clear" w:color="auto" w:fill="auto"/>
                  <w:noWrap w:val="0"/>
                  <w:vAlign w:val="center"/>
                </w:tcPr>
                <w:p w14:paraId="5D9DFA20">
                  <w:pPr>
                    <w:pStyle w:val="66"/>
                    <w:keepNext w:val="0"/>
                    <w:keepLines w:val="0"/>
                    <w:suppressLineNumbers w:val="0"/>
                    <w:spacing w:before="0" w:beforeAutospacing="0" w:after="0" w:afterAutospacing="0" w:line="240" w:lineRule="auto"/>
                    <w:ind w:left="0" w:right="0" w:firstLine="482"/>
                    <w:rPr>
                      <w:rFonts w:hint="eastAsia" w:cs="Times New Roman"/>
                      <w:color w:val="auto"/>
                      <w:sz w:val="21"/>
                      <w:szCs w:val="21"/>
                      <w:lang w:val="en-US" w:eastAsia="zh-CN"/>
                    </w:rPr>
                  </w:pPr>
                  <w:bookmarkStart w:id="3" w:name="OLE_LINK6"/>
                  <w:r>
                    <w:rPr>
                      <w:rFonts w:hint="eastAsia" w:cs="Times New Roman"/>
                      <w:color w:val="auto"/>
                      <w:sz w:val="21"/>
                      <w:szCs w:val="21"/>
                      <w:lang w:val="en-US" w:eastAsia="zh-CN"/>
                    </w:rPr>
                    <w:t>3600×2000×2500mm</w:t>
                  </w:r>
                  <w:bookmarkEnd w:id="3"/>
                </w:p>
              </w:tc>
            </w:tr>
            <w:tr w14:paraId="5749A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863" w:type="pct"/>
                  <w:vMerge w:val="continue"/>
                  <w:tcBorders>
                    <w:tl2br w:val="nil"/>
                    <w:tr2bl w:val="nil"/>
                  </w:tcBorders>
                  <w:shd w:val="clear" w:color="auto" w:fill="auto"/>
                  <w:noWrap w:val="0"/>
                  <w:vAlign w:val="center"/>
                </w:tcPr>
                <w:p w14:paraId="2E41F1A7">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7116D1C5">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填充活性炭种类</w:t>
                  </w:r>
                </w:p>
              </w:tc>
              <w:tc>
                <w:tcPr>
                  <w:tcW w:w="3029" w:type="pct"/>
                  <w:tcBorders>
                    <w:tl2br w:val="nil"/>
                    <w:tr2bl w:val="nil"/>
                  </w:tcBorders>
                  <w:shd w:val="clear" w:color="auto" w:fill="auto"/>
                  <w:noWrap w:val="0"/>
                  <w:vAlign w:val="center"/>
                </w:tcPr>
                <w:p w14:paraId="22B969AD">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颗粒</w:t>
                  </w:r>
                  <w:r>
                    <w:rPr>
                      <w:rFonts w:hint="default" w:cs="Times New Roman"/>
                      <w:color w:val="auto"/>
                      <w:sz w:val="21"/>
                      <w:szCs w:val="21"/>
                      <w:lang w:val="en-US" w:eastAsia="zh-CN"/>
                    </w:rPr>
                    <w:t>活性炭</w:t>
                  </w:r>
                </w:p>
              </w:tc>
            </w:tr>
            <w:tr w14:paraId="178E5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4A5EE581">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1619C47A">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碘值</w:t>
                  </w:r>
                </w:p>
              </w:tc>
              <w:tc>
                <w:tcPr>
                  <w:tcW w:w="3029" w:type="pct"/>
                  <w:tcBorders>
                    <w:tl2br w:val="nil"/>
                    <w:tr2bl w:val="nil"/>
                  </w:tcBorders>
                  <w:shd w:val="clear" w:color="auto" w:fill="auto"/>
                  <w:noWrap w:val="0"/>
                  <w:vAlign w:val="center"/>
                </w:tcPr>
                <w:p w14:paraId="71EAF16E">
                  <w:pPr>
                    <w:pStyle w:val="66"/>
                    <w:keepNext w:val="0"/>
                    <w:keepLines w:val="0"/>
                    <w:suppressLineNumbers w:val="0"/>
                    <w:spacing w:before="0" w:beforeAutospacing="0" w:after="0" w:afterAutospacing="0" w:line="240" w:lineRule="auto"/>
                    <w:ind w:left="0" w:right="0" w:firstLine="482"/>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80</w:t>
                  </w:r>
                  <w:r>
                    <w:rPr>
                      <w:rFonts w:hint="eastAsia"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mg/g</w:t>
                  </w:r>
                </w:p>
              </w:tc>
            </w:tr>
            <w:tr w14:paraId="73344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02E6A489">
                  <w:pPr>
                    <w:pStyle w:val="66"/>
                    <w:keepNext w:val="0"/>
                    <w:keepLines w:val="0"/>
                    <w:suppressLineNumbers w:val="0"/>
                    <w:spacing w:before="0" w:beforeAutospacing="0" w:after="0" w:afterAutospacing="0" w:line="240" w:lineRule="auto"/>
                    <w:ind w:left="0" w:right="0"/>
                    <w:jc w:val="center"/>
                    <w:rPr>
                      <w:rFonts w:hint="default" w:eastAsia="仿宋" w:cs="Times New Roman"/>
                      <w:b/>
                      <w:bCs/>
                      <w:color w:val="auto"/>
                      <w:sz w:val="21"/>
                      <w:szCs w:val="21"/>
                      <w:lang w:val="en-US" w:eastAsia="zh-CN"/>
                    </w:rPr>
                  </w:pPr>
                </w:p>
              </w:tc>
              <w:tc>
                <w:tcPr>
                  <w:tcW w:w="614" w:type="pct"/>
                  <w:vMerge w:val="restart"/>
                  <w:tcBorders>
                    <w:tl2br w:val="nil"/>
                    <w:tr2bl w:val="nil"/>
                  </w:tcBorders>
                  <w:shd w:val="clear" w:color="auto" w:fill="auto"/>
                  <w:noWrap w:val="0"/>
                  <w:vAlign w:val="center"/>
                </w:tcPr>
                <w:p w14:paraId="23C6754C">
                  <w:pPr>
                    <w:pStyle w:val="6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抗压强度</w:t>
                  </w:r>
                </w:p>
              </w:tc>
              <w:tc>
                <w:tcPr>
                  <w:tcW w:w="492" w:type="pct"/>
                  <w:tcBorders>
                    <w:tl2br w:val="nil"/>
                    <w:tr2bl w:val="nil"/>
                  </w:tcBorders>
                  <w:shd w:val="clear" w:color="auto" w:fill="auto"/>
                  <w:noWrap w:val="0"/>
                  <w:vAlign w:val="center"/>
                </w:tcPr>
                <w:p w14:paraId="1E767BD2">
                  <w:pPr>
                    <w:pStyle w:val="6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横向</w:t>
                  </w:r>
                </w:p>
              </w:tc>
              <w:tc>
                <w:tcPr>
                  <w:tcW w:w="3029" w:type="pct"/>
                  <w:tcBorders>
                    <w:tl2br w:val="nil"/>
                    <w:tr2bl w:val="nil"/>
                  </w:tcBorders>
                  <w:shd w:val="clear" w:color="auto" w:fill="auto"/>
                  <w:noWrap w:val="0"/>
                  <w:vAlign w:val="center"/>
                </w:tcPr>
                <w:p w14:paraId="32FB7C6A">
                  <w:pPr>
                    <w:pStyle w:val="66"/>
                    <w:keepNext w:val="0"/>
                    <w:keepLines w:val="0"/>
                    <w:suppressLineNumbers w:val="0"/>
                    <w:spacing w:before="0" w:beforeAutospacing="0" w:after="0" w:afterAutospacing="0" w:line="240" w:lineRule="auto"/>
                    <w:ind w:left="0" w:right="0" w:firstLine="482"/>
                    <w:rPr>
                      <w:rFonts w:hint="default" w:ascii="Times New Roman" w:hAnsi="Times New Roman" w:eastAsia="仿宋" w:cs="Times New Roman"/>
                      <w:color w:val="auto"/>
                      <w:sz w:val="21"/>
                      <w:szCs w:val="21"/>
                      <w:lang w:val="en-US"/>
                    </w:rPr>
                  </w:pPr>
                  <w:r>
                    <w:rPr>
                      <w:rFonts w:hint="eastAsia" w:eastAsia="仿宋" w:cs="Times New Roman"/>
                      <w:color w:val="auto"/>
                      <w:sz w:val="21"/>
                      <w:szCs w:val="21"/>
                      <w:lang w:val="en-US" w:eastAsia="zh-CN"/>
                    </w:rPr>
                    <w:t>≥0.9MPa</w:t>
                  </w:r>
                </w:p>
              </w:tc>
            </w:tr>
            <w:tr w14:paraId="4CA03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276FC112">
                  <w:pPr>
                    <w:pStyle w:val="66"/>
                    <w:keepNext w:val="0"/>
                    <w:keepLines w:val="0"/>
                    <w:suppressLineNumbers w:val="0"/>
                    <w:spacing w:before="0" w:beforeAutospacing="0" w:after="0" w:afterAutospacing="0" w:line="240" w:lineRule="auto"/>
                    <w:ind w:left="0" w:right="0"/>
                    <w:jc w:val="center"/>
                    <w:rPr>
                      <w:rFonts w:hint="default" w:eastAsia="仿宋" w:cs="Times New Roman"/>
                      <w:b/>
                      <w:bCs/>
                      <w:color w:val="auto"/>
                      <w:sz w:val="21"/>
                      <w:szCs w:val="21"/>
                      <w:lang w:val="en-US" w:eastAsia="zh-CN"/>
                    </w:rPr>
                  </w:pPr>
                </w:p>
              </w:tc>
              <w:tc>
                <w:tcPr>
                  <w:tcW w:w="614" w:type="pct"/>
                  <w:vMerge w:val="continue"/>
                  <w:tcBorders>
                    <w:tl2br w:val="nil"/>
                    <w:tr2bl w:val="nil"/>
                  </w:tcBorders>
                  <w:shd w:val="clear" w:color="auto" w:fill="auto"/>
                  <w:noWrap w:val="0"/>
                  <w:vAlign w:val="center"/>
                </w:tcPr>
                <w:p w14:paraId="1DCD3BBB">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p>
              </w:tc>
              <w:tc>
                <w:tcPr>
                  <w:tcW w:w="492" w:type="pct"/>
                  <w:tcBorders>
                    <w:tl2br w:val="nil"/>
                    <w:tr2bl w:val="nil"/>
                  </w:tcBorders>
                  <w:shd w:val="clear" w:color="auto" w:fill="auto"/>
                  <w:noWrap w:val="0"/>
                  <w:vAlign w:val="center"/>
                </w:tcPr>
                <w:p w14:paraId="472D0EF4">
                  <w:pPr>
                    <w:pStyle w:val="6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纵向</w:t>
                  </w:r>
                </w:p>
              </w:tc>
              <w:tc>
                <w:tcPr>
                  <w:tcW w:w="3029" w:type="pct"/>
                  <w:tcBorders>
                    <w:tl2br w:val="nil"/>
                    <w:tr2bl w:val="nil"/>
                  </w:tcBorders>
                  <w:shd w:val="clear" w:color="auto" w:fill="auto"/>
                  <w:noWrap w:val="0"/>
                  <w:vAlign w:val="center"/>
                </w:tcPr>
                <w:p w14:paraId="5D8D40CB">
                  <w:pPr>
                    <w:pStyle w:val="66"/>
                    <w:keepNext w:val="0"/>
                    <w:keepLines w:val="0"/>
                    <w:suppressLineNumbers w:val="0"/>
                    <w:spacing w:before="0" w:beforeAutospacing="0" w:after="0" w:afterAutospacing="0" w:line="240" w:lineRule="auto"/>
                    <w:ind w:left="0" w:right="0" w:firstLine="482"/>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≥0.4MPa</w:t>
                  </w:r>
                </w:p>
              </w:tc>
            </w:tr>
            <w:tr w14:paraId="0129A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45A3EF64">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3FB2E032">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着火点</w:t>
                  </w:r>
                </w:p>
              </w:tc>
              <w:tc>
                <w:tcPr>
                  <w:tcW w:w="3029" w:type="pct"/>
                  <w:tcBorders>
                    <w:tl2br w:val="nil"/>
                    <w:tr2bl w:val="nil"/>
                  </w:tcBorders>
                  <w:shd w:val="clear" w:color="auto" w:fill="auto"/>
                  <w:noWrap w:val="0"/>
                  <w:vAlign w:val="center"/>
                </w:tcPr>
                <w:p w14:paraId="5D8AF494">
                  <w:pPr>
                    <w:pStyle w:val="66"/>
                    <w:keepNext w:val="0"/>
                    <w:keepLines w:val="0"/>
                    <w:suppressLineNumbers w:val="0"/>
                    <w:spacing w:before="0" w:beforeAutospacing="0" w:after="0" w:afterAutospacing="0" w:line="240" w:lineRule="auto"/>
                    <w:ind w:left="0" w:right="0" w:firstLine="482"/>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≥400℃</w:t>
                  </w:r>
                </w:p>
              </w:tc>
            </w:tr>
            <w:tr w14:paraId="0C13F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5AF30C74">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5D1CFE1D">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四氟化碳吸附率</w:t>
                  </w:r>
                </w:p>
              </w:tc>
              <w:tc>
                <w:tcPr>
                  <w:tcW w:w="3029" w:type="pct"/>
                  <w:tcBorders>
                    <w:tl2br w:val="nil"/>
                    <w:tr2bl w:val="nil"/>
                  </w:tcBorders>
                  <w:shd w:val="clear" w:color="auto" w:fill="auto"/>
                  <w:noWrap w:val="0"/>
                  <w:vAlign w:val="center"/>
                </w:tcPr>
                <w:p w14:paraId="425C0426">
                  <w:pPr>
                    <w:pStyle w:val="66"/>
                    <w:keepNext w:val="0"/>
                    <w:keepLines w:val="0"/>
                    <w:suppressLineNumbers w:val="0"/>
                    <w:spacing w:before="0" w:beforeAutospacing="0" w:after="0" w:afterAutospacing="0" w:line="240" w:lineRule="auto"/>
                    <w:ind w:left="0" w:right="0" w:firstLine="482"/>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45</w:t>
                  </w:r>
                  <w:r>
                    <w:rPr>
                      <w:rFonts w:hint="eastAsia" w:eastAsia="仿宋" w:cs="Times New Roman"/>
                      <w:color w:val="auto"/>
                      <w:sz w:val="21"/>
                      <w:szCs w:val="21"/>
                      <w:lang w:val="en-US" w:eastAsia="zh-CN"/>
                    </w:rPr>
                    <w:t>%</w:t>
                  </w:r>
                </w:p>
              </w:tc>
            </w:tr>
            <w:tr w14:paraId="51372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053114B3">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3FF15642">
                  <w:pPr>
                    <w:pStyle w:val="66"/>
                    <w:keepNext w:val="0"/>
                    <w:keepLines w:val="0"/>
                    <w:suppressLineNumbers w:val="0"/>
                    <w:spacing w:before="0" w:beforeAutospacing="0" w:after="0" w:afterAutospacing="0" w:line="240" w:lineRule="auto"/>
                    <w:ind w:left="0" w:right="0"/>
                    <w:jc w:val="center"/>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比表面积</w:t>
                  </w:r>
                </w:p>
              </w:tc>
              <w:tc>
                <w:tcPr>
                  <w:tcW w:w="3029" w:type="pct"/>
                  <w:tcBorders>
                    <w:tl2br w:val="nil"/>
                    <w:tr2bl w:val="nil"/>
                  </w:tcBorders>
                  <w:shd w:val="clear" w:color="auto" w:fill="auto"/>
                  <w:noWrap w:val="0"/>
                  <w:vAlign w:val="center"/>
                </w:tcPr>
                <w:p w14:paraId="3FA64DDD">
                  <w:pPr>
                    <w:pStyle w:val="66"/>
                    <w:keepNext w:val="0"/>
                    <w:keepLines w:val="0"/>
                    <w:suppressLineNumbers w:val="0"/>
                    <w:spacing w:before="0" w:beforeAutospacing="0" w:after="0" w:afterAutospacing="0" w:line="240" w:lineRule="auto"/>
                    <w:ind w:left="0" w:right="0" w:firstLine="482"/>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8</w:t>
                  </w:r>
                  <w:r>
                    <w:rPr>
                      <w:rFonts w:hint="eastAsia" w:eastAsia="仿宋" w:cs="Times New Roman"/>
                      <w:color w:val="auto"/>
                      <w:sz w:val="21"/>
                      <w:szCs w:val="21"/>
                      <w:lang w:val="en-US" w:eastAsia="zh-CN"/>
                    </w:rPr>
                    <w:t>50m</w:t>
                  </w:r>
                  <w:r>
                    <w:rPr>
                      <w:rFonts w:hint="eastAsia" w:eastAsia="仿宋" w:cs="Times New Roman"/>
                      <w:color w:val="auto"/>
                      <w:sz w:val="21"/>
                      <w:szCs w:val="21"/>
                      <w:vertAlign w:val="superscript"/>
                      <w:lang w:val="en-US" w:eastAsia="zh-CN"/>
                    </w:rPr>
                    <w:t>2</w:t>
                  </w:r>
                  <w:r>
                    <w:rPr>
                      <w:rFonts w:hint="eastAsia" w:eastAsia="仿宋" w:cs="Times New Roman"/>
                      <w:color w:val="auto"/>
                      <w:sz w:val="21"/>
                      <w:szCs w:val="21"/>
                      <w:lang w:val="en-US" w:eastAsia="zh-CN"/>
                    </w:rPr>
                    <w:t>/g</w:t>
                  </w:r>
                </w:p>
              </w:tc>
            </w:tr>
            <w:tr w14:paraId="19074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7C0FC221">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lang w:val="en-US" w:eastAsia="zh-CN"/>
                    </w:rPr>
                  </w:pPr>
                </w:p>
              </w:tc>
              <w:tc>
                <w:tcPr>
                  <w:tcW w:w="1107" w:type="pct"/>
                  <w:gridSpan w:val="2"/>
                  <w:tcBorders>
                    <w:tl2br w:val="nil"/>
                    <w:tr2bl w:val="nil"/>
                  </w:tcBorders>
                  <w:shd w:val="clear" w:color="auto" w:fill="auto"/>
                  <w:noWrap w:val="0"/>
                  <w:vAlign w:val="center"/>
                </w:tcPr>
                <w:p w14:paraId="2EDC0C6E">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lang w:val="en-US" w:eastAsia="zh-CN"/>
                    </w:rPr>
                  </w:pPr>
                  <w:r>
                    <w:rPr>
                      <w:rFonts w:hint="eastAsia" w:ascii="Times New Roman" w:hAnsi="Times New Roman" w:eastAsia="仿宋" w:cs="Times New Roman"/>
                      <w:b/>
                      <w:bCs/>
                      <w:color w:val="auto"/>
                      <w:lang w:val="en-US" w:eastAsia="zh-CN"/>
                    </w:rPr>
                    <w:t>单次</w:t>
                  </w:r>
                  <w:r>
                    <w:rPr>
                      <w:rFonts w:hint="default" w:ascii="Times New Roman" w:hAnsi="Times New Roman" w:eastAsia="仿宋" w:cs="Times New Roman"/>
                      <w:b/>
                      <w:bCs/>
                      <w:color w:val="auto"/>
                    </w:rPr>
                    <w:t>填充量</w:t>
                  </w:r>
                </w:p>
              </w:tc>
              <w:tc>
                <w:tcPr>
                  <w:tcW w:w="3029" w:type="pct"/>
                  <w:tcBorders>
                    <w:tl2br w:val="nil"/>
                    <w:tr2bl w:val="nil"/>
                  </w:tcBorders>
                  <w:shd w:val="clear" w:color="auto" w:fill="auto"/>
                  <w:noWrap w:val="0"/>
                  <w:vAlign w:val="center"/>
                </w:tcPr>
                <w:p w14:paraId="045AE0FF">
                  <w:pPr>
                    <w:pStyle w:val="66"/>
                    <w:keepNext w:val="0"/>
                    <w:keepLines w:val="0"/>
                    <w:suppressLineNumbers w:val="0"/>
                    <w:spacing w:before="0" w:beforeAutospacing="0" w:after="0" w:afterAutospacing="0" w:line="240" w:lineRule="auto"/>
                    <w:ind w:left="0" w:right="0" w:firstLine="482"/>
                    <w:rPr>
                      <w:rFonts w:hint="default" w:eastAsia="仿宋" w:cs="Times New Roman"/>
                      <w:color w:val="auto"/>
                      <w:sz w:val="21"/>
                      <w:szCs w:val="21"/>
                      <w:lang w:val="en-US" w:eastAsia="zh-CN"/>
                    </w:rPr>
                  </w:pPr>
                  <w:r>
                    <w:rPr>
                      <w:rFonts w:hint="eastAsia" w:cs="Times New Roman"/>
                      <w:color w:val="auto"/>
                      <w:sz w:val="21"/>
                      <w:szCs w:val="21"/>
                      <w:lang w:val="en-US" w:eastAsia="zh-CN"/>
                    </w:rPr>
                    <w:t>2500kg（两个箱体各1250kg）</w:t>
                  </w:r>
                </w:p>
              </w:tc>
            </w:tr>
            <w:tr w14:paraId="62257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5455A13B">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lang w:val="en-US" w:eastAsia="zh-CN"/>
                    </w:rPr>
                  </w:pPr>
                </w:p>
              </w:tc>
              <w:tc>
                <w:tcPr>
                  <w:tcW w:w="1107" w:type="pct"/>
                  <w:gridSpan w:val="2"/>
                  <w:tcBorders>
                    <w:tl2br w:val="nil"/>
                    <w:tr2bl w:val="nil"/>
                  </w:tcBorders>
                  <w:shd w:val="clear" w:color="auto" w:fill="auto"/>
                  <w:noWrap w:val="0"/>
                  <w:vAlign w:val="center"/>
                </w:tcPr>
                <w:p w14:paraId="53347944">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lang w:val="en-US" w:eastAsia="zh-CN"/>
                    </w:rPr>
                  </w:pPr>
                  <w:r>
                    <w:rPr>
                      <w:rFonts w:hint="eastAsia" w:cs="Times New Roman"/>
                      <w:b/>
                      <w:bCs/>
                      <w:color w:val="auto"/>
                      <w:lang w:val="en-US" w:eastAsia="zh-CN"/>
                    </w:rPr>
                    <w:t>停留时间</w:t>
                  </w:r>
                </w:p>
              </w:tc>
              <w:tc>
                <w:tcPr>
                  <w:tcW w:w="3029" w:type="pct"/>
                  <w:tcBorders>
                    <w:tl2br w:val="nil"/>
                    <w:tr2bl w:val="nil"/>
                  </w:tcBorders>
                  <w:shd w:val="clear" w:color="auto" w:fill="auto"/>
                  <w:noWrap w:val="0"/>
                  <w:vAlign w:val="center"/>
                </w:tcPr>
                <w:p w14:paraId="5A029109">
                  <w:pPr>
                    <w:pStyle w:val="66"/>
                    <w:keepNext w:val="0"/>
                    <w:keepLines w:val="0"/>
                    <w:suppressLineNumbers w:val="0"/>
                    <w:spacing w:before="0" w:beforeAutospacing="0" w:after="0" w:afterAutospacing="0" w:line="240" w:lineRule="auto"/>
                    <w:ind w:left="0" w:right="0" w:firstLine="482"/>
                    <w:rPr>
                      <w:rFonts w:hint="default" w:cs="Times New Roman"/>
                      <w:color w:val="auto"/>
                      <w:sz w:val="21"/>
                      <w:szCs w:val="21"/>
                      <w:lang w:val="en-US" w:eastAsia="zh-CN"/>
                    </w:rPr>
                  </w:pPr>
                  <w:r>
                    <w:rPr>
                      <w:rFonts w:hint="eastAsia" w:cs="Times New Roman"/>
                      <w:color w:val="auto"/>
                      <w:sz w:val="21"/>
                      <w:szCs w:val="21"/>
                      <w:lang w:val="en-US" w:eastAsia="zh-CN"/>
                    </w:rPr>
                    <w:t>0.5~2s</w:t>
                  </w:r>
                </w:p>
              </w:tc>
            </w:tr>
            <w:tr w14:paraId="2153D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3" w:type="pct"/>
                  <w:vMerge w:val="continue"/>
                  <w:tcBorders>
                    <w:tl2br w:val="nil"/>
                    <w:tr2bl w:val="nil"/>
                  </w:tcBorders>
                  <w:shd w:val="clear" w:color="auto" w:fill="auto"/>
                  <w:noWrap w:val="0"/>
                  <w:vAlign w:val="center"/>
                </w:tcPr>
                <w:p w14:paraId="79A8E4EC">
                  <w:pPr>
                    <w:pStyle w:val="66"/>
                    <w:keepNext w:val="0"/>
                    <w:keepLines w:val="0"/>
                    <w:suppressLineNumbers w:val="0"/>
                    <w:spacing w:before="0" w:beforeAutospacing="0" w:after="0" w:afterAutospacing="0" w:line="240" w:lineRule="auto"/>
                    <w:ind w:left="0" w:right="0"/>
                    <w:jc w:val="center"/>
                    <w:rPr>
                      <w:rFonts w:hint="eastAsia" w:cs="Times New Roman"/>
                      <w:b/>
                      <w:bCs/>
                      <w:color w:val="auto"/>
                      <w:sz w:val="21"/>
                      <w:szCs w:val="21"/>
                      <w:lang w:val="en-US" w:eastAsia="zh-CN"/>
                    </w:rPr>
                  </w:pPr>
                </w:p>
              </w:tc>
              <w:tc>
                <w:tcPr>
                  <w:tcW w:w="1107" w:type="pct"/>
                  <w:gridSpan w:val="2"/>
                  <w:tcBorders>
                    <w:tl2br w:val="nil"/>
                    <w:tr2bl w:val="nil"/>
                  </w:tcBorders>
                  <w:shd w:val="clear" w:color="auto" w:fill="auto"/>
                  <w:noWrap w:val="0"/>
                  <w:vAlign w:val="center"/>
                </w:tcPr>
                <w:p w14:paraId="4B8DC69E">
                  <w:pPr>
                    <w:pStyle w:val="66"/>
                    <w:keepNext w:val="0"/>
                    <w:keepLines w:val="0"/>
                    <w:suppressLineNumbers w:val="0"/>
                    <w:spacing w:before="0" w:beforeAutospacing="0" w:after="0" w:afterAutospacing="0" w:line="240" w:lineRule="auto"/>
                    <w:ind w:left="0" w:right="0"/>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装填密度</w:t>
                  </w:r>
                </w:p>
              </w:tc>
              <w:tc>
                <w:tcPr>
                  <w:tcW w:w="3029" w:type="pct"/>
                  <w:tcBorders>
                    <w:tl2br w:val="nil"/>
                    <w:tr2bl w:val="nil"/>
                  </w:tcBorders>
                  <w:shd w:val="clear" w:color="auto" w:fill="auto"/>
                  <w:noWrap w:val="0"/>
                  <w:vAlign w:val="center"/>
                </w:tcPr>
                <w:p w14:paraId="6120E29A">
                  <w:pPr>
                    <w:pStyle w:val="66"/>
                    <w:keepNext w:val="0"/>
                    <w:keepLines w:val="0"/>
                    <w:suppressLineNumbers w:val="0"/>
                    <w:spacing w:before="0" w:beforeAutospacing="0" w:after="0" w:afterAutospacing="0" w:line="240" w:lineRule="auto"/>
                    <w:ind w:left="0" w:right="0" w:firstLine="480"/>
                    <w:rPr>
                      <w:rFonts w:hint="default"/>
                      <w:lang w:val="en-US"/>
                    </w:rPr>
                  </w:pPr>
                  <w:r>
                    <w:rPr>
                      <w:rFonts w:hint="eastAsia" w:cs="Times New Roman"/>
                      <w:color w:val="auto"/>
                      <w:sz w:val="21"/>
                      <w:szCs w:val="21"/>
                      <w:lang w:val="en-US" w:eastAsia="zh-CN"/>
                    </w:rPr>
                    <w:t>0.35~0.55</w:t>
                  </w:r>
                  <w:r>
                    <w:rPr>
                      <w:rFonts w:hint="eastAsia" w:eastAsia="仿宋" w:cs="Times New Roman"/>
                      <w:color w:val="auto"/>
                      <w:sz w:val="21"/>
                      <w:szCs w:val="21"/>
                      <w:lang w:val="en-US" w:eastAsia="zh-CN"/>
                    </w:rPr>
                    <w:t>g/</w:t>
                  </w:r>
                  <w:r>
                    <w:rPr>
                      <w:rFonts w:hint="eastAsia" w:cs="Times New Roman"/>
                      <w:color w:val="auto"/>
                      <w:sz w:val="21"/>
                      <w:szCs w:val="21"/>
                      <w:lang w:val="en-US" w:eastAsia="zh-CN"/>
                    </w:rPr>
                    <w:t>cm</w:t>
                  </w:r>
                  <w:r>
                    <w:rPr>
                      <w:rFonts w:hint="eastAsia" w:cs="Times New Roman"/>
                      <w:color w:val="auto"/>
                      <w:sz w:val="21"/>
                      <w:szCs w:val="21"/>
                      <w:vertAlign w:val="superscript"/>
                      <w:lang w:val="en-US" w:eastAsia="zh-CN"/>
                    </w:rPr>
                    <w:t>3</w:t>
                  </w:r>
                </w:p>
              </w:tc>
            </w:tr>
            <w:tr w14:paraId="5F537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63" w:type="pct"/>
                  <w:vMerge w:val="continue"/>
                  <w:tcBorders>
                    <w:tl2br w:val="nil"/>
                    <w:tr2bl w:val="nil"/>
                  </w:tcBorders>
                  <w:shd w:val="clear" w:color="auto" w:fill="auto"/>
                  <w:noWrap w:val="0"/>
                  <w:vAlign w:val="center"/>
                </w:tcPr>
                <w:p w14:paraId="01E403D4">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p>
              </w:tc>
              <w:tc>
                <w:tcPr>
                  <w:tcW w:w="1107" w:type="pct"/>
                  <w:gridSpan w:val="2"/>
                  <w:tcBorders>
                    <w:tl2br w:val="nil"/>
                    <w:tr2bl w:val="nil"/>
                  </w:tcBorders>
                  <w:shd w:val="clear" w:color="auto" w:fill="auto"/>
                  <w:noWrap w:val="0"/>
                  <w:vAlign w:val="center"/>
                </w:tcPr>
                <w:p w14:paraId="7D15BF7C">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更换</w:t>
                  </w:r>
                  <w:r>
                    <w:rPr>
                      <w:rFonts w:hint="eastAsia" w:ascii="Times New Roman" w:hAnsi="Times New Roman" w:eastAsia="仿宋" w:cs="Times New Roman"/>
                      <w:b/>
                      <w:bCs/>
                      <w:color w:val="auto"/>
                      <w:sz w:val="21"/>
                      <w:szCs w:val="21"/>
                      <w:lang w:val="en-US" w:eastAsia="zh-CN"/>
                    </w:rPr>
                    <w:t>周期</w:t>
                  </w:r>
                </w:p>
              </w:tc>
              <w:tc>
                <w:tcPr>
                  <w:tcW w:w="3029" w:type="pct"/>
                  <w:tcBorders>
                    <w:tl2br w:val="nil"/>
                    <w:tr2bl w:val="nil"/>
                  </w:tcBorders>
                  <w:shd w:val="clear" w:color="auto" w:fill="auto"/>
                  <w:noWrap w:val="0"/>
                  <w:vAlign w:val="center"/>
                </w:tcPr>
                <w:p w14:paraId="02995C5C">
                  <w:pPr>
                    <w:pStyle w:val="66"/>
                    <w:keepNext w:val="0"/>
                    <w:keepLines w:val="0"/>
                    <w:suppressLineNumbers w:val="0"/>
                    <w:spacing w:before="0" w:beforeAutospacing="0" w:after="0" w:afterAutospacing="0" w:line="240" w:lineRule="auto"/>
                    <w:ind w:left="0" w:right="0" w:firstLine="480"/>
                    <w:rPr>
                      <w:rFonts w:hint="default" w:ascii="Times New Roman" w:hAnsi="Times New Roman" w:eastAsia="仿宋" w:cs="Times New Roman"/>
                      <w:color w:val="auto"/>
                      <w:sz w:val="21"/>
                      <w:szCs w:val="21"/>
                      <w:lang w:val="en-US"/>
                    </w:rPr>
                  </w:pPr>
                  <w:r>
                    <w:rPr>
                      <w:rFonts w:hint="eastAsia" w:cs="Times New Roman"/>
                      <w:color w:val="auto"/>
                      <w:sz w:val="21"/>
                      <w:szCs w:val="21"/>
                      <w:lang w:val="en-US" w:eastAsia="zh-CN"/>
                    </w:rPr>
                    <w:t>61</w:t>
                  </w:r>
                  <w:r>
                    <w:rPr>
                      <w:rFonts w:hint="eastAsia" w:eastAsia="仿宋" w:cs="Times New Roman"/>
                      <w:color w:val="auto"/>
                      <w:sz w:val="21"/>
                      <w:szCs w:val="21"/>
                      <w:lang w:val="en-US" w:eastAsia="zh-CN"/>
                    </w:rPr>
                    <w:t>d</w:t>
                  </w:r>
                </w:p>
              </w:tc>
            </w:tr>
          </w:tbl>
          <w:p w14:paraId="51C39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根据《材料研究与应用》</w:t>
            </w:r>
            <w:r>
              <w:rPr>
                <w:rFonts w:hint="default" w:ascii="Times New Roman" w:hAnsi="Times New Roman" w:cs="Times New Roman"/>
                <w:color w:val="auto"/>
                <w:sz w:val="24"/>
                <w:szCs w:val="24"/>
                <w:lang w:val="en-US" w:eastAsia="zh-CN"/>
              </w:rPr>
              <w:t>2010</w:t>
            </w:r>
            <w:r>
              <w:rPr>
                <w:rFonts w:hint="eastAsia" w:ascii="Times New Roman" w:hAnsi="Times New Roman" w:cs="Times New Roman"/>
                <w:color w:val="auto"/>
                <w:sz w:val="24"/>
                <w:szCs w:val="24"/>
                <w:lang w:val="en-US" w:eastAsia="zh-CN"/>
              </w:rPr>
              <w:t>年</w:t>
            </w:r>
            <w:r>
              <w:rPr>
                <w:rFonts w:hint="default"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lang w:val="en-US" w:eastAsia="zh-CN"/>
              </w:rPr>
              <w:t>月第</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卷第</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期，余倩等人《活性炭吸附技术对</w:t>
            </w:r>
            <w:r>
              <w:rPr>
                <w:rFonts w:hint="default" w:ascii="Times New Roman" w:hAnsi="Times New Roman" w:cs="Times New Roman"/>
                <w:color w:val="auto"/>
                <w:sz w:val="24"/>
                <w:szCs w:val="24"/>
                <w:lang w:val="en-US" w:eastAsia="zh-CN"/>
              </w:rPr>
              <w:t>VOCs</w:t>
            </w:r>
            <w:r>
              <w:rPr>
                <w:rFonts w:hint="eastAsia" w:ascii="Times New Roman" w:hAnsi="Times New Roman" w:cs="Times New Roman"/>
                <w:color w:val="auto"/>
                <w:sz w:val="24"/>
                <w:szCs w:val="24"/>
                <w:lang w:val="en-US" w:eastAsia="zh-CN"/>
              </w:rPr>
              <w:t>净化处理的研究进展》一文，采用活性炭吸附法能够使有机废气的去除率高达</w:t>
            </w:r>
            <w:r>
              <w:rPr>
                <w:rFonts w:hint="eastAsia" w:cs="Times New Roman"/>
                <w:color w:val="auto"/>
                <w:sz w:val="24"/>
                <w:szCs w:val="24"/>
                <w:lang w:val="en-US" w:eastAsia="zh-CN"/>
              </w:rPr>
              <w:t>90%～95%。</w:t>
            </w:r>
          </w:p>
          <w:p w14:paraId="26D0B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cs="Times New Roman"/>
                <w:b/>
                <w:bCs/>
                <w:color w:val="auto"/>
                <w:sz w:val="24"/>
                <w:szCs w:val="24"/>
                <w:lang w:val="en-US" w:eastAsia="zh-CN"/>
              </w:rPr>
            </w:pPr>
            <w:r>
              <w:rPr>
                <w:rFonts w:hint="eastAsia" w:ascii="仿宋" w:hAnsi="仿宋" w:eastAsia="仿宋" w:cs="仿宋"/>
                <w:b/>
                <w:bCs/>
                <w:color w:val="auto"/>
                <w:sz w:val="24"/>
                <w:szCs w:val="24"/>
                <w:lang w:val="en-US" w:eastAsia="zh-CN"/>
              </w:rPr>
              <w:t>④</w:t>
            </w:r>
            <w:r>
              <w:rPr>
                <w:rFonts w:hint="eastAsia" w:ascii="Times New Roman" w:hAnsi="Times New Roman" w:cs="Times New Roman"/>
                <w:b/>
                <w:bCs/>
                <w:color w:val="auto"/>
                <w:sz w:val="24"/>
                <w:szCs w:val="24"/>
                <w:lang w:val="en-US" w:eastAsia="zh-CN"/>
              </w:rPr>
              <w:t>工程实例</w:t>
            </w:r>
          </w:p>
          <w:p w14:paraId="429B8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根据本项目熔化、压铸过程用气旋喷淋塔处理颗粒物，类比同类型项目《常州浩天制冷配件有限公司</w:t>
            </w:r>
            <w:r>
              <w:rPr>
                <w:rFonts w:hint="default" w:ascii="Times New Roman" w:hAnsi="Times New Roman" w:cs="Times New Roman"/>
                <w:color w:val="auto"/>
                <w:sz w:val="24"/>
                <w:szCs w:val="24"/>
                <w:lang w:val="en-US" w:eastAsia="zh-CN"/>
              </w:rPr>
              <w:t>100</w:t>
            </w:r>
            <w:r>
              <w:rPr>
                <w:rFonts w:hint="eastAsia" w:ascii="Times New Roman" w:hAnsi="Times New Roman" w:cs="Times New Roman"/>
                <w:color w:val="auto"/>
                <w:sz w:val="24"/>
                <w:szCs w:val="24"/>
                <w:lang w:val="en-US" w:eastAsia="zh-CN"/>
              </w:rPr>
              <w:t>万套</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年塑料制品，</w:t>
            </w:r>
            <w:r>
              <w:rPr>
                <w:rFonts w:hint="default" w:ascii="Times New Roman" w:hAnsi="Times New Roman" w:cs="Times New Roman"/>
                <w:color w:val="auto"/>
                <w:sz w:val="24"/>
                <w:szCs w:val="24"/>
                <w:lang w:val="en-US" w:eastAsia="zh-CN"/>
              </w:rPr>
              <w:t>100</w:t>
            </w:r>
            <w:r>
              <w:rPr>
                <w:rFonts w:hint="eastAsia" w:ascii="Times New Roman" w:hAnsi="Times New Roman" w:cs="Times New Roman"/>
                <w:color w:val="auto"/>
                <w:sz w:val="24"/>
                <w:szCs w:val="24"/>
                <w:lang w:val="en-US" w:eastAsia="zh-CN"/>
              </w:rPr>
              <w:t>万套</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年铝压铸件项目竣工环境保护验收监测报告表》，其压铸工段废气处理设施为水喷淋，颗粒物处理前浓度为</w:t>
            </w:r>
            <w:r>
              <w:rPr>
                <w:rFonts w:hint="default" w:ascii="Times New Roman" w:hAnsi="Times New Roman" w:cs="Times New Roman"/>
                <w:color w:val="auto"/>
                <w:sz w:val="24"/>
                <w:szCs w:val="24"/>
                <w:lang w:val="en-US" w:eastAsia="zh-CN"/>
              </w:rPr>
              <w:t>23.3</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24.3mg/m</w:t>
            </w:r>
            <w:r>
              <w:rPr>
                <w:rFonts w:hint="default"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、速率为</w:t>
            </w:r>
            <w:r>
              <w:rPr>
                <w:rFonts w:hint="default" w:ascii="Times New Roman" w:hAnsi="Times New Roman" w:cs="Times New Roman"/>
                <w:color w:val="auto"/>
                <w:sz w:val="24"/>
                <w:szCs w:val="24"/>
                <w:lang w:val="en-US" w:eastAsia="zh-CN"/>
              </w:rPr>
              <w:t>0.116~0.12kg/h</w:t>
            </w:r>
            <w:r>
              <w:rPr>
                <w:rFonts w:hint="eastAsia" w:ascii="Times New Roman" w:hAnsi="Times New Roman" w:cs="Times New Roman"/>
                <w:color w:val="auto"/>
                <w:sz w:val="24"/>
                <w:szCs w:val="24"/>
                <w:lang w:val="en-US" w:eastAsia="zh-CN"/>
              </w:rPr>
              <w:t>，处理后浓度为</w:t>
            </w:r>
            <w:r>
              <w:rPr>
                <w:rFonts w:hint="default" w:ascii="Times New Roman" w:hAnsi="Times New Roman" w:cs="Times New Roman"/>
                <w:color w:val="auto"/>
                <w:sz w:val="24"/>
                <w:szCs w:val="24"/>
                <w:lang w:val="en-US" w:eastAsia="zh-CN"/>
              </w:rPr>
              <w:t>1.2~1.4mg/m</w:t>
            </w:r>
            <w:r>
              <w:rPr>
                <w:rFonts w:hint="default"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、速率为</w:t>
            </w:r>
            <w:r>
              <w:rPr>
                <w:rFonts w:hint="default" w:ascii="Times New Roman" w:hAnsi="Times New Roman" w:cs="Times New Roman"/>
                <w:color w:val="auto"/>
                <w:sz w:val="24"/>
                <w:szCs w:val="24"/>
                <w:lang w:val="en-US" w:eastAsia="zh-CN"/>
              </w:rPr>
              <w:t>0.007~0.008kg/h</w:t>
            </w:r>
            <w:r>
              <w:rPr>
                <w:rFonts w:hint="eastAsia" w:ascii="Times New Roman" w:hAnsi="Times New Roman" w:cs="Times New Roman"/>
                <w:color w:val="auto"/>
                <w:sz w:val="24"/>
                <w:szCs w:val="24"/>
                <w:lang w:val="en-US" w:eastAsia="zh-CN"/>
              </w:rPr>
              <w:t>，处理效率为</w:t>
            </w:r>
            <w:r>
              <w:rPr>
                <w:rFonts w:hint="default" w:ascii="Times New Roman" w:hAnsi="Times New Roman" w:cs="Times New Roman"/>
                <w:color w:val="auto"/>
                <w:sz w:val="24"/>
                <w:szCs w:val="24"/>
                <w:lang w:val="en-US" w:eastAsia="zh-CN"/>
              </w:rPr>
              <w:t>93.3</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94%</w:t>
            </w:r>
            <w:r>
              <w:rPr>
                <w:rFonts w:hint="eastAsia" w:ascii="Times New Roman" w:hAnsi="Times New Roman" w:cs="Times New Roman"/>
                <w:color w:val="auto"/>
                <w:sz w:val="24"/>
                <w:szCs w:val="24"/>
                <w:lang w:val="en-US" w:eastAsia="zh-CN"/>
              </w:rPr>
              <w:t>，根据《惠州市西顿工业发展有限公司惠城区小金口分公司灯饰外壳项目竣工环境保护验收监测报告表》，广东骥祥检测技术有限公司于</w:t>
            </w:r>
            <w:r>
              <w:rPr>
                <w:rFonts w:hint="default" w:ascii="Times New Roman" w:hAnsi="Times New Roman" w:cs="Times New Roman"/>
                <w:color w:val="auto"/>
                <w:sz w:val="24"/>
                <w:szCs w:val="24"/>
                <w:lang w:val="en-US" w:eastAsia="zh-CN"/>
              </w:rPr>
              <w:t>2022</w:t>
            </w:r>
            <w:r>
              <w:rPr>
                <w:rFonts w:hint="eastAsia" w:ascii="Times New Roman" w:hAnsi="Times New Roman" w:cs="Times New Roman"/>
                <w:color w:val="auto"/>
                <w:sz w:val="24"/>
                <w:szCs w:val="24"/>
                <w:lang w:val="en-US" w:eastAsia="zh-CN"/>
              </w:rPr>
              <w:t>年</w:t>
            </w:r>
            <w:r>
              <w:rPr>
                <w:rFonts w:hint="default"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lang w:val="en-US" w:eastAsia="zh-CN"/>
              </w:rPr>
              <w:t>月</w:t>
            </w:r>
            <w:r>
              <w:rPr>
                <w:rFonts w:hint="default" w:ascii="Times New Roman" w:hAnsi="Times New Roman" w:cs="Times New Roman"/>
                <w:color w:val="auto"/>
                <w:sz w:val="24"/>
                <w:szCs w:val="24"/>
                <w:lang w:val="en-US" w:eastAsia="zh-CN"/>
              </w:rPr>
              <w:t>13</w:t>
            </w:r>
            <w:r>
              <w:rPr>
                <w:rFonts w:hint="eastAsia" w:ascii="Times New Roman" w:hAnsi="Times New Roman" w:cs="Times New Roman"/>
                <w:color w:val="auto"/>
                <w:sz w:val="24"/>
                <w:szCs w:val="24"/>
                <w:lang w:val="en-US" w:eastAsia="zh-CN"/>
              </w:rPr>
              <w:t>日</w:t>
            </w:r>
            <w:r>
              <w:rPr>
                <w:rFonts w:hint="default" w:ascii="Times New Roman" w:hAnsi="Times New Roman" w:cs="Times New Roman"/>
                <w:color w:val="auto"/>
                <w:sz w:val="24"/>
                <w:szCs w:val="24"/>
                <w:lang w:val="en-US" w:eastAsia="zh-CN"/>
              </w:rPr>
              <w:t>~14</w:t>
            </w:r>
            <w:r>
              <w:rPr>
                <w:rFonts w:hint="eastAsia" w:ascii="Times New Roman" w:hAnsi="Times New Roman" w:cs="Times New Roman"/>
                <w:color w:val="auto"/>
                <w:sz w:val="24"/>
                <w:szCs w:val="24"/>
                <w:lang w:val="en-US" w:eastAsia="zh-CN"/>
              </w:rPr>
              <w:t>日对惠州市西顿工业发展有限公司惠城区小金口分公司熔化及压铸（含脱模）废气排放情况进行验收监测，该企业生产工况稳定，生产负荷达设计生产能力的</w:t>
            </w:r>
            <w:r>
              <w:rPr>
                <w:rFonts w:hint="eastAsia" w:cs="Times New Roman"/>
                <w:color w:val="auto"/>
                <w:sz w:val="24"/>
                <w:szCs w:val="24"/>
                <w:lang w:val="en-US" w:eastAsia="zh-CN"/>
              </w:rPr>
              <w:t>7</w:t>
            </w:r>
            <w:r>
              <w:rPr>
                <w:rFonts w:hint="default"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eastAsia="zh-CN"/>
              </w:rPr>
              <w:t>以上，采用的废气治理设施为气旋喷淋</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二级活性炭吸附装置，故本环评与该企业废气排放和处理情况作类比，其颗粒物及非甲烷总烃处理效率均可达</w:t>
            </w:r>
            <w:r>
              <w:rPr>
                <w:rFonts w:hint="default" w:ascii="Times New Roman" w:hAnsi="Times New Roman" w:cs="Times New Roman"/>
                <w:color w:val="auto"/>
                <w:sz w:val="24"/>
                <w:szCs w:val="24"/>
                <w:lang w:val="en-US" w:eastAsia="zh-CN"/>
              </w:rPr>
              <w:t>90%</w:t>
            </w:r>
            <w:r>
              <w:rPr>
                <w:rFonts w:hint="eastAsia" w:ascii="Times New Roman" w:hAnsi="Times New Roman" w:cs="Times New Roman"/>
                <w:color w:val="auto"/>
                <w:sz w:val="24"/>
                <w:szCs w:val="24"/>
                <w:lang w:val="en-US" w:eastAsia="zh-CN"/>
              </w:rPr>
              <w:t>。</w:t>
            </w:r>
          </w:p>
          <w:p w14:paraId="0B0B1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故本次评价水喷淋塔对颗粒物处理效率以</w:t>
            </w:r>
            <w:r>
              <w:rPr>
                <w:rFonts w:hint="eastAsia" w:cs="Times New Roman"/>
                <w:color w:val="auto"/>
                <w:sz w:val="24"/>
                <w:szCs w:val="24"/>
                <w:lang w:val="en-US" w:eastAsia="zh-CN"/>
              </w:rPr>
              <w:t>90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计，二级活性炭对非甲烷总烃处理效率以</w:t>
            </w:r>
            <w:r>
              <w:rPr>
                <w:rFonts w:hint="eastAsia" w:cs="Times New Roman"/>
                <w:color w:val="auto"/>
                <w:sz w:val="24"/>
                <w:szCs w:val="24"/>
                <w:lang w:val="en-US" w:eastAsia="zh-CN"/>
              </w:rPr>
              <w:t>9</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计。</w:t>
            </w:r>
          </w:p>
          <w:p w14:paraId="1A8955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b/>
                <w:bCs/>
                <w:color w:val="auto"/>
                <w:lang w:val="en-US" w:eastAsia="zh-CN"/>
              </w:rPr>
            </w:pPr>
            <w:r>
              <w:rPr>
                <w:rFonts w:hint="eastAsia" w:ascii="仿宋" w:hAnsi="仿宋" w:eastAsia="仿宋" w:cs="仿宋"/>
                <w:b/>
                <w:bCs/>
                <w:color w:val="auto"/>
                <w:kern w:val="2"/>
                <w:sz w:val="24"/>
                <w:szCs w:val="22"/>
                <w:lang w:val="en-US" w:eastAsia="zh-CN" w:bidi="ar-SA"/>
              </w:rPr>
              <w:t>⑤</w:t>
            </w:r>
            <w:r>
              <w:rPr>
                <w:rFonts w:hint="eastAsia"/>
                <w:b/>
                <w:bCs/>
                <w:color w:val="auto"/>
                <w:lang w:val="en-US" w:eastAsia="zh-CN"/>
              </w:rPr>
              <w:t>与《吸附法工业有机废气治理工程技术规范》（HJ2026-2013）相符性分析</w:t>
            </w:r>
          </w:p>
          <w:p w14:paraId="25E8E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《吸附法工业有机废气治理工程技术规范》（HJ2026-2013）4.4章节提出，进入吸附装置的废气温度宜低于40℃。本项目</w:t>
            </w:r>
            <w:r>
              <w:rPr>
                <w:rFonts w:hint="eastAsia" w:cs="Times New Roman"/>
                <w:color w:val="auto"/>
                <w:sz w:val="24"/>
                <w:szCs w:val="24"/>
                <w:lang w:val="en-US" w:eastAsia="zh-CN"/>
              </w:rPr>
              <w:t>熔化、压铸</w:t>
            </w:r>
            <w:r>
              <w:rPr>
                <w:rFonts w:hint="eastAsia" w:ascii="Times New Roman" w:hAnsi="Times New Roman" w:cs="Times New Roman"/>
                <w:color w:val="auto"/>
                <w:sz w:val="24"/>
                <w:szCs w:val="24"/>
                <w:lang w:val="en-US" w:eastAsia="zh-CN"/>
              </w:rPr>
              <w:t>工段产生的废气经收集后</w:t>
            </w:r>
            <w:r>
              <w:rPr>
                <w:rFonts w:hint="eastAsia" w:ascii="Times New Roman" w:hAnsi="Times New Roman" w:eastAsia="仿宋" w:cs="Times New Roman"/>
                <w:bCs/>
                <w:color w:val="auto"/>
                <w:sz w:val="24"/>
                <w:szCs w:val="24"/>
                <w:lang w:val="en-US" w:eastAsia="zh-CN"/>
              </w:rPr>
              <w:t>先进入水喷淋塔进行降温，可使进入后道活性炭吸附装置的烟气温度控制在40℃以内</w:t>
            </w:r>
            <w:r>
              <w:rPr>
                <w:rFonts w:hint="eastAsia" w:cs="Times New Roman"/>
                <w:color w:val="auto"/>
                <w:sz w:val="24"/>
                <w:szCs w:val="24"/>
                <w:lang w:val="en-US" w:eastAsia="zh-CN"/>
              </w:rPr>
              <w:t>，符合规范</w:t>
            </w:r>
            <w:r>
              <w:rPr>
                <w:rFonts w:hint="eastAsia" w:ascii="Times New Roman" w:hAnsi="Times New Roman" w:cs="Times New Roman"/>
                <w:color w:val="auto"/>
                <w:sz w:val="24"/>
                <w:szCs w:val="24"/>
                <w:lang w:val="en-US" w:eastAsia="zh-CN"/>
              </w:rPr>
              <w:t>。</w:t>
            </w:r>
          </w:p>
          <w:p w14:paraId="58B109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2"/>
                <w:sz w:val="24"/>
                <w:szCs w:val="22"/>
                <w:lang w:val="en-US" w:eastAsia="zh-CN" w:bidi="ar-SA"/>
              </w:rPr>
            </w:pPr>
            <w:r>
              <w:rPr>
                <w:rFonts w:hint="eastAsia" w:ascii="Times New Roman" w:hAnsi="Times New Roman" w:cs="Times New Roman"/>
                <w:b/>
                <w:bCs/>
                <w:color w:val="auto"/>
                <w:kern w:val="2"/>
                <w:sz w:val="24"/>
                <w:szCs w:val="22"/>
                <w:lang w:val="en-US" w:eastAsia="zh-CN" w:bidi="ar-SA"/>
              </w:rPr>
              <w:t>（3）风机设计风量合理性</w:t>
            </w:r>
          </w:p>
          <w:p w14:paraId="1540E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ascii="Times New Roman" w:hAnsi="Times New Roman" w:cs="Times New Roman"/>
                <w:color w:val="auto"/>
                <w:sz w:val="24"/>
                <w:szCs w:val="24"/>
                <w:lang w:val="zh-CN" w:eastAsia="zh-CN"/>
              </w:rPr>
              <w:t>结合生产工艺、设备配置情况，本项目</w:t>
            </w:r>
            <w:r>
              <w:rPr>
                <w:rFonts w:hint="eastAsia" w:cs="Times New Roman"/>
                <w:color w:val="auto"/>
                <w:sz w:val="24"/>
                <w:szCs w:val="24"/>
                <w:lang w:val="en-US" w:eastAsia="zh-CN"/>
              </w:rPr>
              <w:t>熔化炉上方设置圆形罩、压铸机上方设置矩形罩</w:t>
            </w:r>
            <w:r>
              <w:rPr>
                <w:rFonts w:hint="eastAsia" w:ascii="Times New Roman" w:hAnsi="Times New Roman" w:cs="Times New Roman"/>
                <w:color w:val="auto"/>
                <w:sz w:val="24"/>
                <w:szCs w:val="24"/>
                <w:lang w:val="zh-CN" w:eastAsia="zh-CN"/>
              </w:rPr>
              <w:t>。</w:t>
            </w:r>
            <w:r>
              <w:rPr>
                <w:rFonts w:hint="eastAsia" w:cs="Times New Roman"/>
                <w:color w:val="auto"/>
                <w:sz w:val="24"/>
                <w:szCs w:val="24"/>
                <w:lang w:val="en-US" w:eastAsia="zh-CN"/>
              </w:rPr>
              <w:t>参考《废气处理工程技术手册》（化学工业出版社，2013）第十七章第二节“排气筒的设计计算”相关内容，本项目集气罩采用上部伞形罩（热态）排气量的公式计算。</w:t>
            </w:r>
          </w:p>
          <w:p w14:paraId="33CF2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矩形罩排气量计算公式如下：</w:t>
            </w:r>
          </w:p>
          <w:p w14:paraId="37357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jc w:val="center"/>
              <w:textAlignment w:val="auto"/>
              <w:rPr>
                <w:rFonts w:hint="default" w:ascii="Times New Roman" w:hAnsi="Times New Roman" w:cs="Times New Roman"/>
                <w:color w:val="auto"/>
                <w:sz w:val="24"/>
                <w:szCs w:val="24"/>
                <w:lang w:val="en-US" w:eastAsia="zh-CN"/>
              </w:rPr>
            </w:pPr>
            <m:oMathPara>
              <m:oMath>
                <m:r>
                  <m:rPr>
                    <m:sty m:val="p"/>
                  </m:rPr>
                  <w:rPr>
                    <w:rFonts w:hint="default" w:ascii="Cambria Math" w:hAnsi="Cambria Math" w:cs="Cambria Math"/>
                    <w:color w:val="auto"/>
                    <w:kern w:val="2"/>
                    <w:sz w:val="24"/>
                    <w:szCs w:val="24"/>
                    <w:lang w:val="zh-CN" w:eastAsia="zh-CN" w:bidi="ar-SA"/>
                  </w:rPr>
                  <m:t>Q</m:t>
                </m:r>
                <m:r>
                  <m:rPr>
                    <m:sty m:val="p"/>
                  </m:rPr>
                  <w:rPr>
                    <w:rFonts w:hint="default" w:ascii="Cambria Math" w:hAnsi="Cambria Math" w:cs="Cambria Math"/>
                    <w:color w:val="auto"/>
                    <w:kern w:val="2"/>
                    <w:sz w:val="24"/>
                    <w:szCs w:val="24"/>
                    <w:lang w:val="en-US" w:eastAsia="zh-CN" w:bidi="ar-SA"/>
                  </w:rPr>
                  <m:t>=221</m:t>
                </m:r>
                <m:sSup>
                  <m:sSupPr>
                    <m:ctrlPr>
                      <w:rPr>
                        <w:rFonts w:hint="default" w:ascii="Cambria Math" w:hAnsi="Cambria Math" w:cs="Cambria Math"/>
                        <w:color w:val="auto"/>
                        <w:kern w:val="2"/>
                        <w:sz w:val="24"/>
                        <w:szCs w:val="24"/>
                        <w:lang w:val="en-US" w:eastAsia="zh-CN" w:bidi="ar-SA"/>
                      </w:rPr>
                    </m:ctrlPr>
                  </m:sSupPr>
                  <m:e>
                    <m:r>
                      <m:rPr>
                        <m:sty m:val="p"/>
                      </m:rPr>
                      <w:rPr>
                        <w:rFonts w:hint="default" w:ascii="Cambria Math" w:hAnsi="Cambria Math" w:cs="Cambria Math"/>
                        <w:color w:val="auto"/>
                        <w:kern w:val="2"/>
                        <w:sz w:val="24"/>
                        <w:szCs w:val="24"/>
                        <w:lang w:val="en-US" w:eastAsia="zh-CN" w:bidi="ar-SA"/>
                      </w:rPr>
                      <m:t>B</m:t>
                    </m:r>
                    <m:ctrlPr>
                      <w:rPr>
                        <w:rFonts w:hint="default" w:ascii="Cambria Math" w:hAnsi="Cambria Math" w:cs="Cambria Math"/>
                        <w:color w:val="auto"/>
                        <w:kern w:val="2"/>
                        <w:sz w:val="24"/>
                        <w:szCs w:val="24"/>
                        <w:lang w:val="en-US" w:eastAsia="zh-CN" w:bidi="ar-SA"/>
                      </w:rPr>
                    </m:ctrlPr>
                  </m:e>
                  <m:sup>
                    <m:r>
                      <m:rPr>
                        <m:sty m:val="p"/>
                      </m:rPr>
                      <w:rPr>
                        <w:rFonts w:hint="default" w:ascii="Cambria Math" w:hAnsi="Cambria Math" w:cs="Cambria Math"/>
                        <w:color w:val="auto"/>
                        <w:kern w:val="2"/>
                        <w:sz w:val="24"/>
                        <w:szCs w:val="24"/>
                        <w:lang w:val="en-US" w:eastAsia="zh-CN" w:bidi="ar-SA"/>
                      </w:rPr>
                      <m:t>3/4</m:t>
                    </m:r>
                    <m:ctrlPr>
                      <w:rPr>
                        <w:rFonts w:hint="default" w:ascii="Cambria Math" w:hAnsi="Cambria Math" w:cs="Cambria Math"/>
                        <w:color w:val="auto"/>
                        <w:kern w:val="2"/>
                        <w:sz w:val="24"/>
                        <w:szCs w:val="24"/>
                        <w:lang w:val="en-US" w:eastAsia="zh-CN" w:bidi="ar-SA"/>
                      </w:rPr>
                    </m:ctrlPr>
                  </m:sup>
                </m:sSup>
                <m:sSup>
                  <m:sSupPr>
                    <m:ctrlPr>
                      <w:rPr>
                        <w:rFonts w:hint="default" w:ascii="Cambria Math" w:hAnsi="Cambria Math" w:cs="Cambria Math"/>
                        <w:color w:val="auto"/>
                        <w:kern w:val="2"/>
                        <w:sz w:val="24"/>
                        <w:szCs w:val="24"/>
                        <w:lang w:val="en-US" w:eastAsia="zh-CN" w:bidi="ar-SA"/>
                      </w:rPr>
                    </m:ctrlPr>
                  </m:sSupPr>
                  <m:e>
                    <m:r>
                      <m:rPr>
                        <m:sty m:val="p"/>
                      </m:rPr>
                      <w:rPr>
                        <w:rFonts w:hint="default" w:ascii="Cambria Math" w:hAnsi="Cambria Math" w:cs="Cambria Math"/>
                        <w:color w:val="auto"/>
                        <w:kern w:val="2"/>
                        <w:sz w:val="24"/>
                        <w:szCs w:val="24"/>
                        <w:lang w:val="en-US" w:eastAsia="zh-CN" w:bidi="ar-SA"/>
                      </w:rPr>
                      <m:t>（</m:t>
                    </m:r>
                    <m:r>
                      <m:rPr>
                        <m:sty m:val="p"/>
                      </m:rPr>
                      <w:rPr>
                        <w:rFonts w:hint="default" w:ascii="Cambria Math" w:hAnsi="Cambria Math" w:cs="Cambria Math"/>
                        <w:color w:val="auto"/>
                        <w:kern w:val="2"/>
                        <w:sz w:val="24"/>
                        <w:szCs w:val="24"/>
                        <w:lang w:val="en-US" w:bidi="ar-SA"/>
                      </w:rPr>
                      <m:t>∆</m:t>
                    </m:r>
                    <m:r>
                      <m:rPr>
                        <m:sty m:val="p"/>
                      </m:rPr>
                      <w:rPr>
                        <w:rFonts w:hint="default" w:ascii="Cambria Math" w:hAnsi="Cambria Math" w:cs="Cambria Math"/>
                        <w:color w:val="auto"/>
                        <w:kern w:val="2"/>
                        <w:sz w:val="24"/>
                        <w:szCs w:val="24"/>
                        <w:lang w:val="en-US" w:eastAsia="zh-CN" w:bidi="ar-SA"/>
                      </w:rPr>
                      <m:t>t）</m:t>
                    </m:r>
                    <m:ctrlPr>
                      <w:rPr>
                        <w:rFonts w:hint="default" w:ascii="Cambria Math" w:hAnsi="Cambria Math" w:cs="Cambria Math"/>
                        <w:color w:val="auto"/>
                        <w:kern w:val="2"/>
                        <w:sz w:val="24"/>
                        <w:szCs w:val="24"/>
                        <w:lang w:val="en-US" w:eastAsia="zh-CN" w:bidi="ar-SA"/>
                      </w:rPr>
                    </m:ctrlPr>
                  </m:e>
                  <m:sup>
                    <m:r>
                      <m:rPr>
                        <m:sty m:val="p"/>
                      </m:rPr>
                      <w:rPr>
                        <w:rFonts w:hint="default" w:ascii="Cambria Math" w:hAnsi="Cambria Math" w:cs="Cambria Math"/>
                        <w:color w:val="auto"/>
                        <w:kern w:val="2"/>
                        <w:sz w:val="24"/>
                        <w:szCs w:val="24"/>
                        <w:lang w:val="en-US" w:eastAsia="zh-CN" w:bidi="ar-SA"/>
                      </w:rPr>
                      <m:t>5/12</m:t>
                    </m:r>
                    <m:ctrlPr>
                      <w:rPr>
                        <w:rFonts w:hint="default" w:ascii="Cambria Math" w:hAnsi="Cambria Math" w:cs="Cambria Math"/>
                        <w:color w:val="auto"/>
                        <w:kern w:val="2"/>
                        <w:sz w:val="24"/>
                        <w:szCs w:val="24"/>
                        <w:lang w:val="en-US" w:eastAsia="zh-CN" w:bidi="ar-SA"/>
                      </w:rPr>
                    </m:ctrlPr>
                  </m:sup>
                </m:sSup>
              </m:oMath>
            </m:oMathPara>
          </w:p>
          <w:p w14:paraId="0B66D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zh-CN" w:eastAsia="zh-CN"/>
              </w:rPr>
            </w:pPr>
            <w:r>
              <w:rPr>
                <w:rFonts w:hint="eastAsia" w:ascii="Times New Roman" w:hAnsi="Times New Roman" w:cs="Times New Roman"/>
                <w:color w:val="auto"/>
                <w:sz w:val="24"/>
                <w:szCs w:val="24"/>
                <w:lang w:val="zh-CN" w:eastAsia="zh-CN"/>
              </w:rPr>
              <w:t>式中：</w:t>
            </w:r>
          </w:p>
          <w:p w14:paraId="1E685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zh-CN" w:eastAsia="zh-CN"/>
              </w:rPr>
            </w:pPr>
            <w:r>
              <w:rPr>
                <w:rFonts w:hint="eastAsia" w:cs="Times New Roman"/>
                <w:color w:val="auto"/>
                <w:sz w:val="24"/>
                <w:szCs w:val="24"/>
                <w:lang w:val="en-US" w:eastAsia="zh-CN"/>
              </w:rPr>
              <w:t>Q</w:t>
            </w:r>
            <w:r>
              <w:rPr>
                <w:rFonts w:hint="eastAsia" w:cs="Times New Roman"/>
                <w:color w:val="auto"/>
                <w:sz w:val="24"/>
                <w:szCs w:val="24"/>
                <w:lang w:val="zh-CN" w:eastAsia="zh-CN"/>
              </w:rPr>
              <w:t>——</w:t>
            </w:r>
            <w:r>
              <w:rPr>
                <w:rFonts w:hint="eastAsia" w:cs="Times New Roman"/>
                <w:color w:val="auto"/>
                <w:sz w:val="24"/>
                <w:szCs w:val="24"/>
                <w:lang w:val="en-US" w:eastAsia="zh-CN"/>
              </w:rPr>
              <w:t>排气量</w:t>
            </w:r>
            <w:r>
              <w:rPr>
                <w:rFonts w:hint="eastAsia" w:ascii="Times New Roman" w:hAnsi="Times New Roman" w:cs="Times New Roman"/>
                <w:color w:val="auto"/>
                <w:sz w:val="24"/>
                <w:szCs w:val="24"/>
                <w:lang w:val="zh-CN" w:eastAsia="zh-CN"/>
              </w:rPr>
              <w:t>，</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ascii="Times New Roman" w:hAnsi="Times New Roman" w:cs="Times New Roman"/>
                <w:color w:val="auto"/>
                <w:sz w:val="24"/>
                <w:szCs w:val="24"/>
                <w:lang w:val="zh-CN" w:eastAsia="zh-CN"/>
              </w:rPr>
              <w:t>/</w:t>
            </w:r>
            <w:r>
              <w:rPr>
                <w:rFonts w:hint="eastAsia" w:cs="Times New Roman"/>
                <w:color w:val="auto"/>
                <w:sz w:val="24"/>
                <w:szCs w:val="24"/>
                <w:lang w:val="zh-CN" w:eastAsia="zh-CN"/>
              </w:rPr>
              <w:t>（</w:t>
            </w:r>
            <w:r>
              <w:rPr>
                <w:rFonts w:hint="eastAsia" w:ascii="Times New Roman" w:hAnsi="Times New Roman" w:cs="Times New Roman"/>
                <w:color w:val="auto"/>
                <w:sz w:val="24"/>
                <w:szCs w:val="24"/>
                <w:lang w:val="zh-CN" w:eastAsia="zh-CN"/>
              </w:rPr>
              <w:t>h</w:t>
            </w:r>
            <w:r>
              <w:rPr>
                <w:rFonts w:hint="eastAsia" w:cs="Times New Roman"/>
                <w:color w:val="auto"/>
                <w:sz w:val="24"/>
                <w:szCs w:val="24"/>
                <w:lang w:val="en-US" w:eastAsia="zh-CN"/>
              </w:rPr>
              <w:t>·m长罩子</w:t>
            </w:r>
            <w:r>
              <w:rPr>
                <w:rFonts w:hint="eastAsia" w:cs="Times New Roman"/>
                <w:color w:val="auto"/>
                <w:sz w:val="24"/>
                <w:szCs w:val="24"/>
                <w:lang w:val="zh-CN" w:eastAsia="zh-CN"/>
              </w:rPr>
              <w:t>）</w:t>
            </w:r>
            <w:r>
              <w:rPr>
                <w:rFonts w:hint="eastAsia" w:ascii="Times New Roman" w:hAnsi="Times New Roman" w:cs="Times New Roman"/>
                <w:color w:val="auto"/>
                <w:sz w:val="24"/>
                <w:szCs w:val="24"/>
                <w:lang w:val="zh-CN" w:eastAsia="zh-CN"/>
              </w:rPr>
              <w:t>；</w:t>
            </w:r>
          </w:p>
          <w:p w14:paraId="13C28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B</w:t>
            </w:r>
            <w:r>
              <w:rPr>
                <w:rFonts w:hint="eastAsia" w:cs="Times New Roman"/>
                <w:color w:val="auto"/>
                <w:sz w:val="24"/>
                <w:szCs w:val="24"/>
                <w:lang w:val="zh-CN" w:eastAsia="zh-CN"/>
              </w:rPr>
              <w:t>——</w:t>
            </w:r>
            <w:r>
              <w:rPr>
                <w:rFonts w:hint="eastAsia" w:cs="Times New Roman"/>
                <w:color w:val="auto"/>
                <w:sz w:val="24"/>
                <w:szCs w:val="24"/>
                <w:lang w:val="en-US" w:eastAsia="zh-CN"/>
              </w:rPr>
              <w:t>罩子实际罩口长度</w:t>
            </w:r>
            <w:r>
              <w:rPr>
                <w:rFonts w:hint="eastAsia" w:ascii="Times New Roman" w:hAnsi="Times New Roman" w:cs="Times New Roman"/>
                <w:color w:val="auto"/>
                <w:sz w:val="24"/>
                <w:szCs w:val="24"/>
                <w:lang w:val="zh-CN" w:eastAsia="zh-CN"/>
              </w:rPr>
              <w:t>，m。</w:t>
            </w:r>
            <w:r>
              <w:rPr>
                <w:rFonts w:hint="eastAsia" w:cs="Times New Roman"/>
                <w:color w:val="auto"/>
                <w:sz w:val="24"/>
                <w:szCs w:val="24"/>
                <w:lang w:val="en-US" w:eastAsia="zh-CN"/>
              </w:rPr>
              <w:t>B=b+0.5H；</w:t>
            </w:r>
          </w:p>
          <w:p w14:paraId="116A4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b——热源宽度，m；</w:t>
            </w:r>
          </w:p>
          <w:p w14:paraId="74AB9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H——污染源至罩口距离，m；</w:t>
            </w:r>
          </w:p>
          <w:p w14:paraId="26E3A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default" w:ascii="Times New Roman" w:hAnsi="Times New Roman"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t</w:t>
            </w:r>
            <w:r>
              <w:rPr>
                <w:rFonts w:hint="eastAsia" w:ascii="Times New Roman" w:hAnsi="Times New Roman" w:cs="Times New Roman"/>
                <w:color w:val="auto"/>
                <w:sz w:val="24"/>
                <w:szCs w:val="24"/>
                <w:lang w:val="en-US" w:eastAsia="zh-CN"/>
              </w:rPr>
              <w:t>——热源与周围温度差，℃</w:t>
            </w:r>
            <w:r>
              <w:rPr>
                <w:rFonts w:hint="eastAsia" w:cs="Times New Roman"/>
                <w:color w:val="auto"/>
                <w:sz w:val="24"/>
                <w:szCs w:val="24"/>
                <w:lang w:val="en-US" w:eastAsia="zh-CN"/>
              </w:rPr>
              <w:t>。</w:t>
            </w:r>
          </w:p>
          <w:p w14:paraId="3E2C46A1">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ascii="Times New Roman" w:hAnsi="Times New Roman" w:eastAsia="仿宋" w:cs="Times New Roman"/>
                <w:b/>
                <w:bCs/>
                <w:color w:val="auto"/>
                <w:sz w:val="21"/>
                <w:szCs w:val="20"/>
                <w:lang w:val="en-US" w:eastAsia="zh-CN"/>
              </w:rPr>
              <w:t>表4-</w:t>
            </w:r>
            <w:r>
              <w:rPr>
                <w:rFonts w:hint="eastAsia" w:cs="Times New Roman"/>
                <w:b/>
                <w:bCs/>
                <w:color w:val="auto"/>
                <w:sz w:val="21"/>
                <w:szCs w:val="20"/>
                <w:lang w:val="en-US" w:eastAsia="zh-CN"/>
              </w:rPr>
              <w:t>6</w:t>
            </w:r>
            <w:r>
              <w:rPr>
                <w:rFonts w:hint="eastAsia" w:ascii="Times New Roman" w:hAnsi="Times New Roman" w:eastAsia="仿宋" w:cs="Times New Roman"/>
                <w:b/>
                <w:bCs/>
                <w:color w:val="auto"/>
                <w:sz w:val="21"/>
                <w:szCs w:val="20"/>
                <w:lang w:val="en-US" w:eastAsia="zh-CN"/>
              </w:rPr>
              <w:t xml:space="preserve">  压铸工段集气罩风量计算表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016"/>
              <w:gridCol w:w="1329"/>
              <w:gridCol w:w="1215"/>
              <w:gridCol w:w="1080"/>
              <w:gridCol w:w="2130"/>
              <w:gridCol w:w="2295"/>
              <w:gridCol w:w="1382"/>
            </w:tblGrid>
            <w:tr w14:paraId="4CD1B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tcBorders>
                    <w:tl2br w:val="nil"/>
                    <w:tr2bl w:val="nil"/>
                  </w:tcBorders>
                  <w:vAlign w:val="center"/>
                </w:tcPr>
                <w:p w14:paraId="584F3C65">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废气来源</w:t>
                  </w:r>
                </w:p>
              </w:tc>
              <w:tc>
                <w:tcPr>
                  <w:tcW w:w="2016" w:type="dxa"/>
                  <w:tcBorders>
                    <w:tl2br w:val="nil"/>
                    <w:tr2bl w:val="nil"/>
                  </w:tcBorders>
                  <w:vAlign w:val="center"/>
                </w:tcPr>
                <w:p w14:paraId="68CA4EDE">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主要污染物</w:t>
                  </w:r>
                </w:p>
              </w:tc>
              <w:tc>
                <w:tcPr>
                  <w:tcW w:w="1329" w:type="dxa"/>
                  <w:tcBorders>
                    <w:tl2br w:val="nil"/>
                    <w:tr2bl w:val="nil"/>
                  </w:tcBorders>
                  <w:vAlign w:val="center"/>
                </w:tcPr>
                <w:p w14:paraId="6D530F32">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集气罩数量</w:t>
                  </w:r>
                </w:p>
              </w:tc>
              <w:tc>
                <w:tcPr>
                  <w:tcW w:w="1215" w:type="dxa"/>
                  <w:tcBorders>
                    <w:tl2br w:val="nil"/>
                    <w:tr2bl w:val="nil"/>
                  </w:tcBorders>
                  <w:vAlign w:val="center"/>
                </w:tcPr>
                <w:p w14:paraId="11495576">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热源宽度b</w:t>
                  </w:r>
                </w:p>
              </w:tc>
              <w:tc>
                <w:tcPr>
                  <w:tcW w:w="1080" w:type="dxa"/>
                  <w:tcBorders>
                    <w:tl2br w:val="nil"/>
                    <w:tr2bl w:val="nil"/>
                  </w:tcBorders>
                  <w:vAlign w:val="center"/>
                </w:tcPr>
                <w:p w14:paraId="22708BFD">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罩子长度</w:t>
                  </w:r>
                </w:p>
              </w:tc>
              <w:tc>
                <w:tcPr>
                  <w:tcW w:w="2130" w:type="dxa"/>
                  <w:tcBorders>
                    <w:tl2br w:val="nil"/>
                    <w:tr2bl w:val="nil"/>
                  </w:tcBorders>
                  <w:vAlign w:val="center"/>
                </w:tcPr>
                <w:p w14:paraId="6D65B1B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污染源至罩口距离H</w:t>
                  </w:r>
                </w:p>
              </w:tc>
              <w:tc>
                <w:tcPr>
                  <w:tcW w:w="2295" w:type="dxa"/>
                  <w:tcBorders>
                    <w:tl2br w:val="nil"/>
                    <w:tr2bl w:val="nil"/>
                  </w:tcBorders>
                  <w:vAlign w:val="center"/>
                </w:tcPr>
                <w:p w14:paraId="1681FD99">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热源与周围温度差</w:t>
                  </w:r>
                  <w:r>
                    <w:rPr>
                      <w:rFonts w:hint="default" w:ascii="Times New Roman" w:hAnsi="Times New Roman"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t</w:t>
                  </w:r>
                </w:p>
              </w:tc>
              <w:tc>
                <w:tcPr>
                  <w:tcW w:w="1382" w:type="dxa"/>
                  <w:tcBorders>
                    <w:tl2br w:val="nil"/>
                    <w:tr2bl w:val="nil"/>
                  </w:tcBorders>
                  <w:vAlign w:val="center"/>
                </w:tcPr>
                <w:p w14:paraId="10B24F10">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计算风量Q</w:t>
                  </w:r>
                </w:p>
              </w:tc>
            </w:tr>
            <w:tr w14:paraId="1639B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tcBorders>
                    <w:tl2br w:val="nil"/>
                    <w:tr2bl w:val="nil"/>
                  </w:tcBorders>
                  <w:vAlign w:val="center"/>
                </w:tcPr>
                <w:p w14:paraId="1A92E4DD">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压铸</w:t>
                  </w:r>
                </w:p>
              </w:tc>
              <w:tc>
                <w:tcPr>
                  <w:tcW w:w="2016" w:type="dxa"/>
                  <w:tcBorders>
                    <w:tl2br w:val="nil"/>
                    <w:tr2bl w:val="nil"/>
                  </w:tcBorders>
                  <w:vAlign w:val="center"/>
                </w:tcPr>
                <w:p w14:paraId="56F557B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颗粒物、非甲烷总烃</w:t>
                  </w:r>
                </w:p>
              </w:tc>
              <w:tc>
                <w:tcPr>
                  <w:tcW w:w="1329" w:type="dxa"/>
                  <w:tcBorders>
                    <w:tl2br w:val="nil"/>
                    <w:tr2bl w:val="nil"/>
                  </w:tcBorders>
                  <w:vAlign w:val="center"/>
                </w:tcPr>
                <w:p w14:paraId="1254EAE9">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10个</w:t>
                  </w:r>
                </w:p>
              </w:tc>
              <w:tc>
                <w:tcPr>
                  <w:tcW w:w="1215" w:type="dxa"/>
                  <w:tcBorders>
                    <w:tl2br w:val="nil"/>
                    <w:tr2bl w:val="nil"/>
                  </w:tcBorders>
                  <w:vAlign w:val="center"/>
                </w:tcPr>
                <w:p w14:paraId="2CAE66A9">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0.5</w:t>
                  </w:r>
                </w:p>
              </w:tc>
              <w:tc>
                <w:tcPr>
                  <w:tcW w:w="1080" w:type="dxa"/>
                  <w:tcBorders>
                    <w:tl2br w:val="nil"/>
                    <w:tr2bl w:val="nil"/>
                  </w:tcBorders>
                  <w:vAlign w:val="center"/>
                </w:tcPr>
                <w:p w14:paraId="0ECFC4C6">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1m</w:t>
                  </w:r>
                </w:p>
              </w:tc>
              <w:tc>
                <w:tcPr>
                  <w:tcW w:w="2130" w:type="dxa"/>
                  <w:tcBorders>
                    <w:tl2br w:val="nil"/>
                    <w:tr2bl w:val="nil"/>
                  </w:tcBorders>
                  <w:vAlign w:val="center"/>
                </w:tcPr>
                <w:p w14:paraId="4D670FA5">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1m</w:t>
                  </w:r>
                </w:p>
              </w:tc>
              <w:tc>
                <w:tcPr>
                  <w:tcW w:w="2295" w:type="dxa"/>
                  <w:tcBorders>
                    <w:tl2br w:val="nil"/>
                    <w:tr2bl w:val="nil"/>
                  </w:tcBorders>
                  <w:vAlign w:val="center"/>
                </w:tcPr>
                <w:p w14:paraId="6FB8B34F">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100</w:t>
                  </w:r>
                  <w:r>
                    <w:rPr>
                      <w:rFonts w:hint="eastAsia" w:ascii="Times New Roman" w:hAnsi="Times New Roman" w:cs="Times New Roman"/>
                      <w:b w:val="0"/>
                      <w:bCs w:val="0"/>
                      <w:color w:val="auto"/>
                      <w:sz w:val="24"/>
                      <w:szCs w:val="24"/>
                      <w:lang w:val="en-US" w:eastAsia="zh-CN"/>
                    </w:rPr>
                    <w:t>℃</w:t>
                  </w:r>
                </w:p>
              </w:tc>
              <w:tc>
                <w:tcPr>
                  <w:tcW w:w="1382" w:type="dxa"/>
                  <w:tcBorders>
                    <w:tl2br w:val="nil"/>
                    <w:tr2bl w:val="nil"/>
                  </w:tcBorders>
                  <w:vAlign w:val="center"/>
                </w:tcPr>
                <w:p w14:paraId="5B4F1CF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15056</w:t>
                  </w:r>
                </w:p>
              </w:tc>
            </w:tr>
          </w:tbl>
          <w:p w14:paraId="09276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圆形罩排气量计算公式如下：</w:t>
            </w:r>
          </w:p>
          <w:p w14:paraId="70208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jc w:val="center"/>
              <w:textAlignment w:val="auto"/>
              <w:rPr>
                <w:rFonts w:hint="default" w:ascii="Times New Roman" w:hAnsi="Times New Roman" w:cs="Times New Roman"/>
                <w:color w:val="auto"/>
                <w:sz w:val="24"/>
                <w:szCs w:val="24"/>
                <w:lang w:val="en-US" w:eastAsia="zh-CN"/>
              </w:rPr>
            </w:pPr>
            <m:oMathPara>
              <m:oMath>
                <m:r>
                  <m:rPr>
                    <m:sty m:val="p"/>
                  </m:rPr>
                  <w:rPr>
                    <w:rFonts w:hint="default" w:ascii="Cambria Math" w:hAnsi="Cambria Math" w:cs="Cambria Math"/>
                    <w:color w:val="auto"/>
                    <w:kern w:val="2"/>
                    <w:sz w:val="24"/>
                    <w:szCs w:val="24"/>
                    <w:lang w:val="zh-CN" w:eastAsia="zh-CN" w:bidi="ar-SA"/>
                  </w:rPr>
                  <m:t>Q</m:t>
                </m:r>
                <m:r>
                  <m:rPr>
                    <m:sty m:val="p"/>
                  </m:rPr>
                  <w:rPr>
                    <w:rFonts w:hint="default" w:ascii="Cambria Math" w:hAnsi="Cambria Math" w:cs="Cambria Math"/>
                    <w:color w:val="auto"/>
                    <w:kern w:val="2"/>
                    <w:sz w:val="24"/>
                    <w:szCs w:val="24"/>
                    <w:lang w:val="en-US" w:eastAsia="zh-CN" w:bidi="ar-SA"/>
                  </w:rPr>
                  <m:t>=167</m:t>
                </m:r>
                <m:sSup>
                  <m:sSupPr>
                    <m:ctrlPr>
                      <w:rPr>
                        <w:rFonts w:hint="default" w:ascii="Cambria Math" w:hAnsi="Cambria Math" w:cs="Cambria Math"/>
                        <w:color w:val="auto"/>
                        <w:kern w:val="2"/>
                        <w:sz w:val="24"/>
                        <w:szCs w:val="24"/>
                        <w:lang w:val="en-US" w:eastAsia="zh-CN" w:bidi="ar-SA"/>
                      </w:rPr>
                    </m:ctrlPr>
                  </m:sSupPr>
                  <m:e>
                    <m:r>
                      <m:rPr>
                        <m:sty m:val="p"/>
                      </m:rPr>
                      <w:rPr>
                        <w:rFonts w:hint="default" w:ascii="Cambria Math" w:hAnsi="Cambria Math" w:cs="Cambria Math"/>
                        <w:color w:val="auto"/>
                        <w:kern w:val="2"/>
                        <w:sz w:val="24"/>
                        <w:szCs w:val="24"/>
                        <w:lang w:val="en-US" w:eastAsia="zh-CN" w:bidi="ar-SA"/>
                      </w:rPr>
                      <m:t>D</m:t>
                    </m:r>
                    <m:ctrlPr>
                      <w:rPr>
                        <w:rFonts w:hint="default" w:ascii="Cambria Math" w:hAnsi="Cambria Math" w:cs="Cambria Math"/>
                        <w:color w:val="auto"/>
                        <w:kern w:val="2"/>
                        <w:sz w:val="24"/>
                        <w:szCs w:val="24"/>
                        <w:lang w:val="en-US" w:eastAsia="zh-CN" w:bidi="ar-SA"/>
                      </w:rPr>
                    </m:ctrlPr>
                  </m:e>
                  <m:sup>
                    <m:r>
                      <m:rPr>
                        <m:sty m:val="p"/>
                      </m:rPr>
                      <w:rPr>
                        <w:rFonts w:hint="default" w:ascii="Cambria Math" w:hAnsi="Cambria Math" w:cs="Cambria Math"/>
                        <w:color w:val="auto"/>
                        <w:kern w:val="2"/>
                        <w:sz w:val="24"/>
                        <w:szCs w:val="24"/>
                        <w:lang w:val="en-US" w:eastAsia="zh-CN" w:bidi="ar-SA"/>
                      </w:rPr>
                      <m:t>2.33</m:t>
                    </m:r>
                    <m:ctrlPr>
                      <w:rPr>
                        <w:rFonts w:hint="default" w:ascii="Cambria Math" w:hAnsi="Cambria Math" w:cs="Cambria Math"/>
                        <w:color w:val="auto"/>
                        <w:kern w:val="2"/>
                        <w:sz w:val="24"/>
                        <w:szCs w:val="24"/>
                        <w:lang w:val="en-US" w:eastAsia="zh-CN" w:bidi="ar-SA"/>
                      </w:rPr>
                    </m:ctrlPr>
                  </m:sup>
                </m:sSup>
                <m:sSup>
                  <m:sSupPr>
                    <m:ctrlPr>
                      <w:rPr>
                        <w:rFonts w:hint="default" w:ascii="Cambria Math" w:hAnsi="Cambria Math" w:cs="Cambria Math"/>
                        <w:color w:val="auto"/>
                        <w:kern w:val="2"/>
                        <w:sz w:val="24"/>
                        <w:szCs w:val="24"/>
                        <w:lang w:val="en-US" w:eastAsia="zh-CN" w:bidi="ar-SA"/>
                      </w:rPr>
                    </m:ctrlPr>
                  </m:sSupPr>
                  <m:e>
                    <m:r>
                      <m:rPr>
                        <m:sty m:val="p"/>
                      </m:rPr>
                      <w:rPr>
                        <w:rFonts w:hint="default" w:ascii="Cambria Math" w:hAnsi="Cambria Math" w:cs="Cambria Math"/>
                        <w:color w:val="auto"/>
                        <w:kern w:val="2"/>
                        <w:sz w:val="24"/>
                        <w:szCs w:val="24"/>
                        <w:lang w:val="en-US" w:eastAsia="zh-CN" w:bidi="ar-SA"/>
                      </w:rPr>
                      <m:t>（</m:t>
                    </m:r>
                    <m:r>
                      <m:rPr>
                        <m:sty m:val="p"/>
                      </m:rPr>
                      <w:rPr>
                        <w:rFonts w:hint="default" w:ascii="Cambria Math" w:hAnsi="Cambria Math" w:cs="Cambria Math"/>
                        <w:color w:val="auto"/>
                        <w:kern w:val="2"/>
                        <w:sz w:val="24"/>
                        <w:szCs w:val="24"/>
                        <w:lang w:val="en-US" w:bidi="ar-SA"/>
                      </w:rPr>
                      <m:t>∆</m:t>
                    </m:r>
                    <m:r>
                      <m:rPr>
                        <m:sty m:val="p"/>
                      </m:rPr>
                      <w:rPr>
                        <w:rFonts w:hint="default" w:ascii="Cambria Math" w:hAnsi="Cambria Math" w:cs="Cambria Math"/>
                        <w:color w:val="auto"/>
                        <w:kern w:val="2"/>
                        <w:sz w:val="24"/>
                        <w:szCs w:val="24"/>
                        <w:lang w:val="en-US" w:eastAsia="zh-CN" w:bidi="ar-SA"/>
                      </w:rPr>
                      <m:t>t）</m:t>
                    </m:r>
                    <m:ctrlPr>
                      <w:rPr>
                        <w:rFonts w:hint="default" w:ascii="Cambria Math" w:hAnsi="Cambria Math" w:cs="Cambria Math"/>
                        <w:color w:val="auto"/>
                        <w:kern w:val="2"/>
                        <w:sz w:val="24"/>
                        <w:szCs w:val="24"/>
                        <w:lang w:val="en-US" w:eastAsia="zh-CN" w:bidi="ar-SA"/>
                      </w:rPr>
                    </m:ctrlPr>
                  </m:e>
                  <m:sup>
                    <m:r>
                      <m:rPr>
                        <m:sty m:val="p"/>
                      </m:rPr>
                      <w:rPr>
                        <w:rFonts w:hint="default" w:ascii="Cambria Math" w:hAnsi="Cambria Math" w:cs="Cambria Math"/>
                        <w:color w:val="auto"/>
                        <w:kern w:val="2"/>
                        <w:sz w:val="24"/>
                        <w:szCs w:val="24"/>
                        <w:lang w:val="en-US" w:eastAsia="zh-CN" w:bidi="ar-SA"/>
                      </w:rPr>
                      <m:t>5/12</m:t>
                    </m:r>
                    <m:ctrlPr>
                      <w:rPr>
                        <w:rFonts w:hint="default" w:ascii="Cambria Math" w:hAnsi="Cambria Math" w:cs="Cambria Math"/>
                        <w:color w:val="auto"/>
                        <w:kern w:val="2"/>
                        <w:sz w:val="24"/>
                        <w:szCs w:val="24"/>
                        <w:lang w:val="en-US" w:eastAsia="zh-CN" w:bidi="ar-SA"/>
                      </w:rPr>
                    </m:ctrlPr>
                  </m:sup>
                </m:sSup>
              </m:oMath>
            </m:oMathPara>
          </w:p>
          <w:p w14:paraId="7594C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zh-CN" w:eastAsia="zh-CN"/>
              </w:rPr>
            </w:pPr>
            <w:r>
              <w:rPr>
                <w:rFonts w:hint="eastAsia" w:ascii="Times New Roman" w:hAnsi="Times New Roman" w:cs="Times New Roman"/>
                <w:color w:val="auto"/>
                <w:sz w:val="24"/>
                <w:szCs w:val="24"/>
                <w:lang w:val="zh-CN" w:eastAsia="zh-CN"/>
              </w:rPr>
              <w:t>式中：</w:t>
            </w:r>
          </w:p>
          <w:p w14:paraId="2D165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zh-CN" w:eastAsia="zh-CN"/>
              </w:rPr>
            </w:pPr>
            <w:r>
              <w:rPr>
                <w:rFonts w:hint="eastAsia" w:cs="Times New Roman"/>
                <w:color w:val="auto"/>
                <w:sz w:val="24"/>
                <w:szCs w:val="24"/>
                <w:lang w:val="en-US" w:eastAsia="zh-CN"/>
              </w:rPr>
              <w:t>Q</w:t>
            </w:r>
            <w:r>
              <w:rPr>
                <w:rFonts w:hint="eastAsia" w:cs="Times New Roman"/>
                <w:color w:val="auto"/>
                <w:sz w:val="24"/>
                <w:szCs w:val="24"/>
                <w:lang w:val="zh-CN" w:eastAsia="zh-CN"/>
              </w:rPr>
              <w:t>——</w:t>
            </w:r>
            <w:r>
              <w:rPr>
                <w:rFonts w:hint="eastAsia" w:cs="Times New Roman"/>
                <w:color w:val="auto"/>
                <w:sz w:val="24"/>
                <w:szCs w:val="24"/>
                <w:lang w:val="en-US" w:eastAsia="zh-CN"/>
              </w:rPr>
              <w:t>排气量</w:t>
            </w:r>
            <w:r>
              <w:rPr>
                <w:rFonts w:hint="eastAsia" w:ascii="Times New Roman" w:hAnsi="Times New Roman" w:cs="Times New Roman"/>
                <w:color w:val="auto"/>
                <w:sz w:val="24"/>
                <w:szCs w:val="24"/>
                <w:lang w:val="zh-CN" w:eastAsia="zh-CN"/>
              </w:rPr>
              <w:t>，</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w:t>
            </w:r>
            <w:r>
              <w:rPr>
                <w:rFonts w:hint="eastAsia" w:ascii="Times New Roman" w:hAnsi="Times New Roman" w:cs="Times New Roman"/>
                <w:color w:val="auto"/>
                <w:sz w:val="24"/>
                <w:szCs w:val="24"/>
                <w:lang w:val="zh-CN" w:eastAsia="zh-CN"/>
              </w:rPr>
              <w:t>；</w:t>
            </w:r>
          </w:p>
          <w:p w14:paraId="40AD0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D</w:t>
            </w:r>
            <w:r>
              <w:rPr>
                <w:rFonts w:hint="eastAsia" w:cs="Times New Roman"/>
                <w:color w:val="auto"/>
                <w:sz w:val="24"/>
                <w:szCs w:val="24"/>
                <w:lang w:val="zh-CN" w:eastAsia="zh-CN"/>
              </w:rPr>
              <w:t>——</w:t>
            </w:r>
            <w:r>
              <w:rPr>
                <w:rFonts w:hint="eastAsia" w:cs="Times New Roman"/>
                <w:color w:val="auto"/>
                <w:sz w:val="24"/>
                <w:szCs w:val="24"/>
                <w:lang w:val="en-US" w:eastAsia="zh-CN"/>
              </w:rPr>
              <w:t>罩子实际罩口直径</w:t>
            </w:r>
            <w:r>
              <w:rPr>
                <w:rFonts w:hint="eastAsia" w:ascii="Times New Roman" w:hAnsi="Times New Roman" w:cs="Times New Roman"/>
                <w:color w:val="auto"/>
                <w:sz w:val="24"/>
                <w:szCs w:val="24"/>
                <w:lang w:val="zh-CN" w:eastAsia="zh-CN"/>
              </w:rPr>
              <w:t>，m</w:t>
            </w:r>
            <w:r>
              <w:rPr>
                <w:rFonts w:hint="eastAsia" w:cs="Times New Roman"/>
                <w:color w:val="auto"/>
                <w:sz w:val="24"/>
                <w:szCs w:val="24"/>
                <w:lang w:val="en-US" w:eastAsia="zh-CN"/>
              </w:rPr>
              <w:t>；D=b+0.5H；</w:t>
            </w:r>
          </w:p>
          <w:p w14:paraId="2CBB8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b——热源宽度，m；</w:t>
            </w:r>
          </w:p>
          <w:p w14:paraId="18F4A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H——污染源至罩口距离，m；</w:t>
            </w:r>
          </w:p>
          <w:p w14:paraId="1EC66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default" w:ascii="Times New Roman" w:hAnsi="Times New Roman"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t</w:t>
            </w:r>
            <w:r>
              <w:rPr>
                <w:rFonts w:hint="eastAsia" w:ascii="Times New Roman" w:hAnsi="Times New Roman" w:cs="Times New Roman"/>
                <w:color w:val="auto"/>
                <w:sz w:val="24"/>
                <w:szCs w:val="24"/>
                <w:lang w:val="en-US" w:eastAsia="zh-CN"/>
              </w:rPr>
              <w:t>——热源与周围温度差，℃</w:t>
            </w:r>
            <w:r>
              <w:rPr>
                <w:rFonts w:hint="eastAsia" w:cs="Times New Roman"/>
                <w:color w:val="auto"/>
                <w:sz w:val="24"/>
                <w:szCs w:val="24"/>
                <w:lang w:val="en-US" w:eastAsia="zh-CN"/>
              </w:rPr>
              <w:t>。</w:t>
            </w:r>
          </w:p>
          <w:p w14:paraId="75189B2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ascii="Times New Roman" w:hAnsi="Times New Roman" w:eastAsia="仿宋" w:cs="Times New Roman"/>
                <w:b/>
                <w:bCs/>
                <w:color w:val="auto"/>
                <w:sz w:val="21"/>
                <w:szCs w:val="20"/>
                <w:lang w:val="en-US" w:eastAsia="zh-CN"/>
              </w:rPr>
              <w:t>表4-</w:t>
            </w:r>
            <w:r>
              <w:rPr>
                <w:rFonts w:hint="eastAsia" w:cs="Times New Roman"/>
                <w:b/>
                <w:bCs/>
                <w:color w:val="auto"/>
                <w:sz w:val="21"/>
                <w:szCs w:val="20"/>
                <w:lang w:val="en-US" w:eastAsia="zh-CN"/>
              </w:rPr>
              <w:t>7</w:t>
            </w:r>
            <w:r>
              <w:rPr>
                <w:rFonts w:hint="eastAsia" w:ascii="Times New Roman" w:hAnsi="Times New Roman" w:eastAsia="仿宋" w:cs="Times New Roman"/>
                <w:b/>
                <w:bCs/>
                <w:color w:val="auto"/>
                <w:sz w:val="21"/>
                <w:szCs w:val="20"/>
                <w:lang w:val="en-US" w:eastAsia="zh-CN"/>
              </w:rPr>
              <w:t xml:space="preserve">  </w:t>
            </w:r>
            <w:r>
              <w:rPr>
                <w:rFonts w:hint="eastAsia" w:cs="Times New Roman"/>
                <w:b/>
                <w:bCs/>
                <w:color w:val="auto"/>
                <w:sz w:val="21"/>
                <w:szCs w:val="20"/>
                <w:lang w:val="en-US" w:eastAsia="zh-CN"/>
              </w:rPr>
              <w:t>熔化</w:t>
            </w:r>
            <w:r>
              <w:rPr>
                <w:rFonts w:hint="eastAsia" w:ascii="Times New Roman" w:hAnsi="Times New Roman" w:eastAsia="仿宋" w:cs="Times New Roman"/>
                <w:b/>
                <w:bCs/>
                <w:color w:val="auto"/>
                <w:sz w:val="21"/>
                <w:szCs w:val="20"/>
                <w:lang w:val="en-US" w:eastAsia="zh-CN"/>
              </w:rPr>
              <w:t>工段集气罩风量计算表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919"/>
              <w:gridCol w:w="1738"/>
              <w:gridCol w:w="1328"/>
              <w:gridCol w:w="2329"/>
              <w:gridCol w:w="2360"/>
              <w:gridCol w:w="1664"/>
            </w:tblGrid>
            <w:tr w14:paraId="20E76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tcBorders>
                    <w:tl2br w:val="nil"/>
                    <w:tr2bl w:val="nil"/>
                  </w:tcBorders>
                  <w:vAlign w:val="center"/>
                </w:tcPr>
                <w:p w14:paraId="590DF743">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废气来源</w:t>
                  </w:r>
                </w:p>
              </w:tc>
              <w:tc>
                <w:tcPr>
                  <w:tcW w:w="763" w:type="pct"/>
                  <w:tcBorders>
                    <w:tl2br w:val="nil"/>
                    <w:tr2bl w:val="nil"/>
                  </w:tcBorders>
                  <w:vAlign w:val="center"/>
                </w:tcPr>
                <w:p w14:paraId="59F82472">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主要污染物</w:t>
                  </w:r>
                </w:p>
              </w:tc>
              <w:tc>
                <w:tcPr>
                  <w:tcW w:w="691" w:type="pct"/>
                  <w:tcBorders>
                    <w:tl2br w:val="nil"/>
                    <w:tr2bl w:val="nil"/>
                  </w:tcBorders>
                  <w:vAlign w:val="center"/>
                </w:tcPr>
                <w:p w14:paraId="03CAE94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集气罩数量</w:t>
                  </w:r>
                </w:p>
              </w:tc>
              <w:tc>
                <w:tcPr>
                  <w:tcW w:w="528" w:type="pct"/>
                  <w:tcBorders>
                    <w:tl2br w:val="nil"/>
                    <w:tr2bl w:val="nil"/>
                  </w:tcBorders>
                  <w:vAlign w:val="center"/>
                </w:tcPr>
                <w:p w14:paraId="112E544F">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热源宽度b</w:t>
                  </w:r>
                </w:p>
              </w:tc>
              <w:tc>
                <w:tcPr>
                  <w:tcW w:w="926" w:type="pct"/>
                  <w:tcBorders>
                    <w:tl2br w:val="nil"/>
                    <w:tr2bl w:val="nil"/>
                  </w:tcBorders>
                  <w:vAlign w:val="center"/>
                </w:tcPr>
                <w:p w14:paraId="36947E50">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污染源至罩口距离H</w:t>
                  </w:r>
                </w:p>
              </w:tc>
              <w:tc>
                <w:tcPr>
                  <w:tcW w:w="938" w:type="pct"/>
                  <w:tcBorders>
                    <w:tl2br w:val="nil"/>
                    <w:tr2bl w:val="nil"/>
                  </w:tcBorders>
                  <w:vAlign w:val="center"/>
                </w:tcPr>
                <w:p w14:paraId="49FD965E">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热源与周围温度差</w:t>
                  </w:r>
                  <w:r>
                    <w:rPr>
                      <w:rFonts w:hint="default" w:ascii="Times New Roman" w:hAnsi="Times New Roman"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t</w:t>
                  </w:r>
                </w:p>
              </w:tc>
              <w:tc>
                <w:tcPr>
                  <w:tcW w:w="661" w:type="pct"/>
                  <w:tcBorders>
                    <w:tl2br w:val="nil"/>
                    <w:tr2bl w:val="nil"/>
                  </w:tcBorders>
                  <w:vAlign w:val="center"/>
                </w:tcPr>
                <w:p w14:paraId="249957A3">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0"/>
                      <w:vertAlign w:val="baseline"/>
                      <w:lang w:val="en-US" w:eastAsia="zh-CN"/>
                    </w:rPr>
                  </w:pPr>
                  <w:r>
                    <w:rPr>
                      <w:rFonts w:hint="eastAsia" w:cs="Times New Roman"/>
                      <w:b/>
                      <w:bCs/>
                      <w:color w:val="auto"/>
                      <w:sz w:val="21"/>
                      <w:szCs w:val="20"/>
                      <w:vertAlign w:val="baseline"/>
                      <w:lang w:val="en-US" w:eastAsia="zh-CN"/>
                    </w:rPr>
                    <w:t>计算风量Q</w:t>
                  </w:r>
                </w:p>
              </w:tc>
            </w:tr>
            <w:tr w14:paraId="5AFE3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tcBorders>
                    <w:tl2br w:val="nil"/>
                    <w:tr2bl w:val="nil"/>
                  </w:tcBorders>
                  <w:vAlign w:val="center"/>
                </w:tcPr>
                <w:p w14:paraId="3AAB116C">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熔化</w:t>
                  </w:r>
                </w:p>
              </w:tc>
              <w:tc>
                <w:tcPr>
                  <w:tcW w:w="763" w:type="pct"/>
                  <w:tcBorders>
                    <w:tl2br w:val="nil"/>
                    <w:tr2bl w:val="nil"/>
                  </w:tcBorders>
                  <w:vAlign w:val="center"/>
                </w:tcPr>
                <w:p w14:paraId="0FCCB5D6">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颗粒物</w:t>
                  </w:r>
                </w:p>
              </w:tc>
              <w:tc>
                <w:tcPr>
                  <w:tcW w:w="691" w:type="pct"/>
                  <w:tcBorders>
                    <w:tl2br w:val="nil"/>
                    <w:tr2bl w:val="nil"/>
                  </w:tcBorders>
                  <w:vAlign w:val="center"/>
                </w:tcPr>
                <w:p w14:paraId="3DB19F38">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10个</w:t>
                  </w:r>
                </w:p>
              </w:tc>
              <w:tc>
                <w:tcPr>
                  <w:tcW w:w="528" w:type="pct"/>
                  <w:tcBorders>
                    <w:tl2br w:val="nil"/>
                    <w:tr2bl w:val="nil"/>
                  </w:tcBorders>
                  <w:vAlign w:val="center"/>
                </w:tcPr>
                <w:p w14:paraId="34461EFC">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0.5</w:t>
                  </w:r>
                </w:p>
              </w:tc>
              <w:tc>
                <w:tcPr>
                  <w:tcW w:w="926" w:type="pct"/>
                  <w:tcBorders>
                    <w:tl2br w:val="nil"/>
                    <w:tr2bl w:val="nil"/>
                  </w:tcBorders>
                  <w:vAlign w:val="center"/>
                </w:tcPr>
                <w:p w14:paraId="03EE06EF">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1m</w:t>
                  </w:r>
                </w:p>
              </w:tc>
              <w:tc>
                <w:tcPr>
                  <w:tcW w:w="938" w:type="pct"/>
                  <w:tcBorders>
                    <w:tl2br w:val="nil"/>
                    <w:tr2bl w:val="nil"/>
                  </w:tcBorders>
                  <w:vAlign w:val="center"/>
                </w:tcPr>
                <w:p w14:paraId="00D9FA72">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100</w:t>
                  </w:r>
                  <w:r>
                    <w:rPr>
                      <w:rFonts w:hint="eastAsia" w:ascii="Times New Roman" w:hAnsi="Times New Roman" w:cs="Times New Roman"/>
                      <w:b w:val="0"/>
                      <w:bCs w:val="0"/>
                      <w:color w:val="auto"/>
                      <w:sz w:val="24"/>
                      <w:szCs w:val="24"/>
                      <w:lang w:val="en-US" w:eastAsia="zh-CN"/>
                    </w:rPr>
                    <w:t>℃</w:t>
                  </w:r>
                </w:p>
              </w:tc>
              <w:tc>
                <w:tcPr>
                  <w:tcW w:w="661" w:type="pct"/>
                  <w:tcBorders>
                    <w:tl2br w:val="nil"/>
                    <w:tr2bl w:val="nil"/>
                  </w:tcBorders>
                  <w:vAlign w:val="center"/>
                </w:tcPr>
                <w:p w14:paraId="039352FB">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仿宋" w:cs="Times New Roman"/>
                      <w:b w:val="0"/>
                      <w:bCs w:val="0"/>
                      <w:color w:val="auto"/>
                      <w:sz w:val="21"/>
                      <w:szCs w:val="20"/>
                      <w:vertAlign w:val="baseline"/>
                      <w:lang w:val="en-US" w:eastAsia="zh-CN"/>
                    </w:rPr>
                  </w:pPr>
                  <w:r>
                    <w:rPr>
                      <w:rFonts w:hint="eastAsia" w:cs="Times New Roman"/>
                      <w:b w:val="0"/>
                      <w:bCs w:val="0"/>
                      <w:color w:val="auto"/>
                      <w:sz w:val="21"/>
                      <w:szCs w:val="20"/>
                      <w:vertAlign w:val="baseline"/>
                      <w:lang w:val="en-US" w:eastAsia="zh-CN"/>
                    </w:rPr>
                    <w:t>11377</w:t>
                  </w:r>
                </w:p>
              </w:tc>
            </w:tr>
          </w:tbl>
          <w:p w14:paraId="25075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经计算，本项目</w:t>
            </w:r>
            <w:r>
              <w:rPr>
                <w:rFonts w:hint="eastAsia" w:cs="Times New Roman"/>
                <w:color w:val="auto"/>
                <w:sz w:val="24"/>
                <w:szCs w:val="24"/>
                <w:lang w:val="en-US" w:eastAsia="zh-CN"/>
              </w:rPr>
              <w:t>熔化、压铸工段</w:t>
            </w:r>
            <w:r>
              <w:rPr>
                <w:rFonts w:hint="default" w:ascii="Times New Roman" w:hAnsi="Times New Roman" w:eastAsia="仿宋" w:cs="Times New Roman"/>
                <w:color w:val="auto"/>
                <w:sz w:val="24"/>
                <w:szCs w:val="24"/>
                <w:lang w:val="en-US" w:eastAsia="zh-CN"/>
              </w:rPr>
              <w:t>风量应不低于</w:t>
            </w:r>
            <w:r>
              <w:rPr>
                <w:rFonts w:hint="eastAsia" w:cs="Times New Roman"/>
                <w:color w:val="auto"/>
                <w:sz w:val="24"/>
                <w:szCs w:val="24"/>
                <w:lang w:val="en-US" w:eastAsia="zh-CN"/>
              </w:rPr>
              <w:t>26433</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/h，为保证废气的捕集效率，本项目废气处理设施配套风机风量为2</w:t>
            </w:r>
            <w:r>
              <w:rPr>
                <w:rFonts w:hint="eastAsia" w:ascii="Times New Roman" w:hAnsi="Times New Roman" w:cs="Times New Roman"/>
                <w:color w:val="auto"/>
                <w:sz w:val="24"/>
                <w:szCs w:val="24"/>
                <w:lang w:val="en-US" w:eastAsia="zh-CN"/>
              </w:rPr>
              <w:t>8</w:t>
            </w:r>
            <w:r>
              <w:rPr>
                <w:rFonts w:hint="default" w:ascii="Times New Roman" w:hAnsi="Times New Roman" w:eastAsia="仿宋" w:cs="Times New Roman"/>
                <w:color w:val="auto"/>
                <w:sz w:val="24"/>
                <w:szCs w:val="24"/>
                <w:lang w:val="en-US" w:eastAsia="zh-CN"/>
              </w:rPr>
              <w:t>000m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/h，可以满足有机废气收集要求。</w:t>
            </w:r>
          </w:p>
          <w:p w14:paraId="2FA194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2"/>
                <w:sz w:val="24"/>
                <w:szCs w:val="22"/>
                <w:lang w:val="en-US" w:eastAsia="zh-CN" w:bidi="ar-SA"/>
              </w:rPr>
            </w:pPr>
            <w:r>
              <w:rPr>
                <w:rFonts w:hint="eastAsia" w:ascii="Times New Roman" w:hAnsi="Times New Roman" w:cs="Times New Roman"/>
                <w:b/>
                <w:bCs/>
                <w:color w:val="auto"/>
                <w:kern w:val="2"/>
                <w:sz w:val="24"/>
                <w:szCs w:val="22"/>
                <w:lang w:val="en-US" w:eastAsia="zh-CN" w:bidi="ar-SA"/>
              </w:rPr>
              <w:t>（4）排气筒设置合理性</w:t>
            </w:r>
          </w:p>
          <w:p w14:paraId="0A818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本项目共设置1根15m高的排气筒。</w:t>
            </w:r>
          </w:p>
          <w:p w14:paraId="412F8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《铸造</w:t>
            </w:r>
            <w:r>
              <w:rPr>
                <w:rFonts w:hint="eastAsia" w:cs="Times New Roman"/>
                <w:color w:val="auto"/>
                <w:sz w:val="24"/>
                <w:szCs w:val="24"/>
                <w:lang w:val="en-US" w:eastAsia="zh-CN"/>
              </w:rPr>
              <w:t>工</w:t>
            </w:r>
            <w:r>
              <w:rPr>
                <w:rFonts w:hint="eastAsia" w:ascii="Times New Roman" w:hAnsi="Times New Roman" w:eastAsia="仿宋" w:cs="Times New Roman"/>
                <w:color w:val="auto"/>
                <w:sz w:val="24"/>
                <w:szCs w:val="24"/>
                <w:lang w:val="en-US" w:eastAsia="zh-CN"/>
              </w:rPr>
              <w:t>业大气污染物排放标准》（</w:t>
            </w:r>
            <w:r>
              <w:rPr>
                <w:rFonts w:hint="default" w:ascii="Times New Roman" w:hAnsi="Times New Roman" w:eastAsia="仿宋" w:cs="Times New Roman"/>
                <w:color w:val="auto"/>
                <w:sz w:val="24"/>
                <w:szCs w:val="24"/>
                <w:lang w:val="en-US" w:eastAsia="zh-CN"/>
              </w:rPr>
              <w:t>GB39726-2020</w:t>
            </w:r>
            <w:r>
              <w:rPr>
                <w:rFonts w:hint="eastAsia" w:ascii="Times New Roman" w:hAnsi="Times New Roman" w:eastAsia="仿宋" w:cs="Times New Roman"/>
                <w:color w:val="auto"/>
                <w:sz w:val="24"/>
                <w:szCs w:val="24"/>
                <w:lang w:val="en-US" w:eastAsia="zh-CN"/>
              </w:rPr>
              <w:t>）中要求：</w:t>
            </w:r>
            <w:r>
              <w:rPr>
                <w:rFonts w:hint="eastAsia" w:ascii="仿宋" w:hAnsi="仿宋" w:eastAsia="仿宋" w:cs="仿宋"/>
                <w:color w:val="auto"/>
                <w:sz w:val="24"/>
                <w:szCs w:val="24"/>
                <w:lang w:val="en-US" w:eastAsia="zh-CN"/>
              </w:rPr>
              <w:t>“除移动式除尘设备外，其他车间或生产设施排气筒高度不低于15m，具体高度以及与周围建筑物的相对高度关系应根据环境影响评价文件确定。”</w:t>
            </w:r>
            <w:r>
              <w:rPr>
                <w:rFonts w:hint="eastAsia" w:ascii="Times New Roman" w:hAnsi="Times New Roman" w:eastAsia="仿宋" w:cs="Times New Roman"/>
                <w:color w:val="auto"/>
                <w:sz w:val="24"/>
                <w:szCs w:val="24"/>
                <w:lang w:val="en-US" w:eastAsia="zh-CN"/>
              </w:rPr>
              <w:t>本项目排气筒高度符合相关规定要求，并遵循排放同类污染物的排气筒合并的原则，尽量减少排气筒设置。排气筒中各污染物排放浓度及排放速率均能稳定达标，对周围大气环境影响较小，可确保大气环境质量达标。</w:t>
            </w:r>
          </w:p>
          <w:p w14:paraId="33DC8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因此，本项目中排气筒设置合理。</w:t>
            </w:r>
          </w:p>
          <w:p w14:paraId="64C376C9">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lang w:val="en-US" w:eastAsia="zh-CN"/>
              </w:rPr>
            </w:pPr>
            <w:r>
              <w:rPr>
                <w:rFonts w:hint="default" w:ascii="Times New Roman" w:hAnsi="Times New Roman" w:eastAsia="仿宋" w:cs="Times New Roman"/>
                <w:b/>
                <w:bCs/>
                <w:color w:val="auto"/>
                <w:sz w:val="21"/>
                <w:szCs w:val="20"/>
                <w:lang w:val="en-US" w:eastAsia="zh-CN"/>
              </w:rPr>
              <w:t>表</w:t>
            </w:r>
            <w:r>
              <w:rPr>
                <w:rFonts w:hint="eastAsia" w:ascii="Times New Roman" w:hAnsi="Times New Roman" w:eastAsia="仿宋" w:cs="Times New Roman"/>
                <w:b/>
                <w:bCs/>
                <w:color w:val="auto"/>
                <w:sz w:val="21"/>
                <w:szCs w:val="20"/>
                <w:lang w:val="en-US" w:eastAsia="zh-CN"/>
              </w:rPr>
              <w:t>4-</w:t>
            </w:r>
            <w:r>
              <w:rPr>
                <w:rFonts w:hint="eastAsia" w:cs="Times New Roman"/>
                <w:b/>
                <w:bCs/>
                <w:color w:val="auto"/>
                <w:sz w:val="21"/>
                <w:szCs w:val="20"/>
                <w:lang w:val="en-US" w:eastAsia="zh-CN"/>
              </w:rPr>
              <w:t>8</w:t>
            </w:r>
            <w:r>
              <w:rPr>
                <w:rFonts w:hint="eastAsia" w:ascii="Times New Roman" w:hAnsi="Times New Roman" w:eastAsia="仿宋" w:cs="Times New Roman"/>
                <w:b/>
                <w:bCs/>
                <w:color w:val="auto"/>
                <w:sz w:val="21"/>
                <w:szCs w:val="20"/>
                <w:lang w:val="en-US" w:eastAsia="zh-CN"/>
              </w:rPr>
              <w:t xml:space="preserve">  废气排放口基本</w:t>
            </w:r>
            <w:r>
              <w:rPr>
                <w:rFonts w:hint="default" w:ascii="Times New Roman" w:hAnsi="Times New Roman" w:eastAsia="仿宋" w:cs="Times New Roman"/>
                <w:b/>
                <w:bCs/>
                <w:color w:val="auto"/>
                <w:sz w:val="21"/>
                <w:szCs w:val="20"/>
                <w:lang w:val="en-US" w:eastAsia="zh-CN"/>
              </w:rPr>
              <w:t>情况</w:t>
            </w:r>
          </w:p>
          <w:tbl>
            <w:tblPr>
              <w:tblStyle w:val="20"/>
              <w:tblW w:w="4994"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51"/>
              <w:gridCol w:w="1295"/>
              <w:gridCol w:w="893"/>
              <w:gridCol w:w="1222"/>
              <w:gridCol w:w="1121"/>
              <w:gridCol w:w="1280"/>
              <w:gridCol w:w="842"/>
              <w:gridCol w:w="860"/>
              <w:gridCol w:w="903"/>
              <w:gridCol w:w="729"/>
              <w:gridCol w:w="666"/>
              <w:gridCol w:w="1232"/>
              <w:gridCol w:w="764"/>
            </w:tblGrid>
            <w:tr w14:paraId="5DDD4F7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tblHeader/>
                <w:jc w:val="center"/>
              </w:trPr>
              <w:tc>
                <w:tcPr>
                  <w:tcW w:w="299" w:type="pct"/>
                  <w:vMerge w:val="restart"/>
                  <w:noWrap w:val="0"/>
                  <w:vAlign w:val="center"/>
                </w:tcPr>
                <w:p w14:paraId="73FF08A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eastAsia" w:ascii="Times New Roman" w:hAnsi="Times New Roman" w:eastAsia="仿宋"/>
                      <w:b/>
                      <w:bCs w:val="0"/>
                      <w:smallCaps/>
                      <w:color w:val="auto"/>
                      <w:sz w:val="21"/>
                      <w:szCs w:val="21"/>
                      <w:lang w:val="en-US" w:eastAsia="zh-CN"/>
                    </w:rPr>
                    <w:t>排气筒</w:t>
                  </w:r>
                  <w:r>
                    <w:rPr>
                      <w:rFonts w:hint="default" w:ascii="Times New Roman" w:hAnsi="Times New Roman" w:eastAsia="仿宋"/>
                      <w:b/>
                      <w:bCs w:val="0"/>
                      <w:smallCaps/>
                      <w:color w:val="auto"/>
                      <w:sz w:val="21"/>
                      <w:szCs w:val="21"/>
                    </w:rPr>
                    <w:t>编号</w:t>
                  </w:r>
                </w:p>
              </w:tc>
              <w:tc>
                <w:tcPr>
                  <w:tcW w:w="515" w:type="pct"/>
                  <w:vMerge w:val="restart"/>
                  <w:noWrap w:val="0"/>
                  <w:vAlign w:val="center"/>
                </w:tcPr>
                <w:p w14:paraId="26927A8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eastAsia" w:ascii="Times New Roman" w:hAnsi="Times New Roman" w:eastAsia="仿宋"/>
                      <w:b/>
                      <w:bCs w:val="0"/>
                      <w:smallCaps/>
                      <w:color w:val="auto"/>
                      <w:sz w:val="21"/>
                      <w:szCs w:val="21"/>
                      <w:lang w:val="en-US" w:eastAsia="zh-CN"/>
                    </w:rPr>
                    <w:t>排气筒</w:t>
                  </w:r>
                  <w:r>
                    <w:rPr>
                      <w:rFonts w:hint="default" w:ascii="Times New Roman" w:hAnsi="Times New Roman" w:eastAsia="仿宋"/>
                      <w:b/>
                      <w:bCs w:val="0"/>
                      <w:smallCaps/>
                      <w:color w:val="auto"/>
                      <w:sz w:val="21"/>
                      <w:szCs w:val="21"/>
                    </w:rPr>
                    <w:t>名称</w:t>
                  </w:r>
                </w:p>
              </w:tc>
              <w:tc>
                <w:tcPr>
                  <w:tcW w:w="355" w:type="pct"/>
                  <w:vMerge w:val="restart"/>
                  <w:noWrap w:val="0"/>
                  <w:vAlign w:val="center"/>
                </w:tcPr>
                <w:p w14:paraId="16515A78">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eastAsia" w:ascii="Times New Roman" w:hAnsi="Times New Roman" w:eastAsia="仿宋"/>
                      <w:b/>
                      <w:bCs w:val="0"/>
                      <w:smallCaps/>
                      <w:color w:val="auto"/>
                      <w:sz w:val="21"/>
                      <w:szCs w:val="21"/>
                      <w:lang w:val="en-US" w:eastAsia="zh-CN"/>
                    </w:rPr>
                    <w:t>排气筒类型</w:t>
                  </w:r>
                </w:p>
              </w:tc>
              <w:tc>
                <w:tcPr>
                  <w:tcW w:w="932" w:type="pct"/>
                  <w:gridSpan w:val="2"/>
                  <w:noWrap w:val="0"/>
                  <w:vAlign w:val="center"/>
                </w:tcPr>
                <w:p w14:paraId="2AF2EA2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bCs w:val="0"/>
                      <w:smallCaps/>
                      <w:color w:val="auto"/>
                      <w:sz w:val="21"/>
                      <w:szCs w:val="21"/>
                      <w:lang w:eastAsia="zh-CN"/>
                    </w:rPr>
                  </w:pPr>
                  <w:r>
                    <w:rPr>
                      <w:rFonts w:hint="default" w:ascii="Times New Roman" w:hAnsi="Times New Roman" w:eastAsia="仿宋"/>
                      <w:b/>
                      <w:bCs w:val="0"/>
                      <w:smallCaps/>
                      <w:color w:val="auto"/>
                      <w:sz w:val="21"/>
                      <w:szCs w:val="21"/>
                    </w:rPr>
                    <w:t>排气筒底部中心坐标/</w:t>
                  </w:r>
                  <w:r>
                    <w:rPr>
                      <w:rFonts w:hint="eastAsia" w:ascii="Times New Roman" w:hAnsi="Times New Roman" w:eastAsia="仿宋"/>
                      <w:b/>
                      <w:bCs w:val="0"/>
                      <w:smallCaps/>
                      <w:color w:val="auto"/>
                      <w:sz w:val="21"/>
                      <w:szCs w:val="21"/>
                      <w:lang w:val="en-US" w:eastAsia="zh-CN"/>
                    </w:rPr>
                    <w:t>°</w:t>
                  </w:r>
                </w:p>
              </w:tc>
              <w:tc>
                <w:tcPr>
                  <w:tcW w:w="509" w:type="pct"/>
                  <w:vMerge w:val="restart"/>
                  <w:noWrap w:val="0"/>
                  <w:vAlign w:val="center"/>
                </w:tcPr>
                <w:p w14:paraId="3C34B22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排气筒底部海拔高度/</w:t>
                  </w:r>
                  <w:r>
                    <w:rPr>
                      <w:rFonts w:hint="eastAsia" w:ascii="Times New Roman" w:hAnsi="Times New Roman" w:eastAsia="仿宋" w:cs="Times New Roman"/>
                      <w:b/>
                      <w:bCs/>
                      <w:color w:val="auto"/>
                      <w:sz w:val="21"/>
                      <w:szCs w:val="21"/>
                      <w:lang w:val="en-US" w:eastAsia="zh-CN"/>
                    </w:rPr>
                    <w:t>m</w:t>
                  </w:r>
                </w:p>
              </w:tc>
              <w:tc>
                <w:tcPr>
                  <w:tcW w:w="335" w:type="pct"/>
                  <w:vMerge w:val="restart"/>
                  <w:noWrap w:val="0"/>
                  <w:vAlign w:val="center"/>
                </w:tcPr>
                <w:p w14:paraId="39B52376">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bCs w:val="0"/>
                      <w:smallCaps/>
                      <w:color w:val="auto"/>
                      <w:sz w:val="21"/>
                      <w:szCs w:val="21"/>
                      <w:lang w:val="en-US" w:eastAsia="zh-CN"/>
                    </w:rPr>
                  </w:pPr>
                  <w:r>
                    <w:rPr>
                      <w:rFonts w:hint="default" w:ascii="Times New Roman" w:hAnsi="Times New Roman" w:eastAsia="仿宋" w:cs="Times New Roman"/>
                      <w:b/>
                      <w:bCs w:val="0"/>
                      <w:smallCaps/>
                      <w:color w:val="auto"/>
                      <w:sz w:val="21"/>
                      <w:szCs w:val="21"/>
                    </w:rPr>
                    <w:t>排气筒高度/</w:t>
                  </w:r>
                  <w:r>
                    <w:rPr>
                      <w:rFonts w:hint="eastAsia" w:ascii="Times New Roman" w:hAnsi="Times New Roman" w:eastAsia="仿宋" w:cs="Times New Roman"/>
                      <w:b/>
                      <w:bCs/>
                      <w:color w:val="auto"/>
                      <w:sz w:val="21"/>
                      <w:szCs w:val="21"/>
                      <w:lang w:val="en-US" w:eastAsia="zh-CN"/>
                    </w:rPr>
                    <w:t>m</w:t>
                  </w:r>
                </w:p>
              </w:tc>
              <w:tc>
                <w:tcPr>
                  <w:tcW w:w="342" w:type="pct"/>
                  <w:vMerge w:val="restart"/>
                  <w:noWrap w:val="0"/>
                  <w:vAlign w:val="center"/>
                </w:tcPr>
                <w:p w14:paraId="3353D8F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val="0"/>
                      <w:smallCaps/>
                      <w:color w:val="auto"/>
                      <w:sz w:val="21"/>
                      <w:szCs w:val="21"/>
                      <w:lang w:val="en-US" w:eastAsia="zh-CN"/>
                    </w:rPr>
                  </w:pPr>
                  <w:r>
                    <w:rPr>
                      <w:rFonts w:hint="default" w:ascii="Times New Roman" w:hAnsi="Times New Roman" w:eastAsia="仿宋" w:cs="Times New Roman"/>
                      <w:b/>
                      <w:bCs w:val="0"/>
                      <w:smallCaps/>
                      <w:color w:val="auto"/>
                      <w:sz w:val="21"/>
                      <w:szCs w:val="21"/>
                    </w:rPr>
                    <w:t>排气筒内径/</w:t>
                  </w:r>
                  <w:r>
                    <w:rPr>
                      <w:rFonts w:hint="eastAsia" w:ascii="Times New Roman" w:hAnsi="Times New Roman" w:eastAsia="仿宋" w:cs="Times New Roman"/>
                      <w:b/>
                      <w:bCs/>
                      <w:color w:val="auto"/>
                      <w:sz w:val="21"/>
                      <w:szCs w:val="21"/>
                      <w:lang w:val="en-US" w:eastAsia="zh-CN"/>
                    </w:rPr>
                    <w:t>m</w:t>
                  </w:r>
                </w:p>
              </w:tc>
              <w:tc>
                <w:tcPr>
                  <w:tcW w:w="359" w:type="pct"/>
                  <w:vMerge w:val="restart"/>
                  <w:noWrap w:val="0"/>
                  <w:vAlign w:val="center"/>
                </w:tcPr>
                <w:p w14:paraId="7D09FDC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bCs w:val="0"/>
                      <w:smallCaps/>
                      <w:color w:val="auto"/>
                      <w:sz w:val="21"/>
                      <w:szCs w:val="21"/>
                      <w:lang w:val="en-US" w:eastAsia="zh-CN"/>
                    </w:rPr>
                  </w:pPr>
                  <w:r>
                    <w:rPr>
                      <w:rFonts w:hint="default" w:ascii="Times New Roman" w:hAnsi="Times New Roman" w:eastAsia="仿宋"/>
                      <w:b/>
                      <w:bCs w:val="0"/>
                      <w:smallCaps/>
                      <w:color w:val="auto"/>
                      <w:sz w:val="21"/>
                      <w:szCs w:val="21"/>
                    </w:rPr>
                    <w:t>烟气流速/</w:t>
                  </w:r>
                  <w:r>
                    <w:rPr>
                      <w:rFonts w:hint="eastAsia" w:ascii="Times New Roman" w:hAnsi="Times New Roman" w:eastAsia="仿宋" w:cs="Times New Roman"/>
                      <w:b/>
                      <w:bCs/>
                      <w:color w:val="auto"/>
                      <w:sz w:val="21"/>
                      <w:szCs w:val="21"/>
                      <w:lang w:val="en-US" w:eastAsia="zh-CN"/>
                    </w:rPr>
                    <w:t>m</w:t>
                  </w:r>
                  <w:r>
                    <w:rPr>
                      <w:rFonts w:hint="default" w:ascii="Times New Roman" w:hAnsi="Times New Roman" w:eastAsia="仿宋"/>
                      <w:b/>
                      <w:bCs w:val="0"/>
                      <w:smallCaps/>
                      <w:color w:val="auto"/>
                      <w:sz w:val="21"/>
                      <w:szCs w:val="21"/>
                    </w:rPr>
                    <w:t>/</w:t>
                  </w:r>
                  <w:r>
                    <w:rPr>
                      <w:rFonts w:hint="eastAsia"/>
                      <w:b/>
                      <w:bCs w:val="0"/>
                      <w:smallCaps/>
                      <w:color w:val="auto"/>
                      <w:sz w:val="21"/>
                      <w:szCs w:val="21"/>
                      <w:lang w:val="en-US" w:eastAsia="zh-CN"/>
                    </w:rPr>
                    <w:t>s</w:t>
                  </w:r>
                </w:p>
              </w:tc>
              <w:tc>
                <w:tcPr>
                  <w:tcW w:w="290" w:type="pct"/>
                  <w:vMerge w:val="restart"/>
                  <w:noWrap w:val="0"/>
                  <w:vAlign w:val="center"/>
                </w:tcPr>
                <w:p w14:paraId="11D86A38">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烟气</w:t>
                  </w:r>
                </w:p>
                <w:p w14:paraId="3375D06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温度/</w:t>
                  </w:r>
                  <w:r>
                    <w:rPr>
                      <w:rFonts w:hint="eastAsia" w:ascii="Times New Roman" w:hAnsi="Times New Roman" w:eastAsia="仿宋"/>
                      <w:b/>
                      <w:bCs w:val="0"/>
                      <w:smallCaps/>
                      <w:color w:val="auto"/>
                      <w:sz w:val="21"/>
                      <w:szCs w:val="21"/>
                    </w:rPr>
                    <w:t>℃</w:t>
                  </w:r>
                </w:p>
              </w:tc>
              <w:tc>
                <w:tcPr>
                  <w:tcW w:w="265" w:type="pct"/>
                  <w:vMerge w:val="restart"/>
                  <w:noWrap w:val="0"/>
                  <w:vAlign w:val="center"/>
                </w:tcPr>
                <w:p w14:paraId="61F27C9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排放工况</w:t>
                  </w:r>
                </w:p>
              </w:tc>
              <w:tc>
                <w:tcPr>
                  <w:tcW w:w="794" w:type="pct"/>
                  <w:gridSpan w:val="2"/>
                  <w:vMerge w:val="restart"/>
                  <w:noWrap w:val="0"/>
                  <w:vAlign w:val="center"/>
                </w:tcPr>
                <w:p w14:paraId="58914232">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污染物排放速率/（</w:t>
                  </w:r>
                  <w:r>
                    <w:rPr>
                      <w:rFonts w:hint="eastAsia" w:ascii="Times New Roman" w:hAnsi="Times New Roman" w:eastAsia="仿宋" w:cs="Times New Roman"/>
                      <w:b/>
                      <w:bCs/>
                      <w:color w:val="auto"/>
                      <w:sz w:val="21"/>
                      <w:szCs w:val="21"/>
                      <w:lang w:val="en-US" w:eastAsia="zh-CN"/>
                    </w:rPr>
                    <w:t>kg/h</w:t>
                  </w:r>
                  <w:r>
                    <w:rPr>
                      <w:rFonts w:hint="default" w:ascii="Times New Roman" w:hAnsi="Times New Roman" w:eastAsia="仿宋"/>
                      <w:b/>
                      <w:bCs w:val="0"/>
                      <w:smallCaps/>
                      <w:color w:val="auto"/>
                      <w:sz w:val="21"/>
                      <w:szCs w:val="21"/>
                    </w:rPr>
                    <w:t>）</w:t>
                  </w:r>
                </w:p>
              </w:tc>
            </w:tr>
            <w:tr w14:paraId="02D10F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299" w:type="pct"/>
                  <w:vMerge w:val="continue"/>
                  <w:noWrap w:val="0"/>
                  <w:vAlign w:val="center"/>
                </w:tcPr>
                <w:p w14:paraId="6C6F0B4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515" w:type="pct"/>
                  <w:vMerge w:val="continue"/>
                  <w:noWrap w:val="0"/>
                  <w:vAlign w:val="center"/>
                </w:tcPr>
                <w:p w14:paraId="6D7C534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355" w:type="pct"/>
                  <w:vMerge w:val="continue"/>
                  <w:noWrap w:val="0"/>
                  <w:vAlign w:val="center"/>
                </w:tcPr>
                <w:p w14:paraId="1A20EE6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486" w:type="pct"/>
                  <w:noWrap w:val="0"/>
                  <w:vAlign w:val="center"/>
                </w:tcPr>
                <w:p w14:paraId="63CB802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X</w:t>
                  </w:r>
                </w:p>
              </w:tc>
              <w:tc>
                <w:tcPr>
                  <w:tcW w:w="446" w:type="pct"/>
                  <w:noWrap w:val="0"/>
                  <w:vAlign w:val="center"/>
                </w:tcPr>
                <w:p w14:paraId="7A29EB1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r>
                    <w:rPr>
                      <w:rFonts w:hint="default" w:ascii="Times New Roman" w:hAnsi="Times New Roman" w:eastAsia="仿宋"/>
                      <w:b/>
                      <w:bCs w:val="0"/>
                      <w:smallCaps/>
                      <w:color w:val="auto"/>
                      <w:sz w:val="21"/>
                      <w:szCs w:val="21"/>
                    </w:rPr>
                    <w:t>Y</w:t>
                  </w:r>
                </w:p>
              </w:tc>
              <w:tc>
                <w:tcPr>
                  <w:tcW w:w="509" w:type="pct"/>
                  <w:vMerge w:val="continue"/>
                  <w:noWrap w:val="0"/>
                  <w:vAlign w:val="center"/>
                </w:tcPr>
                <w:p w14:paraId="1C199F9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335" w:type="pct"/>
                  <w:vMerge w:val="continue"/>
                  <w:noWrap w:val="0"/>
                  <w:vAlign w:val="center"/>
                </w:tcPr>
                <w:p w14:paraId="5907372F">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342" w:type="pct"/>
                  <w:vMerge w:val="continue"/>
                  <w:noWrap w:val="0"/>
                  <w:vAlign w:val="center"/>
                </w:tcPr>
                <w:p w14:paraId="430721C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359" w:type="pct"/>
                  <w:vMerge w:val="continue"/>
                  <w:noWrap w:val="0"/>
                  <w:vAlign w:val="center"/>
                </w:tcPr>
                <w:p w14:paraId="65AEF49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290" w:type="pct"/>
                  <w:vMerge w:val="continue"/>
                  <w:noWrap w:val="0"/>
                  <w:vAlign w:val="center"/>
                </w:tcPr>
                <w:p w14:paraId="794C931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265" w:type="pct"/>
                  <w:vMerge w:val="continue"/>
                  <w:noWrap w:val="0"/>
                  <w:vAlign w:val="center"/>
                </w:tcPr>
                <w:p w14:paraId="060AFA9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c>
                <w:tcPr>
                  <w:tcW w:w="794" w:type="pct"/>
                  <w:gridSpan w:val="2"/>
                  <w:vMerge w:val="continue"/>
                  <w:noWrap w:val="0"/>
                  <w:vAlign w:val="center"/>
                </w:tcPr>
                <w:p w14:paraId="2CBDB39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color w:val="auto"/>
                      <w:sz w:val="21"/>
                      <w:szCs w:val="21"/>
                    </w:rPr>
                  </w:pPr>
                </w:p>
              </w:tc>
            </w:tr>
            <w:tr w14:paraId="1C6B3C8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9" w:type="pct"/>
                  <w:vMerge w:val="restart"/>
                  <w:noWrap w:val="0"/>
                  <w:vAlign w:val="center"/>
                </w:tcPr>
                <w:p w14:paraId="67B327F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eastAsia"/>
                      <w:b w:val="0"/>
                      <w:bCs/>
                      <w:smallCaps/>
                      <w:color w:val="auto"/>
                      <w:sz w:val="21"/>
                      <w:szCs w:val="21"/>
                      <w:lang w:val="en-US" w:eastAsia="zh-CN"/>
                    </w:rPr>
                    <w:t>DA001</w:t>
                  </w:r>
                </w:p>
              </w:tc>
              <w:tc>
                <w:tcPr>
                  <w:tcW w:w="515" w:type="pct"/>
                  <w:vMerge w:val="restart"/>
                  <w:noWrap w:val="0"/>
                  <w:vAlign w:val="center"/>
                </w:tcPr>
                <w:p w14:paraId="138305D2">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r>
                    <w:rPr>
                      <w:rFonts w:hint="default" w:ascii="Times New Roman" w:hAnsi="Times New Roman" w:eastAsia="仿宋"/>
                      <w:b w:val="0"/>
                      <w:bCs/>
                      <w:smallCaps/>
                      <w:color w:val="auto"/>
                      <w:sz w:val="21"/>
                      <w:szCs w:val="21"/>
                    </w:rPr>
                    <w:t>1#排气筒</w:t>
                  </w:r>
                </w:p>
              </w:tc>
              <w:tc>
                <w:tcPr>
                  <w:tcW w:w="355" w:type="pct"/>
                  <w:vMerge w:val="restart"/>
                  <w:noWrap w:val="0"/>
                  <w:vAlign w:val="center"/>
                </w:tcPr>
                <w:p w14:paraId="6477F59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r>
                    <w:rPr>
                      <w:rFonts w:hint="eastAsia" w:ascii="Times New Roman" w:hAnsi="Times New Roman" w:eastAsia="仿宋"/>
                      <w:b w:val="0"/>
                      <w:bCs/>
                      <w:smallCaps/>
                      <w:color w:val="auto"/>
                      <w:sz w:val="21"/>
                      <w:szCs w:val="21"/>
                      <w:lang w:val="en-US" w:eastAsia="zh-CN"/>
                    </w:rPr>
                    <w:t>一般</w:t>
                  </w:r>
                </w:p>
                <w:p w14:paraId="7AE7B9B6">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r>
                    <w:rPr>
                      <w:rFonts w:hint="eastAsia" w:ascii="Times New Roman" w:hAnsi="Times New Roman" w:eastAsia="仿宋"/>
                      <w:b w:val="0"/>
                      <w:bCs/>
                      <w:smallCaps/>
                      <w:color w:val="auto"/>
                      <w:sz w:val="21"/>
                      <w:szCs w:val="21"/>
                      <w:lang w:val="en-US" w:eastAsia="zh-CN"/>
                    </w:rPr>
                    <w:t>排放口</w:t>
                  </w:r>
                </w:p>
              </w:tc>
              <w:tc>
                <w:tcPr>
                  <w:tcW w:w="486" w:type="pct"/>
                  <w:vMerge w:val="restart"/>
                  <w:noWrap w:val="0"/>
                  <w:vAlign w:val="center"/>
                </w:tcPr>
                <w:p w14:paraId="14F1B042">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b w:val="0"/>
                      <w:bCs/>
                      <w:smallCaps/>
                      <w:color w:val="auto"/>
                      <w:sz w:val="21"/>
                      <w:szCs w:val="21"/>
                      <w:lang w:val="en-US" w:eastAsia="zh-CN"/>
                    </w:rPr>
                  </w:pPr>
                  <w:r>
                    <w:rPr>
                      <w:rFonts w:hint="eastAsia"/>
                      <w:b w:val="0"/>
                      <w:bCs/>
                      <w:smallCaps/>
                      <w:color w:val="auto"/>
                      <w:sz w:val="21"/>
                      <w:szCs w:val="21"/>
                      <w:lang w:val="en-US" w:eastAsia="zh-CN"/>
                    </w:rPr>
                    <w:t>120.158828</w:t>
                  </w:r>
                </w:p>
              </w:tc>
              <w:tc>
                <w:tcPr>
                  <w:tcW w:w="446" w:type="pct"/>
                  <w:vMerge w:val="restart"/>
                  <w:noWrap w:val="0"/>
                  <w:vAlign w:val="center"/>
                </w:tcPr>
                <w:p w14:paraId="6933E9B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b w:val="0"/>
                      <w:bCs/>
                      <w:smallCaps/>
                      <w:color w:val="auto"/>
                      <w:sz w:val="21"/>
                      <w:szCs w:val="21"/>
                      <w:lang w:val="en-US" w:eastAsia="zh-CN"/>
                    </w:rPr>
                  </w:pPr>
                  <w:r>
                    <w:rPr>
                      <w:rFonts w:hint="eastAsia"/>
                      <w:b w:val="0"/>
                      <w:bCs/>
                      <w:smallCaps/>
                      <w:color w:val="auto"/>
                      <w:sz w:val="21"/>
                      <w:szCs w:val="21"/>
                      <w:lang w:val="en-US" w:eastAsia="zh-CN"/>
                    </w:rPr>
                    <w:t>31.788453</w:t>
                  </w:r>
                </w:p>
              </w:tc>
              <w:tc>
                <w:tcPr>
                  <w:tcW w:w="509" w:type="pct"/>
                  <w:vMerge w:val="restart"/>
                  <w:noWrap w:val="0"/>
                  <w:vAlign w:val="center"/>
                </w:tcPr>
                <w:p w14:paraId="255B139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eastAsia="zh-CN"/>
                    </w:rPr>
                  </w:pPr>
                  <w:r>
                    <w:rPr>
                      <w:rFonts w:hint="eastAsia"/>
                      <w:b w:val="0"/>
                      <w:bCs/>
                      <w:smallCaps/>
                      <w:color w:val="auto"/>
                      <w:sz w:val="21"/>
                      <w:szCs w:val="21"/>
                      <w:lang w:val="en-US" w:eastAsia="zh-CN"/>
                    </w:rPr>
                    <w:t>5</w:t>
                  </w:r>
                </w:p>
              </w:tc>
              <w:tc>
                <w:tcPr>
                  <w:tcW w:w="335" w:type="pct"/>
                  <w:vMerge w:val="restart"/>
                  <w:noWrap w:val="0"/>
                  <w:vAlign w:val="center"/>
                </w:tcPr>
                <w:p w14:paraId="5F370D13">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r>
                    <w:rPr>
                      <w:rFonts w:hint="default" w:ascii="Times New Roman" w:hAnsi="Times New Roman" w:eastAsia="仿宋"/>
                      <w:b w:val="0"/>
                      <w:bCs/>
                      <w:smallCaps/>
                      <w:color w:val="auto"/>
                      <w:sz w:val="21"/>
                      <w:szCs w:val="21"/>
                    </w:rPr>
                    <w:t>15</w:t>
                  </w:r>
                </w:p>
              </w:tc>
              <w:tc>
                <w:tcPr>
                  <w:tcW w:w="342" w:type="pct"/>
                  <w:vMerge w:val="restart"/>
                  <w:noWrap w:val="0"/>
                  <w:vAlign w:val="center"/>
                </w:tcPr>
                <w:p w14:paraId="7392EEAF">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default" w:ascii="Times New Roman" w:hAnsi="Times New Roman" w:eastAsia="仿宋"/>
                      <w:b w:val="0"/>
                      <w:bCs/>
                      <w:smallCaps/>
                      <w:color w:val="auto"/>
                      <w:sz w:val="21"/>
                      <w:szCs w:val="21"/>
                    </w:rPr>
                    <w:t>0.</w:t>
                  </w:r>
                  <w:r>
                    <w:rPr>
                      <w:rFonts w:hint="eastAsia"/>
                      <w:b w:val="0"/>
                      <w:bCs/>
                      <w:smallCaps/>
                      <w:color w:val="auto"/>
                      <w:sz w:val="21"/>
                      <w:szCs w:val="21"/>
                      <w:lang w:val="en-US" w:eastAsia="zh-CN"/>
                    </w:rPr>
                    <w:t>4</w:t>
                  </w:r>
                </w:p>
              </w:tc>
              <w:tc>
                <w:tcPr>
                  <w:tcW w:w="359" w:type="pct"/>
                  <w:vMerge w:val="restart"/>
                  <w:noWrap w:val="0"/>
                  <w:vAlign w:val="center"/>
                </w:tcPr>
                <w:p w14:paraId="5E1FCC9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eastAsia"/>
                      <w:b w:val="0"/>
                      <w:bCs/>
                      <w:smallCaps/>
                      <w:color w:val="auto"/>
                      <w:sz w:val="21"/>
                      <w:szCs w:val="21"/>
                      <w:lang w:val="en-US" w:eastAsia="zh-CN"/>
                    </w:rPr>
                    <w:t>15.47</w:t>
                  </w:r>
                </w:p>
              </w:tc>
              <w:tc>
                <w:tcPr>
                  <w:tcW w:w="290" w:type="pct"/>
                  <w:vMerge w:val="restart"/>
                  <w:noWrap w:val="0"/>
                  <w:vAlign w:val="center"/>
                </w:tcPr>
                <w:p w14:paraId="5FF1FD3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eastAsia" w:ascii="Times New Roman" w:hAnsi="Times New Roman" w:eastAsia="仿宋"/>
                      <w:b w:val="0"/>
                      <w:bCs/>
                      <w:smallCaps/>
                      <w:color w:val="auto"/>
                      <w:sz w:val="21"/>
                      <w:szCs w:val="21"/>
                      <w:lang w:val="en-US" w:eastAsia="zh-CN"/>
                    </w:rPr>
                    <w:t>2</w:t>
                  </w:r>
                  <w:r>
                    <w:rPr>
                      <w:rFonts w:hint="eastAsia"/>
                      <w:b w:val="0"/>
                      <w:bCs/>
                      <w:smallCaps/>
                      <w:color w:val="auto"/>
                      <w:sz w:val="21"/>
                      <w:szCs w:val="21"/>
                      <w:lang w:val="en-US" w:eastAsia="zh-CN"/>
                    </w:rPr>
                    <w:t>5</w:t>
                  </w:r>
                </w:p>
              </w:tc>
              <w:tc>
                <w:tcPr>
                  <w:tcW w:w="265" w:type="pct"/>
                  <w:vMerge w:val="restart"/>
                  <w:noWrap w:val="0"/>
                  <w:vAlign w:val="center"/>
                </w:tcPr>
                <w:p w14:paraId="5EA3B362">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r>
                    <w:rPr>
                      <w:rFonts w:hint="default" w:ascii="Times New Roman" w:hAnsi="Times New Roman" w:eastAsia="仿宋"/>
                      <w:b w:val="0"/>
                      <w:bCs/>
                      <w:smallCaps/>
                      <w:color w:val="auto"/>
                      <w:sz w:val="21"/>
                      <w:szCs w:val="21"/>
                    </w:rPr>
                    <w:t>间断</w:t>
                  </w:r>
                </w:p>
              </w:tc>
              <w:tc>
                <w:tcPr>
                  <w:tcW w:w="490" w:type="pct"/>
                  <w:noWrap w:val="0"/>
                  <w:vAlign w:val="center"/>
                </w:tcPr>
                <w:p w14:paraId="2E8918E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default" w:ascii="Times New Roman" w:hAnsi="Times New Roman" w:eastAsia="仿宋"/>
                      <w:b w:val="0"/>
                      <w:bCs/>
                      <w:smallCaps/>
                      <w:color w:val="auto"/>
                      <w:sz w:val="21"/>
                      <w:szCs w:val="21"/>
                      <w:lang w:val="en-US" w:eastAsia="zh-CN"/>
                    </w:rPr>
                    <w:t>非甲烷总烃</w:t>
                  </w:r>
                </w:p>
              </w:tc>
              <w:tc>
                <w:tcPr>
                  <w:tcW w:w="304" w:type="pct"/>
                  <w:noWrap w:val="0"/>
                  <w:vAlign w:val="center"/>
                </w:tcPr>
                <w:p w14:paraId="0892161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eastAsia" w:ascii="Times New Roman" w:hAnsi="Times New Roman" w:eastAsia="仿宋"/>
                      <w:b w:val="0"/>
                      <w:bCs/>
                      <w:smallCaps/>
                      <w:color w:val="auto"/>
                      <w:sz w:val="21"/>
                      <w:szCs w:val="21"/>
                      <w:lang w:val="en-US" w:eastAsia="zh-CN"/>
                    </w:rPr>
                    <w:t>0.</w:t>
                  </w:r>
                  <w:r>
                    <w:rPr>
                      <w:rFonts w:hint="eastAsia"/>
                      <w:b w:val="0"/>
                      <w:bCs/>
                      <w:smallCaps/>
                      <w:color w:val="auto"/>
                      <w:sz w:val="21"/>
                      <w:szCs w:val="21"/>
                      <w:lang w:val="en-US" w:eastAsia="zh-CN"/>
                    </w:rPr>
                    <w:t>01</w:t>
                  </w:r>
                </w:p>
              </w:tc>
            </w:tr>
            <w:tr w14:paraId="2F9F883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9" w:type="pct"/>
                  <w:vMerge w:val="continue"/>
                  <w:noWrap w:val="0"/>
                  <w:vAlign w:val="center"/>
                </w:tcPr>
                <w:p w14:paraId="6D6FE5C3">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515" w:type="pct"/>
                  <w:vMerge w:val="continue"/>
                  <w:noWrap w:val="0"/>
                  <w:vAlign w:val="center"/>
                </w:tcPr>
                <w:p w14:paraId="557064F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355" w:type="pct"/>
                  <w:vMerge w:val="continue"/>
                  <w:noWrap w:val="0"/>
                  <w:vAlign w:val="center"/>
                </w:tcPr>
                <w:p w14:paraId="5703C52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p>
              </w:tc>
              <w:tc>
                <w:tcPr>
                  <w:tcW w:w="486" w:type="pct"/>
                  <w:vMerge w:val="continue"/>
                  <w:noWrap w:val="0"/>
                  <w:vAlign w:val="center"/>
                </w:tcPr>
                <w:p w14:paraId="71C54A7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446" w:type="pct"/>
                  <w:vMerge w:val="continue"/>
                  <w:noWrap w:val="0"/>
                  <w:vAlign w:val="center"/>
                </w:tcPr>
                <w:p w14:paraId="0A45E00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509" w:type="pct"/>
                  <w:vMerge w:val="continue"/>
                  <w:noWrap w:val="0"/>
                  <w:vAlign w:val="center"/>
                </w:tcPr>
                <w:p w14:paraId="72D67DA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335" w:type="pct"/>
                  <w:vMerge w:val="continue"/>
                  <w:noWrap w:val="0"/>
                  <w:vAlign w:val="center"/>
                </w:tcPr>
                <w:p w14:paraId="3E5847E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342" w:type="pct"/>
                  <w:vMerge w:val="continue"/>
                  <w:noWrap w:val="0"/>
                  <w:vAlign w:val="center"/>
                </w:tcPr>
                <w:p w14:paraId="0A05CE0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359" w:type="pct"/>
                  <w:vMerge w:val="continue"/>
                  <w:noWrap w:val="0"/>
                  <w:vAlign w:val="center"/>
                </w:tcPr>
                <w:p w14:paraId="025A1DE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290" w:type="pct"/>
                  <w:vMerge w:val="continue"/>
                  <w:noWrap w:val="0"/>
                  <w:vAlign w:val="center"/>
                </w:tcPr>
                <w:p w14:paraId="2B996C2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p>
              </w:tc>
              <w:tc>
                <w:tcPr>
                  <w:tcW w:w="265" w:type="pct"/>
                  <w:vMerge w:val="continue"/>
                  <w:noWrap w:val="0"/>
                  <w:vAlign w:val="center"/>
                </w:tcPr>
                <w:p w14:paraId="192EEE18">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490" w:type="pct"/>
                  <w:shd w:val="clear" w:color="auto" w:fill="auto"/>
                  <w:noWrap w:val="0"/>
                  <w:vAlign w:val="center"/>
                </w:tcPr>
                <w:p w14:paraId="5F25350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smallCaps/>
                      <w:color w:val="auto"/>
                      <w:kern w:val="2"/>
                      <w:sz w:val="21"/>
                      <w:szCs w:val="21"/>
                      <w:lang w:val="en-US" w:eastAsia="zh-CN" w:bidi="ar-SA"/>
                    </w:rPr>
                  </w:pPr>
                  <w:r>
                    <w:rPr>
                      <w:rFonts w:hint="eastAsia"/>
                      <w:b w:val="0"/>
                      <w:bCs/>
                      <w:smallCaps/>
                      <w:color w:val="auto"/>
                      <w:sz w:val="21"/>
                      <w:szCs w:val="21"/>
                      <w:lang w:val="en-US" w:eastAsia="zh-CN"/>
                    </w:rPr>
                    <w:t>颗粒物</w:t>
                  </w:r>
                </w:p>
              </w:tc>
              <w:tc>
                <w:tcPr>
                  <w:tcW w:w="304" w:type="pct"/>
                  <w:shd w:val="clear" w:color="auto" w:fill="auto"/>
                  <w:noWrap w:val="0"/>
                  <w:vAlign w:val="center"/>
                </w:tcPr>
                <w:p w14:paraId="61323A6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仿宋" w:cs="Times New Roman"/>
                      <w:b w:val="0"/>
                      <w:bCs/>
                      <w:smallCaps/>
                      <w:color w:val="auto"/>
                      <w:kern w:val="2"/>
                      <w:sz w:val="21"/>
                      <w:szCs w:val="21"/>
                      <w:lang w:val="en-US" w:eastAsia="zh-CN" w:bidi="ar-SA"/>
                    </w:rPr>
                  </w:pPr>
                  <w:r>
                    <w:rPr>
                      <w:rFonts w:hint="eastAsia"/>
                      <w:b w:val="0"/>
                      <w:bCs/>
                      <w:smallCaps/>
                      <w:color w:val="auto"/>
                      <w:sz w:val="21"/>
                      <w:szCs w:val="21"/>
                      <w:lang w:val="en-US" w:eastAsia="zh-CN"/>
                    </w:rPr>
                    <w:t>0.05</w:t>
                  </w:r>
                </w:p>
              </w:tc>
            </w:tr>
            <w:tr w14:paraId="5D88636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9" w:type="pct"/>
                  <w:vMerge w:val="continue"/>
                  <w:noWrap w:val="0"/>
                  <w:vAlign w:val="center"/>
                </w:tcPr>
                <w:p w14:paraId="5FD17C0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515" w:type="pct"/>
                  <w:vMerge w:val="continue"/>
                  <w:noWrap w:val="0"/>
                  <w:vAlign w:val="center"/>
                </w:tcPr>
                <w:p w14:paraId="1A3780E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355" w:type="pct"/>
                  <w:vMerge w:val="continue"/>
                  <w:noWrap w:val="0"/>
                  <w:vAlign w:val="center"/>
                </w:tcPr>
                <w:p w14:paraId="107B199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p>
              </w:tc>
              <w:tc>
                <w:tcPr>
                  <w:tcW w:w="486" w:type="pct"/>
                  <w:vMerge w:val="continue"/>
                  <w:noWrap w:val="0"/>
                  <w:vAlign w:val="center"/>
                </w:tcPr>
                <w:p w14:paraId="646392E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446" w:type="pct"/>
                  <w:vMerge w:val="continue"/>
                  <w:noWrap w:val="0"/>
                  <w:vAlign w:val="center"/>
                </w:tcPr>
                <w:p w14:paraId="28E4D08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509" w:type="pct"/>
                  <w:vMerge w:val="continue"/>
                  <w:noWrap w:val="0"/>
                  <w:vAlign w:val="center"/>
                </w:tcPr>
                <w:p w14:paraId="518439F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335" w:type="pct"/>
                  <w:vMerge w:val="continue"/>
                  <w:noWrap w:val="0"/>
                  <w:vAlign w:val="center"/>
                </w:tcPr>
                <w:p w14:paraId="0C937E0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342" w:type="pct"/>
                  <w:vMerge w:val="continue"/>
                  <w:noWrap w:val="0"/>
                  <w:vAlign w:val="center"/>
                </w:tcPr>
                <w:p w14:paraId="67F160C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359" w:type="pct"/>
                  <w:vMerge w:val="continue"/>
                  <w:noWrap w:val="0"/>
                  <w:vAlign w:val="center"/>
                </w:tcPr>
                <w:p w14:paraId="795B84B3">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b w:val="0"/>
                      <w:bCs/>
                      <w:smallCaps/>
                      <w:color w:val="auto"/>
                      <w:sz w:val="21"/>
                      <w:szCs w:val="21"/>
                      <w:lang w:val="en-US" w:eastAsia="zh-CN"/>
                    </w:rPr>
                  </w:pPr>
                </w:p>
              </w:tc>
              <w:tc>
                <w:tcPr>
                  <w:tcW w:w="290" w:type="pct"/>
                  <w:vMerge w:val="continue"/>
                  <w:noWrap w:val="0"/>
                  <w:vAlign w:val="center"/>
                </w:tcPr>
                <w:p w14:paraId="7E9BF88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p>
              </w:tc>
              <w:tc>
                <w:tcPr>
                  <w:tcW w:w="265" w:type="pct"/>
                  <w:vMerge w:val="continue"/>
                  <w:noWrap w:val="0"/>
                  <w:vAlign w:val="center"/>
                </w:tcPr>
                <w:p w14:paraId="50AB4E1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rPr>
                  </w:pPr>
                </w:p>
              </w:tc>
              <w:tc>
                <w:tcPr>
                  <w:tcW w:w="490" w:type="pct"/>
                  <w:noWrap w:val="0"/>
                  <w:vAlign w:val="center"/>
                </w:tcPr>
                <w:p w14:paraId="1052466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eastAsia"/>
                      <w:b w:val="0"/>
                      <w:bCs/>
                      <w:smallCaps/>
                      <w:color w:val="auto"/>
                      <w:sz w:val="21"/>
                      <w:szCs w:val="21"/>
                      <w:lang w:val="en-US" w:eastAsia="zh-CN"/>
                    </w:rPr>
                    <w:t>SO</w:t>
                  </w:r>
                  <w:r>
                    <w:rPr>
                      <w:rFonts w:hint="eastAsia"/>
                      <w:b w:val="0"/>
                      <w:bCs/>
                      <w:smallCaps/>
                      <w:color w:val="auto"/>
                      <w:sz w:val="21"/>
                      <w:szCs w:val="21"/>
                      <w:vertAlign w:val="subscript"/>
                      <w:lang w:val="en-US" w:eastAsia="zh-CN"/>
                    </w:rPr>
                    <w:t>2</w:t>
                  </w:r>
                </w:p>
              </w:tc>
              <w:tc>
                <w:tcPr>
                  <w:tcW w:w="764" w:type="dxa"/>
                  <w:noWrap w:val="0"/>
                  <w:vAlign w:val="center"/>
                </w:tcPr>
                <w:p w14:paraId="78CAB89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color w:val="auto"/>
                      <w:sz w:val="21"/>
                      <w:szCs w:val="21"/>
                      <w:lang w:val="en-US" w:eastAsia="zh-CN"/>
                    </w:rPr>
                  </w:pPr>
                  <w:r>
                    <w:rPr>
                      <w:rFonts w:hint="default" w:ascii="Times New Roman" w:hAnsi="Times New Roman" w:eastAsia="仿宋"/>
                      <w:b w:val="0"/>
                      <w:bCs/>
                      <w:smallCaps/>
                      <w:color w:val="auto"/>
                      <w:sz w:val="21"/>
                      <w:szCs w:val="21"/>
                      <w:lang w:val="en-US" w:eastAsia="zh-CN"/>
                    </w:rPr>
                    <w:t xml:space="preserve">0.01 </w:t>
                  </w:r>
                </w:p>
              </w:tc>
            </w:tr>
            <w:tr w14:paraId="73681E5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299" w:type="pct"/>
                  <w:vMerge w:val="continue"/>
                  <w:noWrap w:val="0"/>
                  <w:vAlign w:val="center"/>
                </w:tcPr>
                <w:p w14:paraId="1E40411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515" w:type="pct"/>
                  <w:vMerge w:val="continue"/>
                  <w:noWrap w:val="0"/>
                  <w:vAlign w:val="center"/>
                </w:tcPr>
                <w:p w14:paraId="3FEF0B0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355" w:type="pct"/>
                  <w:vMerge w:val="continue"/>
                  <w:noWrap w:val="0"/>
                  <w:vAlign w:val="center"/>
                </w:tcPr>
                <w:p w14:paraId="00F93BE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486" w:type="pct"/>
                  <w:vMerge w:val="continue"/>
                  <w:noWrap w:val="0"/>
                  <w:vAlign w:val="center"/>
                </w:tcPr>
                <w:p w14:paraId="35E0D466">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446" w:type="pct"/>
                  <w:vMerge w:val="continue"/>
                  <w:noWrap w:val="0"/>
                  <w:vAlign w:val="center"/>
                </w:tcPr>
                <w:p w14:paraId="0D704993">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509" w:type="pct"/>
                  <w:vMerge w:val="continue"/>
                  <w:noWrap w:val="0"/>
                  <w:vAlign w:val="center"/>
                </w:tcPr>
                <w:p w14:paraId="6B0FBC0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335" w:type="pct"/>
                  <w:vMerge w:val="continue"/>
                  <w:noWrap w:val="0"/>
                  <w:vAlign w:val="center"/>
                </w:tcPr>
                <w:p w14:paraId="1D9E788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342" w:type="pct"/>
                  <w:vMerge w:val="continue"/>
                  <w:noWrap w:val="0"/>
                  <w:vAlign w:val="center"/>
                </w:tcPr>
                <w:p w14:paraId="6ED3FE9F">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359" w:type="pct"/>
                  <w:vMerge w:val="continue"/>
                  <w:noWrap w:val="0"/>
                  <w:vAlign w:val="center"/>
                </w:tcPr>
                <w:p w14:paraId="6C37697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290" w:type="pct"/>
                  <w:vMerge w:val="continue"/>
                  <w:noWrap w:val="0"/>
                  <w:vAlign w:val="center"/>
                </w:tcPr>
                <w:p w14:paraId="039943F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265" w:type="pct"/>
                  <w:vMerge w:val="continue"/>
                  <w:noWrap w:val="0"/>
                  <w:vAlign w:val="center"/>
                </w:tcPr>
                <w:p w14:paraId="7CF0C53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pPr>
                </w:p>
              </w:tc>
              <w:tc>
                <w:tcPr>
                  <w:tcW w:w="490" w:type="pct"/>
                  <w:noWrap w:val="0"/>
                  <w:vAlign w:val="center"/>
                </w:tcPr>
                <w:p w14:paraId="6088C08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eastAsia"/>
                      <w:b w:val="0"/>
                      <w:bCs/>
                      <w:smallCaps/>
                      <w:color w:val="auto"/>
                      <w:sz w:val="21"/>
                      <w:szCs w:val="21"/>
                      <w:lang w:val="en-US" w:eastAsia="zh-CN"/>
                    </w:rPr>
                    <w:t>NOx</w:t>
                  </w:r>
                </w:p>
              </w:tc>
              <w:tc>
                <w:tcPr>
                  <w:tcW w:w="764" w:type="dxa"/>
                  <w:noWrap w:val="0"/>
                  <w:vAlign w:val="center"/>
                </w:tcPr>
                <w:p w14:paraId="2054A43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color w:val="auto"/>
                      <w:sz w:val="21"/>
                      <w:szCs w:val="21"/>
                      <w:lang w:val="en-US" w:eastAsia="zh-CN"/>
                    </w:rPr>
                  </w:pPr>
                  <w:r>
                    <w:rPr>
                      <w:rFonts w:hint="default" w:ascii="Times New Roman" w:hAnsi="Times New Roman" w:eastAsia="仿宋"/>
                      <w:b w:val="0"/>
                      <w:bCs/>
                      <w:smallCaps/>
                      <w:color w:val="auto"/>
                      <w:sz w:val="21"/>
                      <w:szCs w:val="21"/>
                      <w:lang w:val="en-US" w:eastAsia="zh-CN"/>
                    </w:rPr>
                    <w:t xml:space="preserve">0.05 </w:t>
                  </w:r>
                </w:p>
              </w:tc>
            </w:tr>
          </w:tbl>
          <w:p w14:paraId="3172E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kern w:val="2"/>
                <w:sz w:val="24"/>
                <w:szCs w:val="22"/>
                <w:lang w:val="en-US" w:eastAsia="zh-CN" w:bidi="ar-SA"/>
              </w:rPr>
            </w:pPr>
            <w:r>
              <w:rPr>
                <w:rFonts w:hint="default" w:ascii="Times New Roman" w:hAnsi="Times New Roman" w:eastAsia="仿宋" w:cs="Times New Roman"/>
                <w:b/>
                <w:bCs/>
                <w:color w:val="auto"/>
                <w:kern w:val="2"/>
                <w:sz w:val="24"/>
                <w:szCs w:val="22"/>
                <w:lang w:val="en-US" w:eastAsia="zh-CN" w:bidi="ar-SA"/>
              </w:rPr>
              <w:t>1.</w:t>
            </w:r>
            <w:r>
              <w:rPr>
                <w:rFonts w:hint="eastAsia" w:ascii="Times New Roman" w:hAnsi="Times New Roman" w:eastAsia="仿宋" w:cs="Times New Roman"/>
                <w:b/>
                <w:bCs/>
                <w:color w:val="auto"/>
                <w:kern w:val="2"/>
                <w:sz w:val="24"/>
                <w:szCs w:val="22"/>
                <w:lang w:val="en-US" w:eastAsia="zh-CN" w:bidi="ar-SA"/>
              </w:rPr>
              <w:t>3非正常工况下废气产生及排放情况</w:t>
            </w:r>
          </w:p>
          <w:p w14:paraId="54FE9D78">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2"/>
                <w:lang w:val="en-US" w:eastAsia="zh-CN"/>
              </w:rPr>
            </w:pPr>
            <w:r>
              <w:rPr>
                <w:rFonts w:hint="default" w:ascii="Times New Roman" w:hAnsi="Times New Roman" w:eastAsia="仿宋" w:cs="Times New Roman"/>
                <w:color w:val="auto"/>
                <w:sz w:val="24"/>
                <w:szCs w:val="22"/>
                <w:lang w:val="en-US" w:eastAsia="zh-CN"/>
              </w:rPr>
              <w:t>在非正常排放（最不利）情况下，厂区1#排气筒排放的污染物对环境的影响都有所增加。本报告非正常排放估算源强参数采用的是处理装置完全失效时污染物的产生源强，实际运行中，此种可能性较小。当处理设施处理效率达不到设计效率时</w:t>
            </w:r>
            <w:r>
              <w:rPr>
                <w:rFonts w:hint="eastAsia" w:ascii="Times New Roman" w:hAnsi="Times New Roman" w:eastAsia="仿宋" w:cs="Times New Roman"/>
                <w:color w:val="auto"/>
                <w:sz w:val="24"/>
                <w:szCs w:val="22"/>
                <w:lang w:val="en-US" w:eastAsia="zh-CN"/>
              </w:rPr>
              <w:t>（排放</w:t>
            </w:r>
            <w:r>
              <w:rPr>
                <w:rFonts w:hint="default" w:ascii="Times New Roman" w:hAnsi="Times New Roman" w:eastAsia="仿宋" w:cs="Times New Roman"/>
                <w:color w:val="auto"/>
                <w:sz w:val="24"/>
                <w:szCs w:val="22"/>
                <w:lang w:val="en-US" w:eastAsia="zh-CN"/>
              </w:rPr>
              <w:t>源强＜产生源强</w:t>
            </w:r>
            <w:r>
              <w:rPr>
                <w:rFonts w:hint="eastAsia" w:ascii="Times New Roman" w:hAnsi="Times New Roman" w:eastAsia="仿宋" w:cs="Times New Roman"/>
                <w:color w:val="auto"/>
                <w:sz w:val="24"/>
                <w:szCs w:val="22"/>
                <w:lang w:val="en-US" w:eastAsia="zh-CN"/>
              </w:rPr>
              <w:t>）</w:t>
            </w:r>
            <w:r>
              <w:rPr>
                <w:rFonts w:hint="default" w:ascii="Times New Roman" w:hAnsi="Times New Roman" w:eastAsia="仿宋" w:cs="Times New Roman"/>
                <w:color w:val="auto"/>
                <w:sz w:val="24"/>
                <w:szCs w:val="22"/>
                <w:lang w:val="en-US" w:eastAsia="zh-CN"/>
              </w:rPr>
              <w:t>，其对环境的影响相应减小。发生事故的原因主要如下：</w:t>
            </w:r>
          </w:p>
          <w:p w14:paraId="4FBD9B5F">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①废气处理系统出现故障、设备开车、停车检修时，未经处理的废气排入大气环境中；</w:t>
            </w:r>
          </w:p>
          <w:p w14:paraId="7454CE9F">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②生产过程中由于设备老化、腐蚀、误操作等原因造成车间废气浓度超标；</w:t>
            </w:r>
          </w:p>
          <w:p w14:paraId="043DEE72">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③厂内突然停电，负压抽气系统和废气处理系统停止工作，致使废气不能得到及时处理而造成事故排放；</w:t>
            </w:r>
          </w:p>
          <w:p w14:paraId="7F3A808D">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④管理操作人员的疏忽和失职。</w:t>
            </w:r>
          </w:p>
          <w:p w14:paraId="710A74F5">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lang w:val="en-US" w:eastAsia="zh-CN"/>
              </w:rPr>
            </w:pPr>
            <w:r>
              <w:rPr>
                <w:rFonts w:hint="default" w:ascii="Times New Roman" w:hAnsi="Times New Roman" w:eastAsia="仿宋" w:cs="Times New Roman"/>
                <w:b/>
                <w:bCs/>
                <w:color w:val="auto"/>
                <w:sz w:val="21"/>
                <w:szCs w:val="20"/>
                <w:lang w:val="en-US" w:eastAsia="zh-CN"/>
              </w:rPr>
              <w:t>表</w:t>
            </w:r>
            <w:r>
              <w:rPr>
                <w:rFonts w:hint="eastAsia" w:ascii="Times New Roman" w:hAnsi="Times New Roman" w:eastAsia="仿宋" w:cs="Times New Roman"/>
                <w:b/>
                <w:bCs/>
                <w:color w:val="auto"/>
                <w:sz w:val="21"/>
                <w:szCs w:val="20"/>
                <w:lang w:val="en-US" w:eastAsia="zh-CN"/>
              </w:rPr>
              <w:t>4-</w:t>
            </w:r>
            <w:r>
              <w:rPr>
                <w:rFonts w:hint="eastAsia" w:cs="Times New Roman"/>
                <w:b/>
                <w:bCs/>
                <w:color w:val="auto"/>
                <w:sz w:val="21"/>
                <w:szCs w:val="20"/>
                <w:lang w:val="en-US" w:eastAsia="zh-CN"/>
              </w:rPr>
              <w:t>9</w:t>
            </w:r>
            <w:r>
              <w:rPr>
                <w:rFonts w:hint="eastAsia" w:ascii="Times New Roman" w:hAnsi="Times New Roman" w:eastAsia="仿宋" w:cs="Times New Roman"/>
                <w:b/>
                <w:bCs/>
                <w:color w:val="auto"/>
                <w:sz w:val="21"/>
                <w:szCs w:val="20"/>
                <w:lang w:val="en-US" w:eastAsia="zh-CN"/>
              </w:rPr>
              <w:t xml:space="preserve">  </w:t>
            </w:r>
            <w:r>
              <w:rPr>
                <w:rFonts w:hint="default" w:ascii="Times New Roman" w:hAnsi="Times New Roman" w:eastAsia="仿宋" w:cs="Times New Roman"/>
                <w:b/>
                <w:bCs/>
                <w:color w:val="auto"/>
                <w:sz w:val="21"/>
                <w:szCs w:val="20"/>
                <w:lang w:val="en-US" w:eastAsia="zh-CN"/>
              </w:rPr>
              <w:t>大气污染物</w:t>
            </w:r>
            <w:r>
              <w:rPr>
                <w:rFonts w:hint="eastAsia" w:ascii="Times New Roman" w:hAnsi="Times New Roman" w:eastAsia="仿宋" w:cs="Times New Roman"/>
                <w:b/>
                <w:bCs/>
                <w:color w:val="auto"/>
                <w:sz w:val="21"/>
                <w:szCs w:val="20"/>
                <w:lang w:val="en-US" w:eastAsia="zh-CN"/>
              </w:rPr>
              <w:t>非正常</w:t>
            </w:r>
            <w:r>
              <w:rPr>
                <w:rFonts w:hint="default" w:ascii="Times New Roman" w:hAnsi="Times New Roman" w:eastAsia="仿宋" w:cs="Times New Roman"/>
                <w:b/>
                <w:bCs/>
                <w:color w:val="auto"/>
                <w:sz w:val="21"/>
                <w:szCs w:val="20"/>
                <w:lang w:val="en-US" w:eastAsia="zh-CN"/>
              </w:rPr>
              <w:t>排放量核算表</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1093"/>
              <w:gridCol w:w="1194"/>
              <w:gridCol w:w="1267"/>
              <w:gridCol w:w="1697"/>
              <w:gridCol w:w="1543"/>
              <w:gridCol w:w="1667"/>
              <w:gridCol w:w="1244"/>
              <w:gridCol w:w="2179"/>
            </w:tblGrid>
            <w:tr w14:paraId="4C7467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268" w:type="pct"/>
                  <w:noWrap w:val="0"/>
                  <w:vAlign w:val="center"/>
                </w:tcPr>
                <w:p w14:paraId="07DB263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435" w:type="pct"/>
                  <w:noWrap w:val="0"/>
                  <w:vAlign w:val="center"/>
                </w:tcPr>
                <w:p w14:paraId="7BF5E0C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排放口编号</w:t>
                  </w:r>
                </w:p>
              </w:tc>
              <w:tc>
                <w:tcPr>
                  <w:tcW w:w="475" w:type="pct"/>
                  <w:noWrap w:val="0"/>
                  <w:vAlign w:val="center"/>
                </w:tcPr>
                <w:p w14:paraId="1E15B89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非正常排放原因</w:t>
                  </w:r>
                </w:p>
              </w:tc>
              <w:tc>
                <w:tcPr>
                  <w:tcW w:w="504" w:type="pct"/>
                  <w:noWrap w:val="0"/>
                  <w:vAlign w:val="center"/>
                </w:tcPr>
                <w:p w14:paraId="4DDAD093">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w:t>
                  </w:r>
                </w:p>
              </w:tc>
              <w:tc>
                <w:tcPr>
                  <w:tcW w:w="675" w:type="pct"/>
                  <w:noWrap w:val="0"/>
                  <w:vAlign w:val="center"/>
                </w:tcPr>
                <w:p w14:paraId="19E870C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非正常排放浓度（mg/m</w:t>
                  </w:r>
                  <w:r>
                    <w:rPr>
                      <w:rFonts w:hint="eastAsia" w:ascii="Times New Roman" w:hAnsi="Times New Roman" w:eastAsia="仿宋" w:cs="Times New Roman"/>
                      <w:b/>
                      <w:bCs/>
                      <w:color w:val="auto"/>
                      <w:sz w:val="21"/>
                      <w:szCs w:val="21"/>
                      <w:vertAlign w:val="superscript"/>
                      <w:lang w:val="en-US" w:eastAsia="zh-CN"/>
                    </w:rPr>
                    <w:t>3</w:t>
                  </w:r>
                  <w:r>
                    <w:rPr>
                      <w:rFonts w:hint="eastAsia" w:ascii="Times New Roman" w:hAnsi="Times New Roman" w:eastAsia="仿宋" w:cs="Times New Roman"/>
                      <w:b/>
                      <w:bCs/>
                      <w:color w:val="auto"/>
                      <w:sz w:val="21"/>
                      <w:szCs w:val="21"/>
                      <w:lang w:val="en-US" w:eastAsia="zh-CN"/>
                    </w:rPr>
                    <w:t>）</w:t>
                  </w:r>
                </w:p>
              </w:tc>
              <w:tc>
                <w:tcPr>
                  <w:tcW w:w="614" w:type="pct"/>
                  <w:noWrap w:val="0"/>
                  <w:vAlign w:val="center"/>
                </w:tcPr>
                <w:p w14:paraId="3991F82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非正常排放速率（kg/h）</w:t>
                  </w:r>
                </w:p>
              </w:tc>
              <w:tc>
                <w:tcPr>
                  <w:tcW w:w="663" w:type="pct"/>
                  <w:noWrap w:val="0"/>
                  <w:vAlign w:val="center"/>
                </w:tcPr>
                <w:p w14:paraId="6572764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单次持续时间（h）</w:t>
                  </w:r>
                </w:p>
              </w:tc>
              <w:tc>
                <w:tcPr>
                  <w:tcW w:w="495" w:type="pct"/>
                  <w:noWrap w:val="0"/>
                  <w:vAlign w:val="center"/>
                </w:tcPr>
                <w:p w14:paraId="3A55CE4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年发生频次（次）</w:t>
                  </w:r>
                </w:p>
              </w:tc>
              <w:tc>
                <w:tcPr>
                  <w:tcW w:w="867" w:type="pct"/>
                  <w:noWrap w:val="0"/>
                  <w:vAlign w:val="center"/>
                </w:tcPr>
                <w:p w14:paraId="02CBDBA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应对措施</w:t>
                  </w:r>
                </w:p>
              </w:tc>
            </w:tr>
            <w:tr w14:paraId="2604AF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 w:type="pct"/>
                  <w:vMerge w:val="restart"/>
                  <w:noWrap w:val="0"/>
                  <w:vAlign w:val="center"/>
                </w:tcPr>
                <w:p w14:paraId="2D98FC4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1</w:t>
                  </w:r>
                </w:p>
              </w:tc>
              <w:tc>
                <w:tcPr>
                  <w:tcW w:w="435" w:type="pct"/>
                  <w:vMerge w:val="restart"/>
                  <w:noWrap w:val="0"/>
                  <w:vAlign w:val="center"/>
                </w:tcPr>
                <w:p w14:paraId="77FEA64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DA001</w:t>
                  </w:r>
                </w:p>
              </w:tc>
              <w:tc>
                <w:tcPr>
                  <w:tcW w:w="475" w:type="pct"/>
                  <w:vMerge w:val="restart"/>
                  <w:noWrap w:val="0"/>
                  <w:vAlign w:val="center"/>
                </w:tcPr>
                <w:p w14:paraId="6F445FF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废气处理设施故障</w:t>
                  </w:r>
                </w:p>
              </w:tc>
              <w:tc>
                <w:tcPr>
                  <w:tcW w:w="504" w:type="pct"/>
                  <w:noWrap w:val="0"/>
                  <w:vAlign w:val="center"/>
                </w:tcPr>
                <w:p w14:paraId="66461D3A">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非甲烷总烃</w:t>
                  </w:r>
                </w:p>
              </w:tc>
              <w:tc>
                <w:tcPr>
                  <w:tcW w:w="675" w:type="pct"/>
                  <w:shd w:val="clear" w:color="auto" w:fill="auto"/>
                  <w:noWrap w:val="0"/>
                  <w:vAlign w:val="center"/>
                </w:tcPr>
                <w:p w14:paraId="69F7530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3.95</w:t>
                  </w:r>
                </w:p>
              </w:tc>
              <w:tc>
                <w:tcPr>
                  <w:tcW w:w="614" w:type="pct"/>
                  <w:noWrap w:val="0"/>
                  <w:vAlign w:val="center"/>
                </w:tcPr>
                <w:p w14:paraId="3EC8FE6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w:t>
                  </w:r>
                  <w:r>
                    <w:rPr>
                      <w:rFonts w:hint="eastAsia" w:cs="Times New Roman"/>
                      <w:b w:val="0"/>
                      <w:bCs w:val="0"/>
                      <w:color w:val="auto"/>
                      <w:sz w:val="21"/>
                      <w:szCs w:val="21"/>
                      <w:lang w:val="en-US" w:eastAsia="zh-CN"/>
                    </w:rPr>
                    <w:t>11</w:t>
                  </w:r>
                  <w:r>
                    <w:rPr>
                      <w:rFonts w:hint="default" w:ascii="Times New Roman" w:hAnsi="Times New Roman" w:eastAsia="仿宋" w:cs="Times New Roman"/>
                      <w:b w:val="0"/>
                      <w:bCs w:val="0"/>
                      <w:color w:val="auto"/>
                      <w:sz w:val="21"/>
                      <w:szCs w:val="21"/>
                      <w:lang w:val="en-US" w:eastAsia="zh-CN"/>
                    </w:rPr>
                    <w:t xml:space="preserve"> </w:t>
                  </w:r>
                </w:p>
              </w:tc>
              <w:tc>
                <w:tcPr>
                  <w:tcW w:w="663" w:type="pct"/>
                  <w:vMerge w:val="restart"/>
                  <w:noWrap w:val="0"/>
                  <w:vAlign w:val="center"/>
                </w:tcPr>
                <w:p w14:paraId="2A00D39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0.5</w:t>
                  </w:r>
                </w:p>
              </w:tc>
              <w:tc>
                <w:tcPr>
                  <w:tcW w:w="495" w:type="pct"/>
                  <w:vMerge w:val="restart"/>
                  <w:noWrap w:val="0"/>
                  <w:vAlign w:val="center"/>
                </w:tcPr>
                <w:p w14:paraId="1D997CB4">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867" w:type="pct"/>
                  <w:vMerge w:val="restart"/>
                  <w:noWrap w:val="0"/>
                  <w:vAlign w:val="center"/>
                </w:tcPr>
                <w:p w14:paraId="3D6D4823">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平时注意废气处理设施的维护保养，及时发现处理设施的隐患，确保废气处理系统正常运行</w:t>
                  </w:r>
                </w:p>
              </w:tc>
            </w:tr>
            <w:tr w14:paraId="2801B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 w:type="pct"/>
                  <w:vMerge w:val="continue"/>
                  <w:noWrap w:val="0"/>
                  <w:vAlign w:val="center"/>
                </w:tcPr>
                <w:p w14:paraId="3EA38AF9">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p>
              </w:tc>
              <w:tc>
                <w:tcPr>
                  <w:tcW w:w="435" w:type="pct"/>
                  <w:vMerge w:val="continue"/>
                  <w:noWrap w:val="0"/>
                  <w:vAlign w:val="center"/>
                </w:tcPr>
                <w:p w14:paraId="5B0FC56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cs="Times New Roman"/>
                      <w:b w:val="0"/>
                      <w:bCs w:val="0"/>
                      <w:color w:val="auto"/>
                      <w:sz w:val="21"/>
                      <w:szCs w:val="21"/>
                      <w:lang w:val="en-US" w:eastAsia="zh-CN"/>
                    </w:rPr>
                  </w:pPr>
                </w:p>
              </w:tc>
              <w:tc>
                <w:tcPr>
                  <w:tcW w:w="475" w:type="pct"/>
                  <w:vMerge w:val="continue"/>
                  <w:noWrap w:val="0"/>
                  <w:vAlign w:val="center"/>
                </w:tcPr>
                <w:p w14:paraId="11CB72BC">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504" w:type="pct"/>
                  <w:noWrap w:val="0"/>
                  <w:vAlign w:val="center"/>
                </w:tcPr>
                <w:p w14:paraId="57BDD79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675" w:type="pct"/>
                  <w:shd w:val="clear" w:color="auto" w:fill="auto"/>
                  <w:noWrap w:val="0"/>
                  <w:vAlign w:val="center"/>
                </w:tcPr>
                <w:p w14:paraId="14886CF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17.567</w:t>
                  </w:r>
                </w:p>
              </w:tc>
              <w:tc>
                <w:tcPr>
                  <w:tcW w:w="614" w:type="pct"/>
                  <w:shd w:val="clear" w:color="auto" w:fill="auto"/>
                  <w:noWrap w:val="0"/>
                  <w:vAlign w:val="center"/>
                </w:tcPr>
                <w:p w14:paraId="589329D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sz w:val="21"/>
                      <w:szCs w:val="21"/>
                      <w:lang w:val="en-US" w:eastAsia="zh-CN"/>
                    </w:rPr>
                    <w:t>0.</w:t>
                  </w:r>
                  <w:r>
                    <w:rPr>
                      <w:rFonts w:hint="eastAsia" w:cs="Times New Roman"/>
                      <w:b w:val="0"/>
                      <w:bCs w:val="0"/>
                      <w:color w:val="auto"/>
                      <w:sz w:val="21"/>
                      <w:szCs w:val="21"/>
                      <w:lang w:val="en-US" w:eastAsia="zh-CN"/>
                    </w:rPr>
                    <w:t>49</w:t>
                  </w:r>
                  <w:r>
                    <w:rPr>
                      <w:rFonts w:hint="default" w:ascii="Times New Roman" w:hAnsi="Times New Roman" w:eastAsia="仿宋" w:cs="Times New Roman"/>
                      <w:b w:val="0"/>
                      <w:bCs w:val="0"/>
                      <w:color w:val="auto"/>
                      <w:sz w:val="21"/>
                      <w:szCs w:val="21"/>
                      <w:lang w:val="en-US" w:eastAsia="zh-CN"/>
                    </w:rPr>
                    <w:t xml:space="preserve"> </w:t>
                  </w:r>
                </w:p>
              </w:tc>
              <w:tc>
                <w:tcPr>
                  <w:tcW w:w="663" w:type="pct"/>
                  <w:vMerge w:val="continue"/>
                  <w:noWrap w:val="0"/>
                  <w:vAlign w:val="center"/>
                </w:tcPr>
                <w:p w14:paraId="5F34AEE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495" w:type="pct"/>
                  <w:vMerge w:val="continue"/>
                  <w:noWrap w:val="0"/>
                  <w:vAlign w:val="center"/>
                </w:tcPr>
                <w:p w14:paraId="452F3CB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cs="Times New Roman"/>
                      <w:b w:val="0"/>
                      <w:bCs w:val="0"/>
                      <w:color w:val="auto"/>
                      <w:sz w:val="21"/>
                      <w:szCs w:val="21"/>
                      <w:lang w:val="en-US" w:eastAsia="zh-CN"/>
                    </w:rPr>
                  </w:pPr>
                </w:p>
              </w:tc>
              <w:tc>
                <w:tcPr>
                  <w:tcW w:w="867" w:type="pct"/>
                  <w:vMerge w:val="continue"/>
                  <w:noWrap w:val="0"/>
                  <w:vAlign w:val="center"/>
                </w:tcPr>
                <w:p w14:paraId="15243F1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r>
            <w:tr w14:paraId="0C3382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 w:type="pct"/>
                  <w:vMerge w:val="continue"/>
                  <w:noWrap w:val="0"/>
                  <w:vAlign w:val="center"/>
                </w:tcPr>
                <w:p w14:paraId="2DA92E2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p>
              </w:tc>
              <w:tc>
                <w:tcPr>
                  <w:tcW w:w="435" w:type="pct"/>
                  <w:vMerge w:val="continue"/>
                  <w:noWrap w:val="0"/>
                  <w:vAlign w:val="center"/>
                </w:tcPr>
                <w:p w14:paraId="25524B82">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cs="Times New Roman"/>
                      <w:b w:val="0"/>
                      <w:bCs w:val="0"/>
                      <w:color w:val="auto"/>
                      <w:sz w:val="21"/>
                      <w:szCs w:val="21"/>
                      <w:lang w:val="en-US" w:eastAsia="zh-CN"/>
                    </w:rPr>
                  </w:pPr>
                </w:p>
              </w:tc>
              <w:tc>
                <w:tcPr>
                  <w:tcW w:w="475" w:type="pct"/>
                  <w:vMerge w:val="continue"/>
                  <w:noWrap w:val="0"/>
                  <w:vAlign w:val="center"/>
                </w:tcPr>
                <w:p w14:paraId="05232ED0">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504" w:type="pct"/>
                  <w:noWrap w:val="0"/>
                  <w:vAlign w:val="center"/>
                </w:tcPr>
                <w:p w14:paraId="22924D52">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SO</w:t>
                  </w:r>
                  <w:r>
                    <w:rPr>
                      <w:rFonts w:hint="eastAsia" w:cs="Times New Roman"/>
                      <w:b w:val="0"/>
                      <w:bCs w:val="0"/>
                      <w:color w:val="auto"/>
                      <w:sz w:val="21"/>
                      <w:szCs w:val="21"/>
                      <w:vertAlign w:val="subscript"/>
                      <w:lang w:val="en-US" w:eastAsia="zh-CN"/>
                    </w:rPr>
                    <w:t>2</w:t>
                  </w:r>
                </w:p>
              </w:tc>
              <w:tc>
                <w:tcPr>
                  <w:tcW w:w="675" w:type="pct"/>
                  <w:shd w:val="clear" w:color="auto" w:fill="auto"/>
                  <w:noWrap w:val="0"/>
                  <w:vAlign w:val="center"/>
                </w:tcPr>
                <w:p w14:paraId="2E983407">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0.4</w:t>
                  </w:r>
                </w:p>
              </w:tc>
              <w:tc>
                <w:tcPr>
                  <w:tcW w:w="614" w:type="pct"/>
                  <w:shd w:val="clear" w:color="auto" w:fill="auto"/>
                  <w:noWrap w:val="0"/>
                  <w:vAlign w:val="center"/>
                </w:tcPr>
                <w:p w14:paraId="69C601FF">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0.01</w:t>
                  </w:r>
                </w:p>
              </w:tc>
              <w:tc>
                <w:tcPr>
                  <w:tcW w:w="663" w:type="pct"/>
                  <w:vMerge w:val="continue"/>
                  <w:noWrap w:val="0"/>
                  <w:vAlign w:val="center"/>
                </w:tcPr>
                <w:p w14:paraId="64884B4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495" w:type="pct"/>
                  <w:vMerge w:val="continue"/>
                  <w:noWrap w:val="0"/>
                  <w:vAlign w:val="center"/>
                </w:tcPr>
                <w:p w14:paraId="7CB30F7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cs="Times New Roman"/>
                      <w:b w:val="0"/>
                      <w:bCs w:val="0"/>
                      <w:color w:val="auto"/>
                      <w:sz w:val="21"/>
                      <w:szCs w:val="21"/>
                      <w:lang w:val="en-US" w:eastAsia="zh-CN"/>
                    </w:rPr>
                  </w:pPr>
                </w:p>
              </w:tc>
              <w:tc>
                <w:tcPr>
                  <w:tcW w:w="867" w:type="pct"/>
                  <w:vMerge w:val="continue"/>
                  <w:noWrap w:val="0"/>
                  <w:vAlign w:val="center"/>
                </w:tcPr>
                <w:p w14:paraId="10823BC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r>
            <w:tr w14:paraId="68000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 w:type="pct"/>
                  <w:vMerge w:val="continue"/>
                  <w:noWrap w:val="0"/>
                  <w:vAlign w:val="center"/>
                </w:tcPr>
                <w:p w14:paraId="2998A54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p>
              </w:tc>
              <w:tc>
                <w:tcPr>
                  <w:tcW w:w="435" w:type="pct"/>
                  <w:vMerge w:val="continue"/>
                  <w:noWrap w:val="0"/>
                  <w:vAlign w:val="center"/>
                </w:tcPr>
                <w:p w14:paraId="2117C82B">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cs="Times New Roman"/>
                      <w:b w:val="0"/>
                      <w:bCs w:val="0"/>
                      <w:color w:val="auto"/>
                      <w:sz w:val="21"/>
                      <w:szCs w:val="21"/>
                      <w:lang w:val="en-US" w:eastAsia="zh-CN"/>
                    </w:rPr>
                  </w:pPr>
                </w:p>
              </w:tc>
              <w:tc>
                <w:tcPr>
                  <w:tcW w:w="475" w:type="pct"/>
                  <w:vMerge w:val="continue"/>
                  <w:noWrap w:val="0"/>
                  <w:vAlign w:val="center"/>
                </w:tcPr>
                <w:p w14:paraId="08CC67B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504" w:type="pct"/>
                  <w:noWrap w:val="0"/>
                  <w:vAlign w:val="center"/>
                </w:tcPr>
                <w:p w14:paraId="334E56E6">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NOx</w:t>
                  </w:r>
                </w:p>
              </w:tc>
              <w:tc>
                <w:tcPr>
                  <w:tcW w:w="675" w:type="pct"/>
                  <w:shd w:val="clear" w:color="auto" w:fill="auto"/>
                  <w:noWrap w:val="0"/>
                  <w:vAlign w:val="center"/>
                </w:tcPr>
                <w:p w14:paraId="6219B96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1.86</w:t>
                  </w:r>
                </w:p>
              </w:tc>
              <w:tc>
                <w:tcPr>
                  <w:tcW w:w="614" w:type="pct"/>
                  <w:shd w:val="clear" w:color="auto" w:fill="auto"/>
                  <w:noWrap w:val="0"/>
                  <w:vAlign w:val="center"/>
                </w:tcPr>
                <w:p w14:paraId="159478CD">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0.05</w:t>
                  </w:r>
                </w:p>
              </w:tc>
              <w:tc>
                <w:tcPr>
                  <w:tcW w:w="663" w:type="pct"/>
                  <w:vMerge w:val="continue"/>
                  <w:noWrap w:val="0"/>
                  <w:vAlign w:val="center"/>
                </w:tcPr>
                <w:p w14:paraId="600DBA7E">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495" w:type="pct"/>
                  <w:vMerge w:val="continue"/>
                  <w:noWrap w:val="0"/>
                  <w:vAlign w:val="center"/>
                </w:tcPr>
                <w:p w14:paraId="070A3F75">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cs="Times New Roman"/>
                      <w:b w:val="0"/>
                      <w:bCs w:val="0"/>
                      <w:color w:val="auto"/>
                      <w:sz w:val="21"/>
                      <w:szCs w:val="21"/>
                      <w:lang w:val="en-US" w:eastAsia="zh-CN"/>
                    </w:rPr>
                  </w:pPr>
                </w:p>
              </w:tc>
              <w:tc>
                <w:tcPr>
                  <w:tcW w:w="867" w:type="pct"/>
                  <w:vMerge w:val="continue"/>
                  <w:noWrap w:val="0"/>
                  <w:vAlign w:val="center"/>
                </w:tcPr>
                <w:p w14:paraId="3CFBE8B1">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r>
          </w:tbl>
          <w:p w14:paraId="2671A7A5">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为杜绝事故性废气排放，建议采取以下措施确保废气达标排放：</w:t>
            </w:r>
          </w:p>
          <w:p w14:paraId="2AF2C072">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①平时注意废气处理设施的维护保养，及时发现处理设备的隐患，确保废气处理系统正常运行；</w:t>
            </w:r>
          </w:p>
          <w:p w14:paraId="7C867D5E">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②建立健全的环保机构，配置必要的监测仪器，对管理人员和技术人员进行岗位培训，对废气处理实行全过程跟踪控制；</w:t>
            </w:r>
          </w:p>
          <w:p w14:paraId="12D7E915">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③项目方应设有备用电源和备用处理设备和零配件，以备停电或设备出现故障时保障废气全部抽入净化系统进行处理以达标排放；</w:t>
            </w:r>
          </w:p>
          <w:p w14:paraId="101519AC">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lang w:val="en-US" w:eastAsia="zh-CN"/>
              </w:rPr>
            </w:pPr>
            <w:r>
              <w:rPr>
                <w:rFonts w:hint="eastAsia" w:ascii="Times New Roman" w:hAnsi="Times New Roman" w:eastAsia="仿宋" w:cs="Times New Roman"/>
                <w:color w:val="auto"/>
                <w:sz w:val="24"/>
                <w:szCs w:val="22"/>
                <w:lang w:val="en-US" w:eastAsia="zh-CN"/>
              </w:rPr>
              <w:t>④废气处理排放与生产装置联锁，一旦出现超标，立即关闭系统。</w:t>
            </w:r>
          </w:p>
          <w:p w14:paraId="28B9D0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cs="Times New Roman"/>
                <w:b/>
                <w:bCs/>
                <w:color w:val="auto"/>
                <w:kern w:val="2"/>
                <w:sz w:val="24"/>
                <w:szCs w:val="22"/>
                <w:lang w:val="en-US" w:eastAsia="zh-CN" w:bidi="ar-SA"/>
              </w:rPr>
            </w:pPr>
            <w:r>
              <w:rPr>
                <w:rFonts w:hint="eastAsia" w:ascii="Times New Roman" w:hAnsi="Times New Roman" w:cs="Times New Roman"/>
                <w:b/>
                <w:bCs/>
                <w:color w:val="auto"/>
                <w:kern w:val="2"/>
                <w:sz w:val="24"/>
                <w:szCs w:val="22"/>
                <w:lang w:val="en-US" w:eastAsia="zh-CN" w:bidi="ar-SA"/>
              </w:rPr>
              <w:t>1.</w:t>
            </w:r>
            <w:r>
              <w:rPr>
                <w:rFonts w:hint="eastAsia" w:cs="Times New Roman"/>
                <w:b/>
                <w:bCs/>
                <w:color w:val="auto"/>
                <w:kern w:val="2"/>
                <w:sz w:val="24"/>
                <w:szCs w:val="22"/>
                <w:lang w:val="en-US" w:eastAsia="zh-CN" w:bidi="ar-SA"/>
              </w:rPr>
              <w:t>4</w:t>
            </w:r>
            <w:r>
              <w:rPr>
                <w:rFonts w:hint="eastAsia" w:ascii="Times New Roman" w:hAnsi="Times New Roman" w:cs="Times New Roman"/>
                <w:b/>
                <w:bCs/>
                <w:color w:val="auto"/>
                <w:kern w:val="2"/>
                <w:sz w:val="24"/>
                <w:szCs w:val="22"/>
                <w:lang w:val="en-US" w:eastAsia="zh-CN" w:bidi="ar-SA"/>
              </w:rPr>
              <w:t>卫生防护距离</w:t>
            </w:r>
          </w:p>
          <w:p w14:paraId="11ED0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仿宋" w:hAnsi="仿宋" w:eastAsia="仿宋" w:cs="仿宋"/>
                <w:b w:val="0"/>
                <w:bCs w:val="0"/>
                <w:color w:val="auto"/>
                <w:kern w:val="2"/>
                <w:sz w:val="24"/>
                <w:szCs w:val="22"/>
                <w:lang w:val="en-US" w:eastAsia="zh-CN" w:bidi="ar-SA"/>
              </w:rPr>
            </w:pPr>
            <w:r>
              <w:rPr>
                <w:rFonts w:hint="eastAsia" w:ascii="仿宋" w:hAnsi="仿宋" w:eastAsia="仿宋" w:cs="仿宋"/>
                <w:b w:val="0"/>
                <w:bCs w:val="0"/>
                <w:color w:val="auto"/>
                <w:kern w:val="2"/>
                <w:sz w:val="24"/>
                <w:szCs w:val="22"/>
                <w:lang w:val="en-US" w:eastAsia="zh-CN" w:bidi="ar-SA"/>
              </w:rPr>
              <w:t>根据《大气有害物质无组织排放卫生防护距离推导技术导则》（</w:t>
            </w:r>
            <w:r>
              <w:rPr>
                <w:rFonts w:hint="default" w:ascii="Times New Roman" w:hAnsi="Times New Roman" w:eastAsia="仿宋" w:cs="Times New Roman"/>
                <w:b w:val="0"/>
                <w:bCs w:val="0"/>
                <w:color w:val="auto"/>
                <w:kern w:val="2"/>
                <w:sz w:val="24"/>
                <w:szCs w:val="22"/>
                <w:lang w:val="en-US" w:eastAsia="zh-CN" w:bidi="ar-SA"/>
              </w:rPr>
              <w:t>GB/T39499-2020</w:t>
            </w:r>
            <w:r>
              <w:rPr>
                <w:rFonts w:hint="eastAsia" w:ascii="仿宋" w:hAnsi="仿宋" w:eastAsia="仿宋" w:cs="仿宋"/>
                <w:b w:val="0"/>
                <w:bCs w:val="0"/>
                <w:color w:val="auto"/>
                <w:kern w:val="2"/>
                <w:sz w:val="24"/>
                <w:szCs w:val="22"/>
                <w:lang w:val="en-US" w:eastAsia="zh-CN" w:bidi="ar-SA"/>
              </w:rPr>
              <w:t>），采用《制定地方大气污染物排放标准的技术方法》（</w:t>
            </w:r>
            <w:r>
              <w:rPr>
                <w:rFonts w:hint="default" w:ascii="Times New Roman" w:hAnsi="Times New Roman" w:eastAsia="仿宋" w:cs="Times New Roman"/>
                <w:b w:val="0"/>
                <w:bCs w:val="0"/>
                <w:color w:val="auto"/>
                <w:kern w:val="2"/>
                <w:sz w:val="24"/>
                <w:szCs w:val="22"/>
                <w:lang w:val="en-US" w:eastAsia="zh-CN" w:bidi="ar-SA"/>
              </w:rPr>
              <w:t>GB/T3840-91</w:t>
            </w:r>
            <w:r>
              <w:rPr>
                <w:rFonts w:hint="eastAsia" w:ascii="仿宋" w:hAnsi="仿宋" w:eastAsia="仿宋" w:cs="仿宋"/>
                <w:b w:val="0"/>
                <w:bCs w:val="0"/>
                <w:color w:val="auto"/>
                <w:kern w:val="2"/>
                <w:sz w:val="24"/>
                <w:szCs w:val="22"/>
                <w:lang w:val="en-US" w:eastAsia="zh-CN" w:bidi="ar-SA"/>
              </w:rPr>
              <w:t>）中计算方法，生产车间与居住区之间的卫生防护距离</w:t>
            </w:r>
            <w:r>
              <w:rPr>
                <w:rFonts w:hint="default" w:ascii="Times New Roman" w:hAnsi="Times New Roman" w:eastAsia="仿宋" w:cs="Times New Roman"/>
                <w:b w:val="0"/>
                <w:bCs w:val="0"/>
                <w:color w:val="auto"/>
                <w:kern w:val="2"/>
                <w:sz w:val="24"/>
                <w:szCs w:val="22"/>
                <w:lang w:val="en-US" w:eastAsia="zh-CN" w:bidi="ar-SA"/>
              </w:rPr>
              <w:t>L</w:t>
            </w:r>
            <w:r>
              <w:rPr>
                <w:rFonts w:hint="eastAsia" w:ascii="仿宋" w:hAnsi="仿宋" w:eastAsia="仿宋" w:cs="仿宋"/>
                <w:b w:val="0"/>
                <w:bCs w:val="0"/>
                <w:color w:val="auto"/>
                <w:kern w:val="2"/>
                <w:sz w:val="24"/>
                <w:szCs w:val="22"/>
                <w:lang w:val="en-US" w:eastAsia="zh-CN" w:bidi="ar-SA"/>
              </w:rPr>
              <w:t>按下式计算：</w:t>
            </w:r>
          </w:p>
          <w:p w14:paraId="1A248B2C">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480" w:lineRule="auto"/>
              <w:ind w:left="0" w:right="0"/>
              <w:jc w:val="center"/>
              <w:textAlignment w:val="auto"/>
              <w:rPr>
                <w:rFonts w:hint="default" w:eastAsia="仿宋"/>
                <w:color w:val="auto"/>
                <w:sz w:val="24"/>
              </w:rPr>
            </w:pPr>
            <w:r>
              <w:rPr>
                <w:rFonts w:hint="default" w:eastAsia="仿宋"/>
                <w:color w:val="auto"/>
                <w:position w:val="-30"/>
                <w:sz w:val="24"/>
              </w:rPr>
              <w:pict>
                <v:shape id="Object 2" o:spid="_x0000_s1026" o:spt="75" type="#_x0000_t75" style="position:absolute;left:0pt;margin-left:259.55pt;margin-top:0.15pt;height:30.85pt;width:120.45pt;z-index:-251655168;mso-width-relative:page;mso-height-relative:page;" o:ole="t" filled="f" o:preferrelative="t" stroked="f" coordsize="21600,21600">
                  <v:path/>
                  <v:fill on="f" focussize="0,0"/>
                  <v:stroke on="f"/>
                  <v:imagedata r:id="rId19" o:title=""/>
                  <o:lock v:ext="edit" aspectratio="t"/>
                </v:shape>
                <o:OLEObject Type="Embed" ProgID="" ShapeID="Object 2" DrawAspect="Content" ObjectID="_1468075725" r:id="rId18">
                  <o:LockedField>false</o:LockedField>
                </o:OLEObject>
              </w:pict>
            </w:r>
          </w:p>
          <w:p w14:paraId="5204434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eastAsia="仿宋"/>
                <w:bCs/>
                <w:color w:val="auto"/>
                <w:sz w:val="24"/>
              </w:rPr>
            </w:pPr>
            <w:r>
              <w:rPr>
                <w:rFonts w:hint="eastAsia" w:eastAsia="仿宋"/>
                <w:bCs/>
                <w:color w:val="auto"/>
                <w:sz w:val="24"/>
              </w:rPr>
              <w:t>式中：C</w:t>
            </w:r>
            <w:r>
              <w:rPr>
                <w:rFonts w:hint="eastAsia" w:eastAsia="仿宋"/>
                <w:bCs/>
                <w:color w:val="auto"/>
                <w:sz w:val="24"/>
                <w:vertAlign w:val="subscript"/>
              </w:rPr>
              <w:t>m</w:t>
            </w:r>
            <w:r>
              <w:rPr>
                <w:rFonts w:hint="eastAsia" w:eastAsia="仿宋"/>
                <w:bCs/>
                <w:color w:val="auto"/>
                <w:sz w:val="24"/>
              </w:rPr>
              <w:t>——标准浓度限值（mg/m</w:t>
            </w:r>
            <w:r>
              <w:rPr>
                <w:rFonts w:hint="eastAsia" w:eastAsia="仿宋"/>
                <w:bCs/>
                <w:color w:val="auto"/>
                <w:sz w:val="24"/>
                <w:vertAlign w:val="superscript"/>
              </w:rPr>
              <w:t>3</w:t>
            </w:r>
            <w:r>
              <w:rPr>
                <w:rFonts w:hint="eastAsia" w:eastAsia="仿宋"/>
                <w:bCs/>
                <w:color w:val="auto"/>
                <w:sz w:val="24"/>
              </w:rPr>
              <w:t>）；</w:t>
            </w:r>
          </w:p>
          <w:p w14:paraId="19B16102">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Qc——大气污染物可以达到的控制水平（kg/h）；</w:t>
            </w:r>
          </w:p>
          <w:p w14:paraId="3CAA569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A、B、C、D——卫生防护距离计算系数；</w:t>
            </w:r>
          </w:p>
          <w:p w14:paraId="1374D55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r——排放源所在生产单元的等效半径（m）；</w:t>
            </w:r>
          </w:p>
          <w:p w14:paraId="723751B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L——卫生防护距离（m）。</w:t>
            </w:r>
          </w:p>
          <w:p w14:paraId="030ED485">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仿宋" w:hAnsi="仿宋" w:eastAsia="仿宋" w:cs="仿宋"/>
                <w:b w:val="0"/>
                <w:bCs w:val="0"/>
                <w:color w:val="auto"/>
                <w:kern w:val="2"/>
                <w:sz w:val="24"/>
                <w:szCs w:val="22"/>
                <w:lang w:val="en-US" w:eastAsia="zh-CN" w:bidi="ar-SA"/>
              </w:rPr>
            </w:pPr>
            <w:r>
              <w:rPr>
                <w:rFonts w:hint="eastAsia" w:ascii="仿宋" w:hAnsi="仿宋" w:eastAsia="仿宋" w:cs="仿宋"/>
                <w:b w:val="0"/>
                <w:bCs w:val="0"/>
                <w:color w:val="auto"/>
                <w:kern w:val="2"/>
                <w:sz w:val="24"/>
                <w:szCs w:val="22"/>
                <w:lang w:val="en-US" w:eastAsia="zh-CN" w:bidi="ar-SA"/>
              </w:rPr>
              <w:t>按照无组织废气源强参数表，根据《制定地方大气污染物排放标准的技术方法》（</w:t>
            </w:r>
            <w:r>
              <w:rPr>
                <w:rFonts w:hint="default" w:ascii="Times New Roman" w:hAnsi="Times New Roman" w:eastAsia="仿宋" w:cs="Times New Roman"/>
                <w:b w:val="0"/>
                <w:bCs w:val="0"/>
                <w:color w:val="auto"/>
                <w:kern w:val="2"/>
                <w:sz w:val="24"/>
                <w:szCs w:val="22"/>
                <w:lang w:val="en-US" w:eastAsia="zh-CN" w:bidi="ar-SA"/>
              </w:rPr>
              <w:t>GB/T3840-91</w:t>
            </w:r>
            <w:r>
              <w:rPr>
                <w:rFonts w:hint="eastAsia" w:ascii="仿宋" w:hAnsi="仿宋" w:eastAsia="仿宋" w:cs="仿宋"/>
                <w:b w:val="0"/>
                <w:bCs w:val="0"/>
                <w:color w:val="auto"/>
                <w:kern w:val="2"/>
                <w:sz w:val="24"/>
                <w:szCs w:val="22"/>
                <w:lang w:val="en-US" w:eastAsia="zh-CN" w:bidi="ar-SA"/>
              </w:rPr>
              <w:t>）的有关规定计算卫生防护距离，各参数取值见下表。</w:t>
            </w:r>
          </w:p>
          <w:p w14:paraId="7B1D9988">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7E9CF7B0">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6D7274DD">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52BEC691">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278B7CF8">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23E8B471">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22FC147E">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22833712">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6A9EFAFE">
            <w:pPr>
              <w:pStyle w:val="2"/>
              <w:rPr>
                <w:rFonts w:hint="eastAsia"/>
              </w:rPr>
            </w:pPr>
          </w:p>
          <w:p w14:paraId="43D63208">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08B74B83">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22F32F1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2B81AFCF">
            <w:pPr>
              <w:pStyle w:val="2"/>
              <w:rPr>
                <w:rFonts w:hint="eastAsia"/>
              </w:rPr>
            </w:pPr>
          </w:p>
          <w:p w14:paraId="03B195C1">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77793B7E">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174F9024">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664542A0">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p>
          <w:p w14:paraId="5E394161">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eastAsia="仿宋"/>
                <w:b/>
                <w:bCs/>
                <w:color w:val="auto"/>
                <w:sz w:val="21"/>
                <w:szCs w:val="18"/>
              </w:rPr>
            </w:pPr>
          </w:p>
          <w:p w14:paraId="03D124EC">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r>
              <w:rPr>
                <w:rFonts w:hint="eastAsia" w:eastAsia="仿宋"/>
                <w:b/>
                <w:bCs/>
                <w:color w:val="auto"/>
                <w:sz w:val="21"/>
                <w:szCs w:val="18"/>
              </w:rPr>
              <w:t>表4-</w:t>
            </w:r>
            <w:r>
              <w:rPr>
                <w:rFonts w:hint="eastAsia"/>
                <w:b/>
                <w:bCs/>
                <w:color w:val="auto"/>
                <w:sz w:val="21"/>
                <w:szCs w:val="18"/>
                <w:lang w:val="en-US" w:eastAsia="zh-CN"/>
              </w:rPr>
              <w:t xml:space="preserve">10 </w:t>
            </w:r>
            <w:r>
              <w:rPr>
                <w:rFonts w:hint="eastAsia" w:eastAsia="仿宋"/>
                <w:b/>
                <w:bCs/>
                <w:color w:val="auto"/>
                <w:sz w:val="21"/>
                <w:szCs w:val="18"/>
              </w:rPr>
              <w:t xml:space="preserve"> 卫生防护距离计算系数</w:t>
            </w:r>
          </w:p>
          <w:tbl>
            <w:tblPr>
              <w:tblStyle w:val="2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2099"/>
              <w:gridCol w:w="988"/>
              <w:gridCol w:w="988"/>
              <w:gridCol w:w="988"/>
              <w:gridCol w:w="5"/>
              <w:gridCol w:w="983"/>
              <w:gridCol w:w="988"/>
              <w:gridCol w:w="988"/>
              <w:gridCol w:w="10"/>
              <w:gridCol w:w="975"/>
              <w:gridCol w:w="988"/>
              <w:gridCol w:w="1024"/>
            </w:tblGrid>
            <w:tr w14:paraId="0F771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pct"/>
                  <w:vMerge w:val="restart"/>
                  <w:noWrap w:val="0"/>
                  <w:vAlign w:val="center"/>
                </w:tcPr>
                <w:p w14:paraId="66903E4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eastAsia="zh-CN"/>
                    </w:rPr>
                  </w:pPr>
                  <w:r>
                    <w:rPr>
                      <w:rFonts w:hint="default" w:ascii="Times New Roman" w:hAnsi="Times New Roman" w:eastAsia="仿宋" w:cs="Times New Roman"/>
                      <w:b/>
                      <w:bCs/>
                      <w:color w:val="auto"/>
                      <w:sz w:val="21"/>
                      <w:szCs w:val="21"/>
                      <w:vertAlign w:val="baseline"/>
                      <w:lang w:eastAsia="zh-CN"/>
                    </w:rPr>
                    <w:t>卫生防护距离初值计算系数</w:t>
                  </w:r>
                </w:p>
              </w:tc>
              <w:tc>
                <w:tcPr>
                  <w:tcW w:w="835" w:type="pct"/>
                  <w:vMerge w:val="restart"/>
                  <w:noWrap w:val="0"/>
                  <w:vAlign w:val="center"/>
                </w:tcPr>
                <w:p w14:paraId="4B5C3B6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eastAsia="zh-CN"/>
                    </w:rPr>
                    <w:t>工业企业所在地区近</w:t>
                  </w:r>
                  <w:r>
                    <w:rPr>
                      <w:rFonts w:hint="default" w:ascii="Times New Roman" w:hAnsi="Times New Roman" w:eastAsia="仿宋" w:cs="Times New Roman"/>
                      <w:b/>
                      <w:bCs/>
                      <w:color w:val="auto"/>
                      <w:sz w:val="21"/>
                      <w:szCs w:val="21"/>
                      <w:vertAlign w:val="baseline"/>
                      <w:lang w:val="en-US" w:eastAsia="zh-CN"/>
                    </w:rPr>
                    <w:t>5年平均风速/（m/s）</w:t>
                  </w:r>
                </w:p>
              </w:tc>
              <w:tc>
                <w:tcPr>
                  <w:tcW w:w="3548" w:type="pct"/>
                  <w:gridSpan w:val="11"/>
                  <w:noWrap w:val="0"/>
                  <w:vAlign w:val="center"/>
                </w:tcPr>
                <w:p w14:paraId="6C2FA75A">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eastAsia="zh-CN"/>
                    </w:rPr>
                    <w:t>卫生防护距离</w:t>
                  </w:r>
                  <w:r>
                    <w:rPr>
                      <w:rFonts w:hint="default" w:ascii="Times New Roman" w:hAnsi="Times New Roman" w:eastAsia="仿宋" w:cs="Times New Roman"/>
                      <w:b/>
                      <w:bCs/>
                      <w:color w:val="auto"/>
                      <w:sz w:val="21"/>
                      <w:szCs w:val="21"/>
                      <w:vertAlign w:val="baseline"/>
                      <w:lang w:val="en-US" w:eastAsia="zh-CN"/>
                    </w:rPr>
                    <w:t>L/m</w:t>
                  </w:r>
                </w:p>
              </w:tc>
            </w:tr>
            <w:tr w14:paraId="3A0EE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14:paraId="74897AA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835" w:type="pct"/>
                  <w:vMerge w:val="continue"/>
                  <w:noWrap w:val="0"/>
                  <w:vAlign w:val="center"/>
                </w:tcPr>
                <w:p w14:paraId="0315305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1181" w:type="pct"/>
                  <w:gridSpan w:val="4"/>
                  <w:noWrap w:val="0"/>
                  <w:vAlign w:val="center"/>
                </w:tcPr>
                <w:p w14:paraId="23C7C8D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L≤1000</w:t>
                  </w:r>
                </w:p>
              </w:tc>
              <w:tc>
                <w:tcPr>
                  <w:tcW w:w="1181" w:type="pct"/>
                  <w:gridSpan w:val="4"/>
                  <w:noWrap w:val="0"/>
                  <w:vAlign w:val="center"/>
                </w:tcPr>
                <w:p w14:paraId="4580EB8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r>
                    <w:rPr>
                      <w:rFonts w:hint="default" w:ascii="Times New Roman" w:hAnsi="Times New Roman" w:eastAsia="仿宋" w:cs="Times New Roman"/>
                      <w:b/>
                      <w:bCs/>
                      <w:color w:val="auto"/>
                      <w:sz w:val="21"/>
                      <w:szCs w:val="21"/>
                      <w:vertAlign w:val="baseline"/>
                      <w:lang w:val="en-US" w:eastAsia="zh-CN"/>
                    </w:rPr>
                    <w:t>1000＜L≤2000</w:t>
                  </w:r>
                </w:p>
              </w:tc>
              <w:tc>
                <w:tcPr>
                  <w:tcW w:w="1184" w:type="pct"/>
                  <w:gridSpan w:val="3"/>
                  <w:noWrap w:val="0"/>
                  <w:vAlign w:val="center"/>
                </w:tcPr>
                <w:p w14:paraId="43CF0F5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L＞2000</w:t>
                  </w:r>
                </w:p>
              </w:tc>
            </w:tr>
            <w:tr w14:paraId="368A4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14:paraId="17751FA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835" w:type="pct"/>
                  <w:vMerge w:val="continue"/>
                  <w:noWrap w:val="0"/>
                  <w:vAlign w:val="center"/>
                </w:tcPr>
                <w:p w14:paraId="030DC74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3548" w:type="pct"/>
                  <w:gridSpan w:val="11"/>
                  <w:noWrap w:val="0"/>
                  <w:vAlign w:val="center"/>
                </w:tcPr>
                <w:p w14:paraId="0B14FFB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kern w:val="2"/>
                      <w:sz w:val="21"/>
                      <w:szCs w:val="21"/>
                      <w:vertAlign w:val="baseline"/>
                      <w:lang w:val="en-US" w:eastAsia="zh-CN" w:bidi="ar-SA"/>
                    </w:rPr>
                    <w:t>工业企业大气污染源构成类型</w:t>
                  </w:r>
                </w:p>
              </w:tc>
            </w:tr>
            <w:tr w14:paraId="14A89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14:paraId="4FD2DA7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835" w:type="pct"/>
                  <w:vMerge w:val="continue"/>
                  <w:noWrap w:val="0"/>
                  <w:vAlign w:val="center"/>
                </w:tcPr>
                <w:p w14:paraId="000E5BD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393" w:type="pct"/>
                  <w:noWrap w:val="0"/>
                  <w:vAlign w:val="center"/>
                </w:tcPr>
                <w:p w14:paraId="0785E57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Ⅰ</w:t>
                  </w:r>
                </w:p>
              </w:tc>
              <w:tc>
                <w:tcPr>
                  <w:tcW w:w="393" w:type="pct"/>
                  <w:noWrap w:val="0"/>
                  <w:vAlign w:val="center"/>
                </w:tcPr>
                <w:p w14:paraId="2A77516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Ⅱ</w:t>
                  </w:r>
                </w:p>
              </w:tc>
              <w:tc>
                <w:tcPr>
                  <w:tcW w:w="393" w:type="pct"/>
                  <w:noWrap w:val="0"/>
                  <w:vAlign w:val="center"/>
                </w:tcPr>
                <w:p w14:paraId="2109889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Ⅲ</w:t>
                  </w:r>
                </w:p>
              </w:tc>
              <w:tc>
                <w:tcPr>
                  <w:tcW w:w="393" w:type="pct"/>
                  <w:gridSpan w:val="2"/>
                  <w:noWrap w:val="0"/>
                  <w:vAlign w:val="center"/>
                </w:tcPr>
                <w:p w14:paraId="6A193D8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Ⅰ</w:t>
                  </w:r>
                </w:p>
              </w:tc>
              <w:tc>
                <w:tcPr>
                  <w:tcW w:w="393" w:type="pct"/>
                  <w:noWrap w:val="0"/>
                  <w:vAlign w:val="center"/>
                </w:tcPr>
                <w:p w14:paraId="04AF4CB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Ⅱ</w:t>
                  </w:r>
                </w:p>
              </w:tc>
              <w:tc>
                <w:tcPr>
                  <w:tcW w:w="393" w:type="pct"/>
                  <w:noWrap w:val="0"/>
                  <w:vAlign w:val="center"/>
                </w:tcPr>
                <w:p w14:paraId="3B45DC8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Ⅲ</w:t>
                  </w:r>
                </w:p>
              </w:tc>
              <w:tc>
                <w:tcPr>
                  <w:tcW w:w="392" w:type="pct"/>
                  <w:gridSpan w:val="2"/>
                  <w:noWrap w:val="0"/>
                  <w:vAlign w:val="center"/>
                </w:tcPr>
                <w:p w14:paraId="2453F54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Ⅰ</w:t>
                  </w:r>
                </w:p>
              </w:tc>
              <w:tc>
                <w:tcPr>
                  <w:tcW w:w="393" w:type="pct"/>
                  <w:noWrap w:val="0"/>
                  <w:vAlign w:val="center"/>
                </w:tcPr>
                <w:p w14:paraId="3C0B9FD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Ⅱ</w:t>
                  </w:r>
                </w:p>
              </w:tc>
              <w:tc>
                <w:tcPr>
                  <w:tcW w:w="403" w:type="pct"/>
                  <w:noWrap w:val="0"/>
                  <w:vAlign w:val="center"/>
                </w:tcPr>
                <w:p w14:paraId="5041FB7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Ⅲ</w:t>
                  </w:r>
                </w:p>
              </w:tc>
            </w:tr>
            <w:tr w14:paraId="6025D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1D6E25F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A</w:t>
                  </w:r>
                </w:p>
              </w:tc>
              <w:tc>
                <w:tcPr>
                  <w:tcW w:w="835" w:type="pct"/>
                  <w:noWrap w:val="0"/>
                  <w:vAlign w:val="center"/>
                </w:tcPr>
                <w:p w14:paraId="6182D7E9">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4B94240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2~4</w:t>
                  </w:r>
                </w:p>
                <w:p w14:paraId="36C0256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w:t>
                  </w:r>
                </w:p>
              </w:tc>
              <w:tc>
                <w:tcPr>
                  <w:tcW w:w="393" w:type="pct"/>
                  <w:noWrap w:val="0"/>
                  <w:vAlign w:val="center"/>
                </w:tcPr>
                <w:p w14:paraId="14B34FA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37162EA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700</w:t>
                  </w:r>
                </w:p>
                <w:p w14:paraId="5C29064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530</w:t>
                  </w:r>
                </w:p>
              </w:tc>
              <w:tc>
                <w:tcPr>
                  <w:tcW w:w="393" w:type="pct"/>
                  <w:noWrap w:val="0"/>
                  <w:vAlign w:val="center"/>
                </w:tcPr>
                <w:p w14:paraId="13784D8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7D797CF5">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470</w:t>
                  </w:r>
                </w:p>
                <w:p w14:paraId="57A1084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tc>
              <w:tc>
                <w:tcPr>
                  <w:tcW w:w="393" w:type="pct"/>
                  <w:noWrap w:val="0"/>
                  <w:vAlign w:val="center"/>
                </w:tcPr>
                <w:p w14:paraId="1A6E193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759FF48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p w14:paraId="0C112BB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260</w:t>
                  </w:r>
                </w:p>
              </w:tc>
              <w:tc>
                <w:tcPr>
                  <w:tcW w:w="393" w:type="pct"/>
                  <w:gridSpan w:val="2"/>
                  <w:noWrap w:val="0"/>
                  <w:vAlign w:val="center"/>
                </w:tcPr>
                <w:p w14:paraId="31C96AA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7AC41E2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700</w:t>
                  </w:r>
                </w:p>
                <w:p w14:paraId="0E03DE0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530</w:t>
                  </w:r>
                </w:p>
              </w:tc>
              <w:tc>
                <w:tcPr>
                  <w:tcW w:w="393" w:type="pct"/>
                  <w:noWrap w:val="0"/>
                  <w:vAlign w:val="center"/>
                </w:tcPr>
                <w:p w14:paraId="3D3D461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16EF987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470</w:t>
                  </w:r>
                </w:p>
                <w:p w14:paraId="5EC81CF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tc>
              <w:tc>
                <w:tcPr>
                  <w:tcW w:w="393" w:type="pct"/>
                  <w:noWrap w:val="0"/>
                  <w:vAlign w:val="center"/>
                </w:tcPr>
                <w:p w14:paraId="7142328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5271957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p w14:paraId="52ECB19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260</w:t>
                  </w:r>
                </w:p>
              </w:tc>
              <w:tc>
                <w:tcPr>
                  <w:tcW w:w="392" w:type="pct"/>
                  <w:gridSpan w:val="2"/>
                  <w:noWrap w:val="0"/>
                  <w:vAlign w:val="center"/>
                </w:tcPr>
                <w:p w14:paraId="4CFEDCE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14:paraId="7E021CF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380</w:t>
                  </w:r>
                </w:p>
                <w:p w14:paraId="72AB3A0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290</w:t>
                  </w:r>
                </w:p>
              </w:tc>
              <w:tc>
                <w:tcPr>
                  <w:tcW w:w="393" w:type="pct"/>
                  <w:noWrap w:val="0"/>
                  <w:vAlign w:val="center"/>
                </w:tcPr>
                <w:p w14:paraId="36AF64A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14:paraId="74EF2A4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250</w:t>
                  </w:r>
                </w:p>
                <w:p w14:paraId="4D5ACC4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190</w:t>
                  </w:r>
                </w:p>
              </w:tc>
              <w:tc>
                <w:tcPr>
                  <w:tcW w:w="403" w:type="pct"/>
                  <w:noWrap w:val="0"/>
                  <w:vAlign w:val="center"/>
                </w:tcPr>
                <w:p w14:paraId="11A2AD4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14:paraId="114D2BF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190</w:t>
                  </w:r>
                </w:p>
                <w:p w14:paraId="02B6330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110</w:t>
                  </w:r>
                </w:p>
              </w:tc>
            </w:tr>
            <w:tr w14:paraId="13A70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0D29040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B</w:t>
                  </w:r>
                </w:p>
              </w:tc>
              <w:tc>
                <w:tcPr>
                  <w:tcW w:w="835" w:type="pct"/>
                  <w:noWrap w:val="0"/>
                  <w:vAlign w:val="center"/>
                </w:tcPr>
                <w:p w14:paraId="12C36C2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74E3BF3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14:paraId="43FFBCE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w:t>
                  </w:r>
                </w:p>
                <w:p w14:paraId="74CAE69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0.021</w:t>
                  </w:r>
                </w:p>
              </w:tc>
              <w:tc>
                <w:tcPr>
                  <w:tcW w:w="1179" w:type="pct"/>
                  <w:gridSpan w:val="4"/>
                  <w:noWrap w:val="0"/>
                  <w:vAlign w:val="center"/>
                </w:tcPr>
                <w:p w14:paraId="46EFD56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0.015</w:t>
                  </w:r>
                </w:p>
                <w:p w14:paraId="50D711B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0.036</w:t>
                  </w:r>
                </w:p>
              </w:tc>
              <w:tc>
                <w:tcPr>
                  <w:tcW w:w="1189" w:type="pct"/>
                  <w:gridSpan w:val="4"/>
                  <w:noWrap w:val="0"/>
                  <w:vAlign w:val="center"/>
                </w:tcPr>
                <w:p w14:paraId="5863ADD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0.015</w:t>
                  </w:r>
                </w:p>
                <w:p w14:paraId="612F412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0.036</w:t>
                  </w:r>
                </w:p>
              </w:tc>
            </w:tr>
            <w:tr w14:paraId="5BB5C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404444A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C</w:t>
                  </w:r>
                </w:p>
              </w:tc>
              <w:tc>
                <w:tcPr>
                  <w:tcW w:w="835" w:type="pct"/>
                  <w:noWrap w:val="0"/>
                  <w:vAlign w:val="center"/>
                </w:tcPr>
                <w:p w14:paraId="192EF13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4EF56789">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14:paraId="444E913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1.85</w:t>
                  </w:r>
                </w:p>
                <w:p w14:paraId="6902B5B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1.85</w:t>
                  </w:r>
                </w:p>
              </w:tc>
              <w:tc>
                <w:tcPr>
                  <w:tcW w:w="1179" w:type="pct"/>
                  <w:gridSpan w:val="4"/>
                  <w:noWrap w:val="0"/>
                  <w:vAlign w:val="center"/>
                </w:tcPr>
                <w:p w14:paraId="3CA011F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1.79</w:t>
                  </w:r>
                </w:p>
                <w:p w14:paraId="0B1CB36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1.77</w:t>
                  </w:r>
                </w:p>
              </w:tc>
              <w:tc>
                <w:tcPr>
                  <w:tcW w:w="1189" w:type="pct"/>
                  <w:gridSpan w:val="4"/>
                  <w:noWrap w:val="0"/>
                  <w:vAlign w:val="center"/>
                </w:tcPr>
                <w:p w14:paraId="19E283B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1.79</w:t>
                  </w:r>
                </w:p>
                <w:p w14:paraId="7B1A96B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1.77</w:t>
                  </w:r>
                </w:p>
              </w:tc>
            </w:tr>
            <w:tr w14:paraId="0F302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622FE88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D</w:t>
                  </w:r>
                </w:p>
              </w:tc>
              <w:tc>
                <w:tcPr>
                  <w:tcW w:w="835" w:type="pct"/>
                  <w:noWrap w:val="0"/>
                  <w:vAlign w:val="center"/>
                </w:tcPr>
                <w:p w14:paraId="78075D2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53C91419">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14:paraId="1D43EA8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0.78</w:t>
                  </w:r>
                </w:p>
                <w:p w14:paraId="6CA1851A">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0.84</w:t>
                  </w:r>
                </w:p>
              </w:tc>
              <w:tc>
                <w:tcPr>
                  <w:tcW w:w="1179" w:type="pct"/>
                  <w:gridSpan w:val="4"/>
                  <w:noWrap w:val="0"/>
                  <w:vAlign w:val="center"/>
                </w:tcPr>
                <w:p w14:paraId="69D3595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0.78</w:t>
                  </w:r>
                </w:p>
                <w:p w14:paraId="1182AE9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0.84</w:t>
                  </w:r>
                </w:p>
              </w:tc>
              <w:tc>
                <w:tcPr>
                  <w:tcW w:w="1189" w:type="pct"/>
                  <w:gridSpan w:val="4"/>
                  <w:noWrap w:val="0"/>
                  <w:vAlign w:val="center"/>
                </w:tcPr>
                <w:p w14:paraId="541138A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0.57</w:t>
                  </w:r>
                </w:p>
                <w:p w14:paraId="0C8241E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0.76</w:t>
                  </w:r>
                </w:p>
              </w:tc>
            </w:tr>
            <w:tr w14:paraId="44130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3"/>
                  <w:noWrap w:val="0"/>
                  <w:vAlign w:val="center"/>
                </w:tcPr>
                <w:p w14:paraId="567292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注：I类：与无组织排放源共存的排放同种有害气体的排气筒的排放量，大于或等于标准规定的允许排放量的1/3者。</w:t>
                  </w:r>
                </w:p>
                <w:p w14:paraId="7F3434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Ⅱ类</w:t>
                  </w:r>
                  <w:r>
                    <w:rPr>
                      <w:rFonts w:hint="default" w:ascii="Times New Roman" w:hAnsi="Times New Roman" w:eastAsia="仿宋" w:cs="Times New Roman"/>
                      <w:b/>
                      <w:bCs/>
                      <w:color w:val="auto"/>
                      <w:sz w:val="21"/>
                      <w:szCs w:val="21"/>
                      <w:vertAlign w:val="baseline"/>
                      <w:lang w:val="en-US" w:eastAsia="zh-CN"/>
                    </w:rPr>
                    <w:t>：与无组织排放源共存的排放同种有害气体的排气筒的排放量，小于标准规定的允许排放量的1/3，或虽无排放同种大气污染物之排气筒共存，但无组织排放的有害物质的容许浓度指标是按急性反应指标确定者。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60129B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Ⅲ类：无排放同种有害物质的</w:t>
                  </w:r>
                  <w:r>
                    <w:rPr>
                      <w:rFonts w:hint="eastAsia" w:cs="Times New Roman"/>
                      <w:b/>
                      <w:bCs/>
                      <w:color w:val="auto"/>
                      <w:sz w:val="21"/>
                      <w:szCs w:val="21"/>
                      <w:vertAlign w:val="baseline"/>
                      <w:lang w:val="en-US" w:eastAsia="zh-CN"/>
                    </w:rPr>
                    <w:t>排气筒</w:t>
                  </w:r>
                  <w:r>
                    <w:rPr>
                      <w:rFonts w:hint="default" w:ascii="Times New Roman" w:hAnsi="Times New Roman" w:eastAsia="仿宋" w:cs="Times New Roman"/>
                      <w:b/>
                      <w:bCs/>
                      <w:color w:val="auto"/>
                      <w:sz w:val="21"/>
                      <w:szCs w:val="21"/>
                      <w:vertAlign w:val="baseline"/>
                      <w:lang w:val="en-US" w:eastAsia="zh-CN"/>
                    </w:rPr>
                    <w:t>与无组织排放源共存，但无组织排放的有害物质的容许浓度是按慢性反应指标确定者。</w:t>
                  </w:r>
                </w:p>
              </w:tc>
            </w:tr>
          </w:tbl>
          <w:p w14:paraId="15E54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仿宋" w:hAnsi="仿宋" w:eastAsia="仿宋" w:cs="仿宋"/>
                <w:b w:val="0"/>
                <w:bCs w:val="0"/>
                <w:color w:val="auto"/>
                <w:kern w:val="2"/>
                <w:sz w:val="24"/>
                <w:szCs w:val="22"/>
                <w:lang w:val="en-US" w:eastAsia="zh-CN" w:bidi="ar-SA"/>
              </w:rPr>
            </w:pPr>
            <w:r>
              <w:rPr>
                <w:rFonts w:hint="eastAsia" w:ascii="仿宋" w:hAnsi="仿宋" w:eastAsia="仿宋" w:cs="仿宋"/>
                <w:b w:val="0"/>
                <w:bCs w:val="0"/>
                <w:color w:val="auto"/>
                <w:kern w:val="2"/>
                <w:sz w:val="24"/>
                <w:szCs w:val="22"/>
                <w:lang w:val="en-US" w:eastAsia="zh-CN" w:bidi="ar-SA"/>
              </w:rPr>
              <w:t>根据《大气有害物质无组织排放卫生防护距离推导技术导则》</w:t>
            </w:r>
            <w:r>
              <w:rPr>
                <w:rFonts w:hint="eastAsia" w:ascii="仿宋" w:hAnsi="仿宋" w:cs="仿宋"/>
                <w:b w:val="0"/>
                <w:bCs w:val="0"/>
                <w:color w:val="auto"/>
                <w:kern w:val="2"/>
                <w:sz w:val="24"/>
                <w:szCs w:val="22"/>
                <w:lang w:val="en-US" w:eastAsia="zh-CN" w:bidi="ar-SA"/>
              </w:rPr>
              <w:t>（</w:t>
            </w:r>
            <w:r>
              <w:rPr>
                <w:rFonts w:hint="default" w:ascii="Times New Roman" w:hAnsi="Times New Roman" w:eastAsia="仿宋" w:cs="Times New Roman"/>
                <w:b w:val="0"/>
                <w:bCs w:val="0"/>
                <w:color w:val="auto"/>
                <w:kern w:val="2"/>
                <w:sz w:val="24"/>
                <w:szCs w:val="22"/>
                <w:lang w:val="en-US" w:eastAsia="zh-CN" w:bidi="ar-SA"/>
              </w:rPr>
              <w:t>GB/T39499-2020</w:t>
            </w:r>
            <w:r>
              <w:rPr>
                <w:rFonts w:hint="eastAsia" w:ascii="仿宋" w:hAnsi="仿宋" w:cs="仿宋"/>
                <w:b w:val="0"/>
                <w:bCs w:val="0"/>
                <w:color w:val="auto"/>
                <w:kern w:val="2"/>
                <w:sz w:val="24"/>
                <w:szCs w:val="22"/>
                <w:lang w:val="en-US" w:eastAsia="zh-CN" w:bidi="ar-SA"/>
              </w:rPr>
              <w:t>）</w:t>
            </w:r>
            <w:r>
              <w:rPr>
                <w:rFonts w:hint="eastAsia" w:ascii="仿宋" w:hAnsi="仿宋" w:eastAsia="仿宋" w:cs="仿宋"/>
                <w:b w:val="0"/>
                <w:bCs w:val="0"/>
                <w:color w:val="auto"/>
                <w:kern w:val="2"/>
                <w:sz w:val="24"/>
                <w:szCs w:val="22"/>
                <w:lang w:val="en-US" w:eastAsia="zh-CN" w:bidi="ar-SA"/>
              </w:rPr>
              <w:t>，卫生防护距离初值小于</w:t>
            </w:r>
            <w:r>
              <w:rPr>
                <w:rFonts w:hint="default" w:ascii="Times New Roman" w:hAnsi="Times New Roman" w:eastAsia="仿宋" w:cs="Times New Roman"/>
                <w:b w:val="0"/>
                <w:bCs w:val="0"/>
                <w:color w:val="auto"/>
                <w:kern w:val="2"/>
                <w:sz w:val="24"/>
                <w:szCs w:val="22"/>
                <w:lang w:val="en-US" w:eastAsia="zh-CN" w:bidi="ar-SA"/>
              </w:rPr>
              <w:t>50m</w:t>
            </w:r>
            <w:r>
              <w:rPr>
                <w:rFonts w:hint="eastAsia" w:ascii="仿宋" w:hAnsi="仿宋" w:eastAsia="仿宋" w:cs="仿宋"/>
                <w:b w:val="0"/>
                <w:bCs w:val="0"/>
                <w:color w:val="auto"/>
                <w:kern w:val="2"/>
                <w:sz w:val="24"/>
                <w:szCs w:val="22"/>
                <w:lang w:val="en-US" w:eastAsia="zh-CN" w:bidi="ar-SA"/>
              </w:rPr>
              <w:t>时，级差为</w:t>
            </w:r>
            <w:r>
              <w:rPr>
                <w:rFonts w:hint="default" w:ascii="Times New Roman" w:hAnsi="Times New Roman" w:eastAsia="仿宋" w:cs="Times New Roman"/>
                <w:b w:val="0"/>
                <w:bCs w:val="0"/>
                <w:color w:val="auto"/>
                <w:kern w:val="2"/>
                <w:sz w:val="24"/>
                <w:szCs w:val="22"/>
                <w:lang w:val="en-US" w:eastAsia="zh-CN" w:bidi="ar-SA"/>
              </w:rPr>
              <w:t>50m</w:t>
            </w:r>
            <w:r>
              <w:rPr>
                <w:rFonts w:hint="eastAsia" w:ascii="仿宋" w:hAnsi="仿宋" w:eastAsia="仿宋" w:cs="仿宋"/>
                <w:b w:val="0"/>
                <w:bCs w:val="0"/>
                <w:color w:val="auto"/>
                <w:kern w:val="2"/>
                <w:sz w:val="24"/>
                <w:szCs w:val="22"/>
                <w:lang w:val="en-US" w:eastAsia="zh-CN" w:bidi="ar-SA"/>
              </w:rPr>
              <w:t>；卫生防护距离初值大于或等于</w:t>
            </w:r>
            <w:r>
              <w:rPr>
                <w:rFonts w:hint="default" w:ascii="Times New Roman" w:hAnsi="Times New Roman" w:eastAsia="仿宋" w:cs="Times New Roman"/>
                <w:b w:val="0"/>
                <w:bCs w:val="0"/>
                <w:color w:val="auto"/>
                <w:kern w:val="2"/>
                <w:sz w:val="24"/>
                <w:szCs w:val="22"/>
                <w:lang w:val="en-US" w:eastAsia="zh-CN" w:bidi="ar-SA"/>
              </w:rPr>
              <w:t>50m，但小于100m时，级差为50m；卫生防护距离初值大于或等于100m，但小于1000m时，级差为100m；卫生防护距离初值大于或等于1000m，级差为200m。</w:t>
            </w:r>
            <w:r>
              <w:rPr>
                <w:rFonts w:hint="eastAsia" w:ascii="仿宋" w:hAnsi="仿宋" w:eastAsia="仿宋" w:cs="仿宋"/>
                <w:b w:val="0"/>
                <w:bCs w:val="0"/>
                <w:color w:val="auto"/>
                <w:kern w:val="2"/>
                <w:sz w:val="24"/>
                <w:szCs w:val="22"/>
                <w:lang w:val="en-US" w:eastAsia="zh-CN" w:bidi="ar-SA"/>
              </w:rPr>
              <w:t>当企业某生产单元无组织排放存在多种特征大气有害物质时，如果分别推导出的卫生防护距离初值在同一级别时，则该企业的卫生防护距离终值应提高一级；卫生防护距离初值不在统一级别的，以卫生防护距离终值较大者为准。</w:t>
            </w:r>
          </w:p>
          <w:p w14:paraId="1DBB5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eastAsia="仿宋"/>
                <w:bCs/>
                <w:color w:val="auto"/>
                <w:sz w:val="24"/>
              </w:rPr>
            </w:pPr>
            <w:r>
              <w:rPr>
                <w:rFonts w:hint="eastAsia" w:ascii="仿宋" w:hAnsi="仿宋" w:eastAsia="仿宋" w:cs="仿宋"/>
                <w:b w:val="0"/>
                <w:bCs w:val="0"/>
                <w:color w:val="auto"/>
                <w:kern w:val="2"/>
                <w:sz w:val="24"/>
                <w:szCs w:val="22"/>
                <w:lang w:val="en-US" w:eastAsia="zh-CN" w:bidi="ar-SA"/>
              </w:rPr>
              <w:t>经计算，本项目无组织排放废气的卫生防</w:t>
            </w:r>
            <w:r>
              <w:rPr>
                <w:rFonts w:hint="eastAsia" w:eastAsia="仿宋"/>
                <w:bCs/>
                <w:color w:val="auto"/>
                <w:sz w:val="24"/>
              </w:rPr>
              <w:t>护距离见下表。</w:t>
            </w:r>
          </w:p>
          <w:p w14:paraId="235CDD6A">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18"/>
              </w:rPr>
            </w:pPr>
          </w:p>
          <w:p w14:paraId="2F7DADC6">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18"/>
              </w:rPr>
            </w:pPr>
            <w:r>
              <w:rPr>
                <w:rFonts w:hint="default" w:ascii="Times New Roman" w:hAnsi="Times New Roman" w:eastAsia="仿宋" w:cs="Times New Roman"/>
                <w:b/>
                <w:bCs/>
                <w:color w:val="auto"/>
                <w:sz w:val="21"/>
                <w:szCs w:val="18"/>
              </w:rPr>
              <w:t>表</w:t>
            </w:r>
            <w:r>
              <w:rPr>
                <w:rFonts w:hint="default" w:ascii="Times New Roman" w:hAnsi="Times New Roman" w:eastAsia="仿宋" w:cs="Times New Roman"/>
                <w:b/>
                <w:bCs/>
                <w:color w:val="auto"/>
                <w:sz w:val="21"/>
                <w:szCs w:val="18"/>
                <w:lang w:val="en-US" w:eastAsia="zh-CN"/>
              </w:rPr>
              <w:t>4-</w:t>
            </w:r>
            <w:r>
              <w:rPr>
                <w:rFonts w:hint="eastAsia" w:cs="Times New Roman"/>
                <w:b/>
                <w:bCs/>
                <w:color w:val="auto"/>
                <w:sz w:val="21"/>
                <w:szCs w:val="18"/>
                <w:lang w:val="en-US" w:eastAsia="zh-CN"/>
              </w:rPr>
              <w:t>11</w:t>
            </w:r>
            <w:r>
              <w:rPr>
                <w:rFonts w:hint="default" w:ascii="Times New Roman" w:hAnsi="Times New Roman" w:eastAsia="仿宋" w:cs="Times New Roman"/>
                <w:b/>
                <w:bCs/>
                <w:color w:val="auto"/>
                <w:sz w:val="21"/>
                <w:szCs w:val="18"/>
              </w:rPr>
              <w:t xml:space="preserve">  卫生防护距离计算结果表</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2"/>
              <w:gridCol w:w="1176"/>
              <w:gridCol w:w="1490"/>
              <w:gridCol w:w="749"/>
              <w:gridCol w:w="1005"/>
              <w:gridCol w:w="839"/>
              <w:gridCol w:w="960"/>
              <w:gridCol w:w="1345"/>
              <w:gridCol w:w="1176"/>
              <w:gridCol w:w="1613"/>
              <w:gridCol w:w="1333"/>
            </w:tblGrid>
            <w:tr w14:paraId="1B091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47" w:type="pct"/>
                  <w:noWrap w:val="0"/>
                  <w:vAlign w:val="center"/>
                </w:tcPr>
                <w:p w14:paraId="07B3296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面源名称</w:t>
                  </w:r>
                </w:p>
              </w:tc>
              <w:tc>
                <w:tcPr>
                  <w:tcW w:w="468" w:type="pct"/>
                  <w:noWrap w:val="0"/>
                  <w:vAlign w:val="center"/>
                </w:tcPr>
                <w:p w14:paraId="3C8C88D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污染物名称</w:t>
                  </w:r>
                </w:p>
              </w:tc>
              <w:tc>
                <w:tcPr>
                  <w:tcW w:w="593" w:type="pct"/>
                  <w:noWrap w:val="0"/>
                  <w:vAlign w:val="center"/>
                </w:tcPr>
                <w:p w14:paraId="03178AA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平均风速</w:t>
                  </w: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m/s</w:t>
                  </w:r>
                  <w:r>
                    <w:rPr>
                      <w:rFonts w:hint="eastAsia" w:ascii="Times New Roman" w:hAnsi="Times New Roman" w:eastAsia="仿宋" w:cs="Times New Roman"/>
                      <w:b/>
                      <w:bCs/>
                      <w:color w:val="auto"/>
                      <w:sz w:val="21"/>
                      <w:szCs w:val="21"/>
                      <w:lang w:eastAsia="zh-CN"/>
                    </w:rPr>
                    <w:t>）</w:t>
                  </w:r>
                </w:p>
              </w:tc>
              <w:tc>
                <w:tcPr>
                  <w:tcW w:w="298" w:type="pct"/>
                  <w:noWrap w:val="0"/>
                  <w:vAlign w:val="center"/>
                </w:tcPr>
                <w:p w14:paraId="62A35E74">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A</w:t>
                  </w:r>
                </w:p>
              </w:tc>
              <w:tc>
                <w:tcPr>
                  <w:tcW w:w="400" w:type="pct"/>
                  <w:noWrap w:val="0"/>
                  <w:tcMar>
                    <w:top w:w="0" w:type="dxa"/>
                    <w:left w:w="15" w:type="dxa"/>
                    <w:bottom w:w="0" w:type="dxa"/>
                    <w:right w:w="15" w:type="dxa"/>
                  </w:tcMar>
                  <w:vAlign w:val="center"/>
                </w:tcPr>
                <w:p w14:paraId="4AB672CE">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B</w:t>
                  </w:r>
                </w:p>
              </w:tc>
              <w:tc>
                <w:tcPr>
                  <w:tcW w:w="334" w:type="pct"/>
                  <w:noWrap w:val="0"/>
                  <w:tcMar>
                    <w:top w:w="15" w:type="dxa"/>
                    <w:left w:w="15" w:type="dxa"/>
                    <w:bottom w:w="0" w:type="dxa"/>
                    <w:right w:w="15" w:type="dxa"/>
                  </w:tcMar>
                  <w:vAlign w:val="center"/>
                </w:tcPr>
                <w:p w14:paraId="76F44A9C">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C</w:t>
                  </w:r>
                </w:p>
              </w:tc>
              <w:tc>
                <w:tcPr>
                  <w:tcW w:w="382" w:type="pct"/>
                  <w:noWrap w:val="0"/>
                  <w:tcMar>
                    <w:top w:w="15" w:type="dxa"/>
                    <w:left w:w="15" w:type="dxa"/>
                    <w:bottom w:w="0" w:type="dxa"/>
                    <w:right w:w="15" w:type="dxa"/>
                  </w:tcMar>
                  <w:vAlign w:val="center"/>
                </w:tcPr>
                <w:p w14:paraId="1D633CAF">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D</w:t>
                  </w:r>
                </w:p>
              </w:tc>
              <w:tc>
                <w:tcPr>
                  <w:tcW w:w="535" w:type="pct"/>
                  <w:noWrap w:val="0"/>
                  <w:tcMar>
                    <w:top w:w="15" w:type="dxa"/>
                    <w:left w:w="15" w:type="dxa"/>
                    <w:bottom w:w="0" w:type="dxa"/>
                    <w:right w:w="15" w:type="dxa"/>
                  </w:tcMar>
                  <w:vAlign w:val="center"/>
                </w:tcPr>
                <w:p w14:paraId="446EC52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Cm</w:t>
                  </w:r>
                </w:p>
                <w:p w14:paraId="310C0BF5">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mg/Nm</w:t>
                  </w:r>
                  <w:r>
                    <w:rPr>
                      <w:rFonts w:hint="default" w:ascii="Times New Roman" w:hAnsi="Times New Roman" w:eastAsia="仿宋" w:cs="Times New Roman"/>
                      <w:b/>
                      <w:bCs/>
                      <w:color w:val="auto"/>
                      <w:sz w:val="21"/>
                      <w:szCs w:val="21"/>
                      <w:vertAlign w:val="superscript"/>
                    </w:rPr>
                    <w:t>3</w:t>
                  </w:r>
                  <w:r>
                    <w:rPr>
                      <w:rFonts w:hint="eastAsia" w:ascii="Times New Roman" w:hAnsi="Times New Roman" w:eastAsia="仿宋" w:cs="Times New Roman"/>
                      <w:b/>
                      <w:bCs/>
                      <w:color w:val="auto"/>
                      <w:sz w:val="21"/>
                      <w:szCs w:val="21"/>
                      <w:lang w:eastAsia="zh-CN"/>
                    </w:rPr>
                    <w:t>）</w:t>
                  </w:r>
                </w:p>
              </w:tc>
              <w:tc>
                <w:tcPr>
                  <w:tcW w:w="468" w:type="pct"/>
                  <w:noWrap w:val="0"/>
                  <w:tcMar>
                    <w:top w:w="15" w:type="dxa"/>
                    <w:left w:w="15" w:type="dxa"/>
                    <w:bottom w:w="0" w:type="dxa"/>
                    <w:right w:w="15" w:type="dxa"/>
                  </w:tcMar>
                  <w:vAlign w:val="center"/>
                </w:tcPr>
                <w:p w14:paraId="5BEA186E">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r</w:t>
                  </w:r>
                </w:p>
                <w:p w14:paraId="6E180AA2">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w:t>
                  </w:r>
                  <w:r>
                    <w:rPr>
                      <w:rFonts w:hint="eastAsia" w:ascii="Times New Roman" w:hAnsi="Times New Roman" w:eastAsia="仿宋" w:cs="Times New Roman"/>
                      <w:b/>
                      <w:bCs/>
                      <w:color w:val="auto"/>
                      <w:sz w:val="21"/>
                      <w:szCs w:val="21"/>
                      <w:lang w:eastAsia="zh-CN"/>
                    </w:rPr>
                    <w:t>）</w:t>
                  </w:r>
                </w:p>
              </w:tc>
              <w:tc>
                <w:tcPr>
                  <w:tcW w:w="642" w:type="pct"/>
                  <w:noWrap w:val="0"/>
                  <w:tcMar>
                    <w:top w:w="15" w:type="dxa"/>
                    <w:left w:w="15" w:type="dxa"/>
                    <w:bottom w:w="0" w:type="dxa"/>
                    <w:right w:w="15" w:type="dxa"/>
                  </w:tcMar>
                  <w:vAlign w:val="center"/>
                </w:tcPr>
                <w:p w14:paraId="7D3B136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Qc</w:t>
                  </w:r>
                </w:p>
                <w:p w14:paraId="047BEF31">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kg/h</w:t>
                  </w:r>
                  <w:r>
                    <w:rPr>
                      <w:rFonts w:hint="eastAsia" w:ascii="Times New Roman" w:hAnsi="Times New Roman" w:eastAsia="仿宋" w:cs="Times New Roman"/>
                      <w:b/>
                      <w:bCs/>
                      <w:color w:val="auto"/>
                      <w:sz w:val="21"/>
                      <w:szCs w:val="21"/>
                      <w:lang w:eastAsia="zh-CN"/>
                    </w:rPr>
                    <w:t>）</w:t>
                  </w:r>
                </w:p>
              </w:tc>
              <w:tc>
                <w:tcPr>
                  <w:tcW w:w="530" w:type="pct"/>
                  <w:noWrap w:val="0"/>
                  <w:tcMar>
                    <w:top w:w="15" w:type="dxa"/>
                    <w:left w:w="15" w:type="dxa"/>
                    <w:bottom w:w="0" w:type="dxa"/>
                    <w:right w:w="15" w:type="dxa"/>
                  </w:tcMar>
                  <w:vAlign w:val="center"/>
                </w:tcPr>
                <w:p w14:paraId="0D19711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L</w:t>
                  </w:r>
                </w:p>
                <w:p w14:paraId="1091570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w:t>
                  </w:r>
                  <w:r>
                    <w:rPr>
                      <w:rFonts w:hint="eastAsia" w:ascii="Times New Roman" w:hAnsi="Times New Roman" w:eastAsia="仿宋" w:cs="Times New Roman"/>
                      <w:b/>
                      <w:bCs/>
                      <w:color w:val="auto"/>
                      <w:sz w:val="21"/>
                      <w:szCs w:val="21"/>
                      <w:lang w:eastAsia="zh-CN"/>
                    </w:rPr>
                    <w:t>）</w:t>
                  </w:r>
                </w:p>
              </w:tc>
            </w:tr>
            <w:tr w14:paraId="73F23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47" w:type="pct"/>
                  <w:vMerge w:val="restart"/>
                  <w:noWrap w:val="0"/>
                  <w:vAlign w:val="center"/>
                </w:tcPr>
                <w:p w14:paraId="34A0977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生产车间</w:t>
                  </w:r>
                </w:p>
              </w:tc>
              <w:tc>
                <w:tcPr>
                  <w:tcW w:w="468" w:type="pct"/>
                  <w:noWrap w:val="0"/>
                  <w:vAlign w:val="center"/>
                </w:tcPr>
                <w:p w14:paraId="1476D87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highlight w:val="none"/>
                      <w:lang w:val="en-US" w:eastAsia="zh-CN"/>
                    </w:rPr>
                    <w:t>非甲烷总烃</w:t>
                  </w:r>
                </w:p>
              </w:tc>
              <w:tc>
                <w:tcPr>
                  <w:tcW w:w="593" w:type="pct"/>
                  <w:noWrap w:val="0"/>
                  <w:vAlign w:val="center"/>
                </w:tcPr>
                <w:p w14:paraId="3273F9A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.6</w:t>
                  </w:r>
                </w:p>
              </w:tc>
              <w:tc>
                <w:tcPr>
                  <w:tcW w:w="298" w:type="pct"/>
                  <w:noWrap w:val="0"/>
                  <w:vAlign w:val="center"/>
                </w:tcPr>
                <w:p w14:paraId="16C624F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470</w:t>
                  </w:r>
                </w:p>
              </w:tc>
              <w:tc>
                <w:tcPr>
                  <w:tcW w:w="400" w:type="pct"/>
                  <w:noWrap w:val="0"/>
                  <w:tcMar>
                    <w:top w:w="0" w:type="dxa"/>
                    <w:left w:w="15" w:type="dxa"/>
                    <w:bottom w:w="0" w:type="dxa"/>
                    <w:right w:w="15" w:type="dxa"/>
                  </w:tcMar>
                  <w:vAlign w:val="center"/>
                </w:tcPr>
                <w:p w14:paraId="6489825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0.021</w:t>
                  </w:r>
                </w:p>
              </w:tc>
              <w:tc>
                <w:tcPr>
                  <w:tcW w:w="334" w:type="pct"/>
                  <w:noWrap w:val="0"/>
                  <w:tcMar>
                    <w:top w:w="15" w:type="dxa"/>
                    <w:left w:w="15" w:type="dxa"/>
                    <w:bottom w:w="0" w:type="dxa"/>
                    <w:right w:w="15" w:type="dxa"/>
                  </w:tcMar>
                  <w:vAlign w:val="center"/>
                </w:tcPr>
                <w:p w14:paraId="17676DE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1.85</w:t>
                  </w:r>
                </w:p>
              </w:tc>
              <w:tc>
                <w:tcPr>
                  <w:tcW w:w="382" w:type="pct"/>
                  <w:noWrap w:val="0"/>
                  <w:tcMar>
                    <w:top w:w="15" w:type="dxa"/>
                    <w:left w:w="15" w:type="dxa"/>
                    <w:bottom w:w="0" w:type="dxa"/>
                    <w:right w:w="15" w:type="dxa"/>
                  </w:tcMar>
                  <w:vAlign w:val="center"/>
                </w:tcPr>
                <w:p w14:paraId="3AD6E00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0.84</w:t>
                  </w:r>
                </w:p>
              </w:tc>
              <w:tc>
                <w:tcPr>
                  <w:tcW w:w="535" w:type="pct"/>
                  <w:noWrap w:val="0"/>
                  <w:tcMar>
                    <w:top w:w="15" w:type="dxa"/>
                    <w:left w:w="15" w:type="dxa"/>
                    <w:bottom w:w="0" w:type="dxa"/>
                    <w:right w:w="15" w:type="dxa"/>
                  </w:tcMar>
                  <w:vAlign w:val="center"/>
                </w:tcPr>
                <w:p w14:paraId="5688EA8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w:t>
                  </w:r>
                </w:p>
              </w:tc>
              <w:tc>
                <w:tcPr>
                  <w:tcW w:w="468" w:type="pct"/>
                  <w:noWrap w:val="0"/>
                  <w:tcMar>
                    <w:top w:w="15" w:type="dxa"/>
                    <w:left w:w="15" w:type="dxa"/>
                    <w:bottom w:w="0" w:type="dxa"/>
                    <w:right w:w="15" w:type="dxa"/>
                  </w:tcMar>
                  <w:vAlign w:val="center"/>
                </w:tcPr>
                <w:p w14:paraId="6F1FACC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24.46</w:t>
                  </w:r>
                </w:p>
              </w:tc>
              <w:tc>
                <w:tcPr>
                  <w:tcW w:w="642" w:type="pct"/>
                  <w:noWrap w:val="0"/>
                  <w:tcMar>
                    <w:top w:w="15" w:type="dxa"/>
                    <w:left w:w="15" w:type="dxa"/>
                    <w:bottom w:w="0" w:type="dxa"/>
                    <w:right w:w="15" w:type="dxa"/>
                  </w:tcMar>
                  <w:vAlign w:val="center"/>
                </w:tcPr>
                <w:p w14:paraId="7BA37B8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0.005</w:t>
                  </w:r>
                </w:p>
              </w:tc>
              <w:tc>
                <w:tcPr>
                  <w:tcW w:w="530" w:type="pct"/>
                  <w:noWrap w:val="0"/>
                  <w:tcMar>
                    <w:top w:w="15" w:type="dxa"/>
                    <w:left w:w="15" w:type="dxa"/>
                    <w:bottom w:w="0" w:type="dxa"/>
                    <w:right w:w="15" w:type="dxa"/>
                  </w:tcMar>
                  <w:vAlign w:val="center"/>
                </w:tcPr>
                <w:p w14:paraId="0DEDE93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2.48</w:t>
                  </w:r>
                </w:p>
              </w:tc>
            </w:tr>
            <w:tr w14:paraId="0FCA0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47" w:type="pct"/>
                  <w:vMerge w:val="continue"/>
                  <w:noWrap w:val="0"/>
                  <w:vAlign w:val="center"/>
                </w:tcPr>
                <w:p w14:paraId="41E12003">
                  <w:pPr>
                    <w:keepNext w:val="0"/>
                    <w:keepLines w:val="0"/>
                    <w:suppressLineNumbers w:val="0"/>
                    <w:spacing w:before="0" w:beforeAutospacing="0" w:after="0" w:afterAutospacing="0" w:line="240" w:lineRule="auto"/>
                    <w:ind w:left="0" w:right="0"/>
                    <w:jc w:val="center"/>
                    <w:rPr>
                      <w:rFonts w:hint="eastAsia" w:cs="Times New Roman"/>
                      <w:color w:val="auto"/>
                      <w:sz w:val="21"/>
                      <w:szCs w:val="21"/>
                      <w:lang w:val="en-US" w:eastAsia="zh-CN"/>
                    </w:rPr>
                  </w:pPr>
                </w:p>
              </w:tc>
              <w:tc>
                <w:tcPr>
                  <w:tcW w:w="468" w:type="pct"/>
                  <w:noWrap w:val="0"/>
                  <w:vAlign w:val="center"/>
                </w:tcPr>
                <w:p w14:paraId="2419E71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593" w:type="pct"/>
                  <w:shd w:val="clear" w:color="auto" w:fill="auto"/>
                  <w:noWrap w:val="0"/>
                  <w:vAlign w:val="center"/>
                </w:tcPr>
                <w:p w14:paraId="18EE97E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.6</w:t>
                  </w:r>
                </w:p>
              </w:tc>
              <w:tc>
                <w:tcPr>
                  <w:tcW w:w="298" w:type="pct"/>
                  <w:shd w:val="clear" w:color="auto" w:fill="auto"/>
                  <w:noWrap w:val="0"/>
                  <w:vAlign w:val="center"/>
                </w:tcPr>
                <w:p w14:paraId="463BC49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470</w:t>
                  </w:r>
                </w:p>
              </w:tc>
              <w:tc>
                <w:tcPr>
                  <w:tcW w:w="400" w:type="pct"/>
                  <w:shd w:val="clear" w:color="auto" w:fill="auto"/>
                  <w:noWrap w:val="0"/>
                  <w:tcMar>
                    <w:top w:w="0" w:type="dxa"/>
                    <w:left w:w="15" w:type="dxa"/>
                    <w:bottom w:w="0" w:type="dxa"/>
                    <w:right w:w="15" w:type="dxa"/>
                  </w:tcMar>
                  <w:vAlign w:val="center"/>
                </w:tcPr>
                <w:p w14:paraId="1A9483B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0.021</w:t>
                  </w:r>
                </w:p>
              </w:tc>
              <w:tc>
                <w:tcPr>
                  <w:tcW w:w="334" w:type="pct"/>
                  <w:shd w:val="clear" w:color="auto" w:fill="auto"/>
                  <w:noWrap w:val="0"/>
                  <w:tcMar>
                    <w:top w:w="15" w:type="dxa"/>
                    <w:left w:w="15" w:type="dxa"/>
                    <w:bottom w:w="0" w:type="dxa"/>
                    <w:right w:w="15" w:type="dxa"/>
                  </w:tcMar>
                  <w:vAlign w:val="center"/>
                </w:tcPr>
                <w:p w14:paraId="3F65CA2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1.85</w:t>
                  </w:r>
                </w:p>
              </w:tc>
              <w:tc>
                <w:tcPr>
                  <w:tcW w:w="382" w:type="pct"/>
                  <w:shd w:val="clear" w:color="auto" w:fill="auto"/>
                  <w:noWrap w:val="0"/>
                  <w:tcMar>
                    <w:top w:w="15" w:type="dxa"/>
                    <w:left w:w="15" w:type="dxa"/>
                    <w:bottom w:w="0" w:type="dxa"/>
                    <w:right w:w="15" w:type="dxa"/>
                  </w:tcMar>
                  <w:vAlign w:val="center"/>
                </w:tcPr>
                <w:p w14:paraId="443C6F9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0.84</w:t>
                  </w:r>
                </w:p>
              </w:tc>
              <w:tc>
                <w:tcPr>
                  <w:tcW w:w="535" w:type="pct"/>
                  <w:noWrap w:val="0"/>
                  <w:tcMar>
                    <w:top w:w="15" w:type="dxa"/>
                    <w:left w:w="15" w:type="dxa"/>
                    <w:bottom w:w="0" w:type="dxa"/>
                    <w:right w:w="15" w:type="dxa"/>
                  </w:tcMar>
                  <w:vAlign w:val="center"/>
                </w:tcPr>
                <w:p w14:paraId="4567AB1B">
                  <w:pPr>
                    <w:keepNext w:val="0"/>
                    <w:keepLines w:val="0"/>
                    <w:suppressLineNumbers w:val="0"/>
                    <w:spacing w:before="0" w:beforeAutospacing="0" w:after="0" w:afterAutospacing="0" w:line="240" w:lineRule="auto"/>
                    <w:ind w:left="0" w:right="0"/>
                    <w:jc w:val="center"/>
                    <w:rPr>
                      <w:rFonts w:hint="default" w:eastAsia="仿宋" w:cs="Times New Roman"/>
                      <w:color w:val="auto"/>
                      <w:sz w:val="21"/>
                      <w:szCs w:val="21"/>
                      <w:lang w:val="en-US" w:eastAsia="zh-CN"/>
                    </w:rPr>
                  </w:pPr>
                  <w:r>
                    <w:rPr>
                      <w:rFonts w:hint="eastAsia" w:cs="Times New Roman"/>
                      <w:color w:val="auto"/>
                      <w:sz w:val="21"/>
                      <w:szCs w:val="21"/>
                      <w:lang w:val="en-US" w:eastAsia="zh-CN"/>
                    </w:rPr>
                    <w:t>0.9</w:t>
                  </w:r>
                </w:p>
              </w:tc>
              <w:tc>
                <w:tcPr>
                  <w:tcW w:w="468" w:type="pct"/>
                  <w:noWrap w:val="0"/>
                  <w:tcMar>
                    <w:top w:w="15" w:type="dxa"/>
                    <w:left w:w="15" w:type="dxa"/>
                    <w:bottom w:w="0" w:type="dxa"/>
                    <w:right w:w="15" w:type="dxa"/>
                  </w:tcMar>
                  <w:vAlign w:val="center"/>
                </w:tcPr>
                <w:p w14:paraId="1CF6E2F5">
                  <w:pPr>
                    <w:keepNext w:val="0"/>
                    <w:keepLines w:val="0"/>
                    <w:suppressLineNumbers w:val="0"/>
                    <w:spacing w:before="0" w:beforeAutospacing="0" w:after="0" w:afterAutospacing="0" w:line="240" w:lineRule="auto"/>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24.46</w:t>
                  </w:r>
                </w:p>
              </w:tc>
              <w:tc>
                <w:tcPr>
                  <w:tcW w:w="642" w:type="pct"/>
                  <w:noWrap w:val="0"/>
                  <w:tcMar>
                    <w:top w:w="15" w:type="dxa"/>
                    <w:left w:w="15" w:type="dxa"/>
                    <w:bottom w:w="0" w:type="dxa"/>
                    <w:right w:w="15" w:type="dxa"/>
                  </w:tcMar>
                  <w:vAlign w:val="center"/>
                </w:tcPr>
                <w:p w14:paraId="40F593F4">
                  <w:pPr>
                    <w:keepNext w:val="0"/>
                    <w:keepLines w:val="0"/>
                    <w:suppressLineNumbers w:val="0"/>
                    <w:spacing w:before="0" w:beforeAutospacing="0" w:after="0" w:afterAutospacing="0" w:line="240" w:lineRule="auto"/>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0.053</w:t>
                  </w:r>
                </w:p>
              </w:tc>
              <w:tc>
                <w:tcPr>
                  <w:tcW w:w="530" w:type="pct"/>
                  <w:noWrap w:val="0"/>
                  <w:tcMar>
                    <w:top w:w="15" w:type="dxa"/>
                    <w:left w:w="15" w:type="dxa"/>
                    <w:bottom w:w="0" w:type="dxa"/>
                    <w:right w:w="15" w:type="dxa"/>
                  </w:tcMar>
                  <w:vAlign w:val="center"/>
                </w:tcPr>
                <w:p w14:paraId="412AEDCE">
                  <w:pPr>
                    <w:keepNext w:val="0"/>
                    <w:keepLines w:val="0"/>
                    <w:suppressLineNumbers w:val="0"/>
                    <w:spacing w:before="0" w:beforeAutospacing="0" w:after="0" w:afterAutospacing="0" w:line="240" w:lineRule="auto"/>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2.48</w:t>
                  </w:r>
                </w:p>
              </w:tc>
            </w:tr>
          </w:tbl>
          <w:p w14:paraId="2DD48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由上表可知，确定本项目卫生防护距离是以</w:t>
            </w:r>
            <w:r>
              <w:rPr>
                <w:rFonts w:hint="eastAsia" w:cs="Times New Roman"/>
                <w:color w:val="auto"/>
                <w:sz w:val="24"/>
                <w:szCs w:val="24"/>
                <w:lang w:val="en-US" w:eastAsia="zh-CN"/>
              </w:rPr>
              <w:t>生产车间</w:t>
            </w:r>
            <w:r>
              <w:rPr>
                <w:rFonts w:hint="eastAsia" w:ascii="Times New Roman" w:hAnsi="Times New Roman" w:eastAsia="仿宋" w:cs="Times New Roman"/>
                <w:color w:val="auto"/>
                <w:sz w:val="24"/>
                <w:szCs w:val="24"/>
                <w:lang w:val="en-US" w:eastAsia="zh-CN"/>
              </w:rPr>
              <w:t>边界外扩</w:t>
            </w:r>
            <w:r>
              <w:rPr>
                <w:rFonts w:hint="eastAsia" w:cs="Times New Roman"/>
                <w:color w:val="auto"/>
                <w:sz w:val="24"/>
                <w:szCs w:val="24"/>
                <w:lang w:val="en-US" w:eastAsia="zh-CN"/>
              </w:rPr>
              <w:t>100</w:t>
            </w:r>
            <w:r>
              <w:rPr>
                <w:rFonts w:hint="eastAsia" w:ascii="Times New Roman" w:hAnsi="Times New Roman" w:eastAsia="仿宋" w:cs="Times New Roman"/>
                <w:color w:val="auto"/>
                <w:sz w:val="24"/>
                <w:szCs w:val="24"/>
                <w:lang w:val="en-US" w:eastAsia="zh-CN"/>
              </w:rPr>
              <w:t>m形成的包络区域，本项目卫生防护距离范围内无环境敏感点，符合卫生防护距离要求。该范围内将来不允许建设居民、学校、医院等环境保护目标项目。</w:t>
            </w:r>
          </w:p>
          <w:p w14:paraId="5420AA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2"/>
                <w:sz w:val="24"/>
                <w:szCs w:val="22"/>
                <w:lang w:val="en-US" w:eastAsia="zh-CN" w:bidi="ar-SA"/>
              </w:rPr>
            </w:pPr>
            <w:r>
              <w:rPr>
                <w:rFonts w:hint="eastAsia" w:ascii="Times New Roman" w:hAnsi="Times New Roman" w:cs="Times New Roman"/>
                <w:b/>
                <w:bCs/>
                <w:color w:val="auto"/>
                <w:kern w:val="2"/>
                <w:sz w:val="24"/>
                <w:szCs w:val="22"/>
                <w:lang w:val="en-US" w:eastAsia="zh-CN" w:bidi="ar-SA"/>
              </w:rPr>
              <w:t>1.</w:t>
            </w:r>
            <w:r>
              <w:rPr>
                <w:rFonts w:hint="eastAsia" w:cs="Times New Roman"/>
                <w:b/>
                <w:bCs/>
                <w:color w:val="auto"/>
                <w:kern w:val="2"/>
                <w:sz w:val="24"/>
                <w:szCs w:val="22"/>
                <w:lang w:val="en-US" w:eastAsia="zh-CN" w:bidi="ar-SA"/>
              </w:rPr>
              <w:t>5</w:t>
            </w:r>
            <w:r>
              <w:rPr>
                <w:rFonts w:hint="default" w:ascii="Times New Roman" w:hAnsi="Times New Roman" w:cs="Times New Roman"/>
                <w:b/>
                <w:bCs/>
                <w:color w:val="auto"/>
                <w:kern w:val="2"/>
                <w:sz w:val="24"/>
                <w:szCs w:val="22"/>
                <w:lang w:val="en-US" w:eastAsia="zh-CN" w:bidi="ar-SA"/>
              </w:rPr>
              <w:t>废气监测计划</w:t>
            </w:r>
          </w:p>
          <w:p w14:paraId="6FC84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参照《排污单位自行监测技术指南 总则》（HJ819-2017）、</w:t>
            </w:r>
            <w:r>
              <w:rPr>
                <w:rFonts w:hint="default" w:ascii="Times New Roman" w:hAnsi="Times New Roman" w:eastAsia="仿宋" w:cs="Times New Roman"/>
                <w:color w:val="auto"/>
                <w:sz w:val="24"/>
                <w:szCs w:val="24"/>
                <w:lang w:val="en-US" w:eastAsia="zh-CN"/>
              </w:rPr>
              <w:t>《排污单位自行监测技术指南 金属铸造工业》（HJ 1251-2022）</w:t>
            </w:r>
            <w:r>
              <w:rPr>
                <w:rFonts w:hint="eastAsia" w:ascii="Times New Roman" w:hAnsi="Times New Roman" w:eastAsia="仿宋" w:cs="Times New Roman"/>
                <w:color w:val="auto"/>
                <w:sz w:val="24"/>
                <w:szCs w:val="24"/>
                <w:lang w:val="en-US" w:eastAsia="zh-CN"/>
              </w:rPr>
              <w:t>等相关文件要求</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本项目废气监测</w:t>
            </w:r>
            <w:r>
              <w:rPr>
                <w:rFonts w:hint="default" w:ascii="Times New Roman" w:hAnsi="Times New Roman" w:eastAsia="仿宋" w:cs="Times New Roman"/>
                <w:color w:val="auto"/>
                <w:sz w:val="24"/>
                <w:szCs w:val="24"/>
                <w:lang w:val="en-US" w:eastAsia="zh-CN"/>
              </w:rPr>
              <w:t>具体见下表。</w:t>
            </w:r>
          </w:p>
          <w:p w14:paraId="70AC807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0"/>
              </w:rPr>
            </w:pPr>
            <w:r>
              <w:rPr>
                <w:rFonts w:hint="default" w:ascii="Times New Roman" w:hAnsi="Times New Roman" w:eastAsia="仿宋" w:cs="Times New Roman"/>
                <w:b/>
                <w:bCs/>
                <w:color w:val="auto"/>
                <w:sz w:val="21"/>
                <w:szCs w:val="20"/>
              </w:rPr>
              <w:t>表</w:t>
            </w:r>
            <w:r>
              <w:rPr>
                <w:rFonts w:hint="default" w:ascii="Times New Roman" w:hAnsi="Times New Roman" w:eastAsia="仿宋" w:cs="Times New Roman"/>
                <w:b/>
                <w:bCs/>
                <w:color w:val="auto"/>
                <w:sz w:val="21"/>
                <w:szCs w:val="20"/>
                <w:lang w:val="en-US" w:eastAsia="zh-CN"/>
              </w:rPr>
              <w:t>4-</w:t>
            </w:r>
            <w:r>
              <w:rPr>
                <w:rFonts w:hint="eastAsia" w:cs="Times New Roman"/>
                <w:b/>
                <w:bCs/>
                <w:color w:val="auto"/>
                <w:sz w:val="21"/>
                <w:szCs w:val="20"/>
                <w:lang w:val="en-US" w:eastAsia="zh-CN"/>
              </w:rPr>
              <w:t>12</w:t>
            </w:r>
            <w:r>
              <w:rPr>
                <w:rFonts w:hint="default" w:ascii="Times New Roman" w:hAnsi="Times New Roman" w:eastAsia="仿宋" w:cs="Times New Roman"/>
                <w:b/>
                <w:bCs/>
                <w:color w:val="auto"/>
                <w:sz w:val="21"/>
                <w:szCs w:val="20"/>
                <w:lang w:val="en-US" w:eastAsia="zh-CN"/>
              </w:rPr>
              <w:t xml:space="preserve">  </w:t>
            </w:r>
            <w:r>
              <w:rPr>
                <w:rFonts w:hint="default" w:ascii="Times New Roman" w:hAnsi="Times New Roman" w:eastAsia="仿宋" w:cs="Times New Roman"/>
                <w:b/>
                <w:bCs/>
                <w:color w:val="auto"/>
                <w:sz w:val="21"/>
                <w:szCs w:val="20"/>
                <w:lang w:eastAsia="zh-CN"/>
              </w:rPr>
              <w:t>废气</w:t>
            </w:r>
            <w:r>
              <w:rPr>
                <w:rFonts w:hint="default" w:ascii="Times New Roman" w:hAnsi="Times New Roman" w:eastAsia="仿宋" w:cs="Times New Roman"/>
                <w:b/>
                <w:bCs/>
                <w:color w:val="auto"/>
                <w:sz w:val="21"/>
                <w:szCs w:val="20"/>
              </w:rPr>
              <w:t>监测计划表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774"/>
              <w:gridCol w:w="1124"/>
              <w:gridCol w:w="2069"/>
              <w:gridCol w:w="1770"/>
              <w:gridCol w:w="6826"/>
            </w:tblGrid>
            <w:tr w14:paraId="6CC27C2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08" w:type="pct"/>
                  <w:noWrap w:val="0"/>
                  <w:vAlign w:val="center"/>
                </w:tcPr>
                <w:p w14:paraId="30A23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类别</w:t>
                  </w:r>
                </w:p>
              </w:tc>
              <w:tc>
                <w:tcPr>
                  <w:tcW w:w="447" w:type="pct"/>
                  <w:noWrap w:val="0"/>
                  <w:vAlign w:val="center"/>
                </w:tcPr>
                <w:p w14:paraId="558A3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监测点位</w:t>
                  </w:r>
                </w:p>
              </w:tc>
              <w:tc>
                <w:tcPr>
                  <w:tcW w:w="823" w:type="pct"/>
                  <w:noWrap w:val="0"/>
                  <w:vAlign w:val="center"/>
                </w:tcPr>
                <w:p w14:paraId="008C3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监测因子</w:t>
                  </w:r>
                </w:p>
              </w:tc>
              <w:tc>
                <w:tcPr>
                  <w:tcW w:w="704" w:type="pct"/>
                  <w:noWrap w:val="0"/>
                  <w:vAlign w:val="center"/>
                </w:tcPr>
                <w:p w14:paraId="62480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rPr>
                    <w:t>监测</w:t>
                  </w:r>
                  <w:r>
                    <w:rPr>
                      <w:rFonts w:hint="eastAsia" w:ascii="Times New Roman" w:hAnsi="Times New Roman" w:cs="Times New Roman"/>
                      <w:b/>
                      <w:bCs/>
                      <w:color w:val="auto"/>
                      <w:sz w:val="21"/>
                      <w:szCs w:val="21"/>
                      <w:highlight w:val="none"/>
                      <w:lang w:val="en-US" w:eastAsia="zh-CN"/>
                    </w:rPr>
                    <w:t>频次</w:t>
                  </w:r>
                </w:p>
              </w:tc>
              <w:tc>
                <w:tcPr>
                  <w:tcW w:w="2715" w:type="pct"/>
                  <w:noWrap w:val="0"/>
                  <w:vAlign w:val="center"/>
                </w:tcPr>
                <w:p w14:paraId="42482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执行标准</w:t>
                  </w:r>
                </w:p>
              </w:tc>
            </w:tr>
            <w:tr w14:paraId="2ADE26B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59" w:hRule="atLeast"/>
                <w:jc w:val="center"/>
              </w:trPr>
              <w:tc>
                <w:tcPr>
                  <w:tcW w:w="308" w:type="pct"/>
                  <w:vMerge w:val="restart"/>
                  <w:noWrap w:val="0"/>
                  <w:vAlign w:val="center"/>
                </w:tcPr>
                <w:p w14:paraId="52FB1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废气</w:t>
                  </w:r>
                </w:p>
              </w:tc>
              <w:tc>
                <w:tcPr>
                  <w:tcW w:w="447" w:type="pct"/>
                  <w:vMerge w:val="restart"/>
                  <w:noWrap w:val="0"/>
                  <w:vAlign w:val="center"/>
                </w:tcPr>
                <w:p w14:paraId="5077CBC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lang w:val="en-US" w:eastAsia="zh-CN"/>
                    </w:rPr>
                    <w:t>1#排气筒</w:t>
                  </w:r>
                </w:p>
              </w:tc>
              <w:tc>
                <w:tcPr>
                  <w:tcW w:w="823" w:type="pct"/>
                  <w:noWrap w:val="0"/>
                  <w:vAlign w:val="center"/>
                </w:tcPr>
                <w:p w14:paraId="1CBF7CD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704" w:type="pct"/>
                  <w:noWrap w:val="0"/>
                  <w:vAlign w:val="center"/>
                </w:tcPr>
                <w:p w14:paraId="606177D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1次/</w:t>
                  </w:r>
                  <w:r>
                    <w:rPr>
                      <w:rFonts w:hint="eastAsia" w:cs="Times New Roman"/>
                      <w:color w:val="auto"/>
                      <w:sz w:val="21"/>
                      <w:szCs w:val="21"/>
                      <w:lang w:val="en-US" w:eastAsia="zh-CN"/>
                    </w:rPr>
                    <w:t>半</w:t>
                  </w:r>
                  <w:r>
                    <w:rPr>
                      <w:rFonts w:hint="eastAsia" w:ascii="Times New Roman" w:hAnsi="Times New Roman" w:eastAsia="仿宋" w:cs="Times New Roman"/>
                      <w:color w:val="auto"/>
                      <w:sz w:val="21"/>
                      <w:szCs w:val="21"/>
                      <w:lang w:val="en-US" w:eastAsia="zh-CN"/>
                    </w:rPr>
                    <w:t>年</w:t>
                  </w:r>
                </w:p>
              </w:tc>
              <w:tc>
                <w:tcPr>
                  <w:tcW w:w="2715" w:type="pct"/>
                  <w:noWrap w:val="0"/>
                  <w:vAlign w:val="center"/>
                </w:tcPr>
                <w:p w14:paraId="0401691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《大气污染物综合排放标准》（DB32/4041-2021）表1</w:t>
                  </w:r>
                </w:p>
              </w:tc>
            </w:tr>
            <w:tr w14:paraId="729A105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08" w:type="pct"/>
                  <w:vMerge w:val="continue"/>
                  <w:noWrap w:val="0"/>
                  <w:vAlign w:val="center"/>
                </w:tcPr>
                <w:p w14:paraId="47055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447" w:type="pct"/>
                  <w:vMerge w:val="continue"/>
                  <w:noWrap w:val="0"/>
                  <w:vAlign w:val="center"/>
                </w:tcPr>
                <w:p w14:paraId="558AB66C">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lang w:val="en-US" w:eastAsia="zh-CN"/>
                    </w:rPr>
                  </w:pPr>
                </w:p>
              </w:tc>
              <w:tc>
                <w:tcPr>
                  <w:tcW w:w="823" w:type="pct"/>
                  <w:noWrap w:val="0"/>
                  <w:vAlign w:val="center"/>
                </w:tcPr>
                <w:p w14:paraId="6CFD2BAC">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704" w:type="pct"/>
                  <w:shd w:val="clear" w:color="auto" w:fill="auto"/>
                  <w:noWrap w:val="0"/>
                  <w:vAlign w:val="center"/>
                </w:tcPr>
                <w:p w14:paraId="317E93E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1次/半年</w:t>
                  </w:r>
                </w:p>
              </w:tc>
              <w:tc>
                <w:tcPr>
                  <w:tcW w:w="2715" w:type="pct"/>
                  <w:noWrap w:val="0"/>
                  <w:vAlign w:val="center"/>
                </w:tcPr>
                <w:p w14:paraId="11D9A0B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《铸造工业大气污染物排放标准》（GB 39726-2020）表1</w:t>
                  </w:r>
                </w:p>
              </w:tc>
            </w:tr>
            <w:tr w14:paraId="5006B9F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08" w:type="pct"/>
                  <w:vMerge w:val="continue"/>
                  <w:noWrap w:val="0"/>
                  <w:vAlign w:val="center"/>
                </w:tcPr>
                <w:p w14:paraId="1C285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447" w:type="pct"/>
                  <w:noWrap w:val="0"/>
                  <w:vAlign w:val="center"/>
                </w:tcPr>
                <w:p w14:paraId="5355116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lang w:val="en-US" w:eastAsia="zh-CN"/>
                    </w:rPr>
                    <w:t>厂界</w:t>
                  </w:r>
                </w:p>
              </w:tc>
              <w:tc>
                <w:tcPr>
                  <w:tcW w:w="823" w:type="pct"/>
                  <w:noWrap w:val="0"/>
                  <w:vAlign w:val="center"/>
                </w:tcPr>
                <w:p w14:paraId="1962331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rPr>
                    <w:t>非甲烷总烃</w:t>
                  </w:r>
                  <w:r>
                    <w:rPr>
                      <w:rFonts w:hint="eastAsia" w:cs="Times New Roman"/>
                      <w:color w:val="auto"/>
                      <w:sz w:val="21"/>
                      <w:szCs w:val="21"/>
                      <w:lang w:eastAsia="zh-CN"/>
                    </w:rPr>
                    <w:t>、</w:t>
                  </w:r>
                  <w:r>
                    <w:rPr>
                      <w:rFonts w:hint="eastAsia" w:cs="Times New Roman"/>
                      <w:color w:val="auto"/>
                      <w:sz w:val="21"/>
                      <w:szCs w:val="21"/>
                      <w:lang w:val="en-US" w:eastAsia="zh-CN"/>
                    </w:rPr>
                    <w:t>颗粒物</w:t>
                  </w:r>
                </w:p>
              </w:tc>
              <w:tc>
                <w:tcPr>
                  <w:tcW w:w="704" w:type="pct"/>
                  <w:noWrap w:val="0"/>
                  <w:vAlign w:val="center"/>
                </w:tcPr>
                <w:p w14:paraId="5B61009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1次/年</w:t>
                  </w:r>
                </w:p>
              </w:tc>
              <w:tc>
                <w:tcPr>
                  <w:tcW w:w="2715" w:type="pct"/>
                  <w:noWrap w:val="0"/>
                  <w:vAlign w:val="center"/>
                </w:tcPr>
                <w:p w14:paraId="3BF470C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《大气污染物综合排放标准》（DB32/4041-2021）表</w:t>
                  </w:r>
                  <w:r>
                    <w:rPr>
                      <w:rFonts w:hint="eastAsia" w:ascii="Times New Roman" w:hAnsi="Times New Roman" w:cs="Times New Roman"/>
                      <w:color w:val="auto"/>
                      <w:sz w:val="21"/>
                      <w:szCs w:val="21"/>
                      <w:lang w:val="en-US" w:eastAsia="zh-CN"/>
                    </w:rPr>
                    <w:t>3</w:t>
                  </w:r>
                </w:p>
              </w:tc>
            </w:tr>
            <w:tr w14:paraId="3BF42AD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52" w:hRule="atLeast"/>
                <w:jc w:val="center"/>
              </w:trPr>
              <w:tc>
                <w:tcPr>
                  <w:tcW w:w="308" w:type="pct"/>
                  <w:vMerge w:val="continue"/>
                  <w:noWrap w:val="0"/>
                  <w:vAlign w:val="center"/>
                </w:tcPr>
                <w:p w14:paraId="30451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447" w:type="pct"/>
                  <w:noWrap w:val="0"/>
                  <w:vAlign w:val="center"/>
                </w:tcPr>
                <w:p w14:paraId="4D241B9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lang w:val="en-US" w:eastAsia="zh-CN"/>
                    </w:rPr>
                    <w:t>厂区内厂房外1m</w:t>
                  </w:r>
                </w:p>
              </w:tc>
              <w:tc>
                <w:tcPr>
                  <w:tcW w:w="823" w:type="pct"/>
                  <w:noWrap w:val="0"/>
                  <w:vAlign w:val="center"/>
                </w:tcPr>
                <w:p w14:paraId="5752F1E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rPr>
                    <w:t>非甲烷总烃</w:t>
                  </w:r>
                  <w:r>
                    <w:rPr>
                      <w:rFonts w:hint="eastAsia" w:cs="Times New Roman"/>
                      <w:color w:val="auto"/>
                      <w:sz w:val="21"/>
                      <w:szCs w:val="21"/>
                      <w:lang w:eastAsia="zh-CN"/>
                    </w:rPr>
                    <w:t>、</w:t>
                  </w:r>
                  <w:r>
                    <w:rPr>
                      <w:rFonts w:hint="eastAsia" w:cs="Times New Roman"/>
                      <w:color w:val="auto"/>
                      <w:sz w:val="21"/>
                      <w:szCs w:val="21"/>
                      <w:lang w:val="en-US" w:eastAsia="zh-CN"/>
                    </w:rPr>
                    <w:t>颗粒物</w:t>
                  </w:r>
                </w:p>
              </w:tc>
              <w:tc>
                <w:tcPr>
                  <w:tcW w:w="704" w:type="pct"/>
                  <w:noWrap w:val="0"/>
                  <w:vAlign w:val="center"/>
                </w:tcPr>
                <w:p w14:paraId="39FA5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rPr>
                  </w:pPr>
                  <w:r>
                    <w:rPr>
                      <w:rFonts w:hint="eastAsia" w:ascii="Times New Roman" w:hAnsi="Times New Roman" w:eastAsia="仿宋" w:cs="Times New Roman"/>
                      <w:color w:val="auto"/>
                      <w:sz w:val="21"/>
                      <w:szCs w:val="21"/>
                      <w:lang w:val="en-US" w:eastAsia="zh-CN"/>
                    </w:rPr>
                    <w:t>1次/年</w:t>
                  </w:r>
                </w:p>
              </w:tc>
              <w:tc>
                <w:tcPr>
                  <w:tcW w:w="2715" w:type="pct"/>
                  <w:noWrap w:val="0"/>
                  <w:vAlign w:val="center"/>
                </w:tcPr>
                <w:p w14:paraId="54898B8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《铸造工业大气污染物排放标准》（GB 39726-2020）附录表A.1</w:t>
                  </w:r>
                </w:p>
              </w:tc>
            </w:tr>
          </w:tbl>
          <w:p w14:paraId="68A882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废气排放影响分析</w:t>
            </w:r>
          </w:p>
          <w:p w14:paraId="517841DC">
            <w:pPr>
              <w:pStyle w:val="2"/>
              <w:spacing w:before="0" w:after="0" w:line="480" w:lineRule="exact"/>
              <w:ind w:firstLine="480" w:firstLineChars="200"/>
              <w:rPr>
                <w:rFonts w:hint="eastAsia" w:ascii="仿宋" w:hAnsi="仿宋" w:cs="仿宋"/>
                <w:sz w:val="24"/>
                <w:szCs w:val="24"/>
              </w:rPr>
            </w:pPr>
            <w:r>
              <w:rPr>
                <w:rFonts w:hint="default" w:ascii="Times New Roman" w:hAnsi="Times New Roman" w:eastAsia="仿宋" w:cs="Times New Roman"/>
                <w:color w:val="auto"/>
                <w:sz w:val="24"/>
                <w:szCs w:val="24"/>
                <w:lang w:val="en-US" w:eastAsia="zh-CN"/>
              </w:rPr>
              <w:t>常州市目前属于环境空气质量不达标区，为改善大气环境质量，常州市印发、实施了多项改善大气环境质量、强化废气排放管控的方案和措施，在积极采取管控措施后，常州市环境空气质量将得到持续改善。本项目排放的大气污染物为</w:t>
            </w:r>
            <w:r>
              <w:rPr>
                <w:rFonts w:hint="eastAsia" w:cs="Times New Roman"/>
                <w:color w:val="auto"/>
                <w:sz w:val="24"/>
                <w:szCs w:val="24"/>
                <w:lang w:val="en-US" w:eastAsia="zh-CN"/>
              </w:rPr>
              <w:t>非甲烷总烃、颗粒物、氮氧化物和二氧化硫</w:t>
            </w:r>
            <w:r>
              <w:rPr>
                <w:rFonts w:hint="default" w:ascii="Times New Roman" w:hAnsi="Times New Roman" w:eastAsia="仿宋" w:cs="Times New Roman"/>
                <w:color w:val="auto"/>
                <w:sz w:val="24"/>
                <w:szCs w:val="24"/>
                <w:lang w:val="en-US" w:eastAsia="zh-CN"/>
              </w:rPr>
              <w:t>，针对各产污环节，均采取了合适可行的污染治理措施，经处理后的污染物排放强度较低</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满足大气卫生防护距离要求，故本项目废气排放的环境影响较小。</w:t>
            </w:r>
          </w:p>
          <w:p w14:paraId="2A1AD933">
            <w:pPr>
              <w:spacing w:line="460" w:lineRule="exact"/>
              <w:ind w:firstLine="482" w:firstLineChars="200"/>
              <w:rPr>
                <w:b/>
                <w:bCs/>
              </w:rPr>
            </w:pPr>
            <w:r>
              <w:rPr>
                <w:rFonts w:hint="eastAsia"/>
                <w:b/>
                <w:bCs/>
              </w:rPr>
              <w:t>2、废</w:t>
            </w:r>
            <w:r>
              <w:rPr>
                <w:b/>
                <w:bCs/>
              </w:rPr>
              <w:t>水</w:t>
            </w:r>
          </w:p>
          <w:p w14:paraId="1A1053A6">
            <w:pPr>
              <w:spacing w:line="460" w:lineRule="exact"/>
              <w:ind w:firstLine="482" w:firstLineChars="200"/>
              <w:rPr>
                <w:b/>
                <w:bCs/>
              </w:rPr>
            </w:pPr>
            <w:r>
              <w:rPr>
                <w:rFonts w:hint="eastAsia"/>
                <w:b/>
                <w:bCs/>
              </w:rPr>
              <w:t>2.1废水产生情况</w:t>
            </w:r>
          </w:p>
          <w:p w14:paraId="13BE5912">
            <w:pPr>
              <w:pStyle w:val="2"/>
              <w:spacing w:before="0" w:after="0" w:line="480" w:lineRule="exact"/>
              <w:ind w:firstLine="480" w:firstLineChars="200"/>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（1）生活污水</w:t>
            </w:r>
          </w:p>
          <w:p w14:paraId="347C0E0E">
            <w:pPr>
              <w:spacing w:line="480" w:lineRule="exact"/>
              <w:ind w:firstLine="480" w:firstLineChars="200"/>
              <w:rPr>
                <w:bCs/>
              </w:rPr>
            </w:pPr>
            <w:r>
              <w:rPr>
                <w:rFonts w:hint="eastAsia" w:ascii="Times New Roman" w:hAnsi="Times New Roman" w:eastAsia="仿宋" w:cs="Times New Roman"/>
                <w:color w:val="auto"/>
                <w:sz w:val="24"/>
                <w:szCs w:val="24"/>
                <w:lang w:val="en-US" w:eastAsia="zh-CN"/>
              </w:rPr>
              <w:t>本项目建成后有员</w:t>
            </w:r>
            <w:r>
              <w:rPr>
                <w:rFonts w:hint="default" w:ascii="Times New Roman" w:hAnsi="Times New Roman" w:eastAsia="仿宋" w:cs="Times New Roman"/>
                <w:color w:val="auto"/>
                <w:sz w:val="24"/>
                <w:szCs w:val="24"/>
                <w:lang w:val="en-US" w:eastAsia="zh-CN"/>
              </w:rPr>
              <w:t>工</w:t>
            </w:r>
            <w:r>
              <w:rPr>
                <w:rFonts w:hint="eastAsia" w:cs="Times New Roman"/>
                <w:color w:val="auto"/>
                <w:sz w:val="24"/>
                <w:szCs w:val="24"/>
                <w:lang w:val="en-US" w:eastAsia="zh-CN"/>
              </w:rPr>
              <w:t>28</w:t>
            </w:r>
            <w:r>
              <w:rPr>
                <w:rFonts w:hint="default" w:ascii="Times New Roman" w:hAnsi="Times New Roman" w:eastAsia="仿宋" w:cs="Times New Roman"/>
                <w:color w:val="auto"/>
                <w:sz w:val="24"/>
                <w:szCs w:val="24"/>
                <w:lang w:val="en-US" w:eastAsia="zh-CN"/>
              </w:rPr>
              <w:t>人</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厂内不设宿舍及浴室，食堂</w:t>
            </w:r>
            <w:r>
              <w:rPr>
                <w:rFonts w:hint="eastAsia" w:ascii="Times New Roman" w:hAnsi="Times New Roman" w:eastAsia="仿宋" w:cs="Times New Roman"/>
                <w:color w:val="auto"/>
                <w:sz w:val="24"/>
                <w:szCs w:val="24"/>
                <w:lang w:val="en-US" w:eastAsia="zh-CN"/>
              </w:rPr>
              <w:t>仅提供用餐场所，不进行烹饪作业。</w:t>
            </w:r>
            <w:r>
              <w:rPr>
                <w:rFonts w:hint="default" w:ascii="Times New Roman" w:hAnsi="Times New Roman" w:eastAsia="仿宋" w:cs="Times New Roman"/>
                <w:color w:val="auto"/>
                <w:sz w:val="24"/>
                <w:szCs w:val="24"/>
                <w:lang w:val="en-US" w:eastAsia="zh-CN"/>
              </w:rPr>
              <w:t>生活用水定额按100L/（人•天）计，年工作</w:t>
            </w:r>
            <w:r>
              <w:rPr>
                <w:rFonts w:hint="eastAsia" w:ascii="Times New Roman" w:hAnsi="Times New Roman" w:eastAsia="仿宋" w:cs="Times New Roman"/>
                <w:color w:val="auto"/>
                <w:sz w:val="24"/>
                <w:szCs w:val="24"/>
                <w:lang w:val="en-US" w:eastAsia="zh-CN"/>
              </w:rPr>
              <w:t>30</w:t>
            </w:r>
            <w:r>
              <w:rPr>
                <w:rFonts w:hint="default" w:ascii="Times New Roman" w:hAnsi="Times New Roman" w:eastAsia="仿宋" w:cs="Times New Roman"/>
                <w:color w:val="auto"/>
                <w:sz w:val="24"/>
                <w:szCs w:val="24"/>
                <w:lang w:val="en-US" w:eastAsia="zh-CN"/>
              </w:rPr>
              <w:t>0天，则</w:t>
            </w:r>
            <w:r>
              <w:rPr>
                <w:rFonts w:hint="eastAsia" w:cs="Times New Roman"/>
                <w:color w:val="auto"/>
                <w:sz w:val="24"/>
                <w:szCs w:val="24"/>
                <w:lang w:val="en-US" w:eastAsia="zh-CN"/>
              </w:rPr>
              <w:t>生活</w:t>
            </w:r>
            <w:r>
              <w:rPr>
                <w:rFonts w:hint="default" w:ascii="Times New Roman" w:hAnsi="Times New Roman" w:eastAsia="仿宋" w:cs="Times New Roman"/>
                <w:color w:val="auto"/>
                <w:sz w:val="24"/>
                <w:szCs w:val="24"/>
                <w:lang w:val="en-US" w:eastAsia="zh-CN"/>
              </w:rPr>
              <w:t>用水量为</w:t>
            </w:r>
            <w:r>
              <w:rPr>
                <w:rFonts w:hint="eastAsia" w:cs="Times New Roman"/>
                <w:color w:val="auto"/>
                <w:sz w:val="24"/>
                <w:szCs w:val="24"/>
                <w:lang w:val="en-US" w:eastAsia="zh-CN"/>
              </w:rPr>
              <w:t>84</w:t>
            </w:r>
            <w:r>
              <w:rPr>
                <w:rFonts w:hint="default" w:ascii="Times New Roman" w:hAnsi="Times New Roman" w:eastAsia="仿宋" w:cs="Times New Roman"/>
                <w:color w:val="auto"/>
                <w:sz w:val="24"/>
                <w:szCs w:val="24"/>
                <w:lang w:val="en-US" w:eastAsia="zh-CN"/>
              </w:rPr>
              <w:t>0m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/a，产污系数取0.8，则生活污水产生量为</w:t>
            </w:r>
            <w:r>
              <w:rPr>
                <w:rFonts w:hint="eastAsia" w:cs="Times New Roman"/>
                <w:color w:val="auto"/>
                <w:sz w:val="24"/>
                <w:szCs w:val="24"/>
                <w:lang w:val="en-US" w:eastAsia="zh-CN"/>
              </w:rPr>
              <w:t>672</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/a。</w:t>
            </w:r>
            <w:r>
              <w:rPr>
                <w:rFonts w:hint="eastAsia" w:ascii="Times New Roman" w:hAnsi="Times New Roman" w:eastAsia="仿宋" w:cs="Times New Roman"/>
                <w:color w:val="auto"/>
                <w:sz w:val="24"/>
                <w:szCs w:val="24"/>
                <w:lang w:val="en-US" w:eastAsia="zh-CN"/>
              </w:rPr>
              <w:t>主要污染物情况为COD400mg/L、SS300mg/L、NH</w:t>
            </w:r>
            <w:r>
              <w:rPr>
                <w:rFonts w:hint="eastAsia" w:ascii="Times New Roman" w:hAnsi="Times New Roman" w:eastAsia="仿宋" w:cs="Times New Roman"/>
                <w:color w:val="auto"/>
                <w:sz w:val="24"/>
                <w:szCs w:val="24"/>
                <w:vertAlign w:val="subscript"/>
                <w:lang w:val="en-US" w:eastAsia="zh-CN"/>
              </w:rPr>
              <w:t>3</w:t>
            </w:r>
            <w:r>
              <w:rPr>
                <w:rFonts w:hint="eastAsia" w:ascii="Times New Roman" w:hAnsi="Times New Roman" w:eastAsia="仿宋" w:cs="Times New Roman"/>
                <w:color w:val="auto"/>
                <w:sz w:val="24"/>
                <w:szCs w:val="24"/>
                <w:lang w:val="en-US" w:eastAsia="zh-CN"/>
              </w:rPr>
              <w:t>-N30mg/L、TP5mg/L、TN50mg/L。</w:t>
            </w:r>
          </w:p>
          <w:p w14:paraId="5BDB57D2">
            <w:pPr>
              <w:numPr>
                <w:ilvl w:val="0"/>
                <w:numId w:val="17"/>
              </w:numPr>
              <w:spacing w:line="460" w:lineRule="exact"/>
              <w:ind w:firstLine="482" w:firstLineChars="200"/>
              <w:rPr>
                <w:rFonts w:hint="eastAsia"/>
                <w:b/>
                <w:bCs/>
                <w:lang w:val="en-US" w:eastAsia="zh-CN"/>
              </w:rPr>
            </w:pPr>
            <w:r>
              <w:rPr>
                <w:rFonts w:hint="eastAsia"/>
                <w:b/>
                <w:bCs/>
                <w:lang w:val="en-US" w:eastAsia="zh-CN"/>
              </w:rPr>
              <w:t>脱模剂配比用水</w:t>
            </w:r>
          </w:p>
          <w:p w14:paraId="1D27F512">
            <w:pPr>
              <w:spacing w:line="48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本项目脱模剂与水配比为1:</w:t>
            </w:r>
            <w:r>
              <w:rPr>
                <w:rFonts w:hint="eastAsia" w:cs="Times New Roman"/>
                <w:color w:val="auto"/>
                <w:sz w:val="24"/>
                <w:szCs w:val="24"/>
                <w:lang w:val="en-US" w:eastAsia="zh-CN"/>
              </w:rPr>
              <w:t>120</w:t>
            </w:r>
            <w:r>
              <w:rPr>
                <w:rFonts w:hint="default" w:ascii="Times New Roman" w:hAnsi="Times New Roman" w:eastAsia="仿宋" w:cs="Times New Roman"/>
                <w:color w:val="auto"/>
                <w:sz w:val="24"/>
                <w:szCs w:val="24"/>
                <w:lang w:val="en-US" w:eastAsia="zh-CN"/>
              </w:rPr>
              <w:t>，年用</w:t>
            </w:r>
            <w:r>
              <w:rPr>
                <w:rFonts w:hint="eastAsia" w:ascii="Times New Roman" w:hAnsi="Times New Roman" w:cs="Times New Roman"/>
                <w:color w:val="auto"/>
                <w:sz w:val="24"/>
                <w:szCs w:val="24"/>
                <w:lang w:val="en-US" w:eastAsia="zh-CN"/>
              </w:rPr>
              <w:t>脱模剂5</w:t>
            </w:r>
            <w:r>
              <w:rPr>
                <w:rFonts w:hint="default" w:ascii="Times New Roman" w:hAnsi="Times New Roman" w:eastAsia="仿宋" w:cs="Times New Roman"/>
                <w:color w:val="auto"/>
                <w:sz w:val="24"/>
                <w:szCs w:val="24"/>
                <w:lang w:val="en-US" w:eastAsia="zh-CN"/>
              </w:rPr>
              <w:t>t，则用水量为</w:t>
            </w:r>
            <w:r>
              <w:rPr>
                <w:rFonts w:hint="eastAsia" w:ascii="Times New Roman" w:hAnsi="Times New Roman" w:cs="Times New Roman"/>
                <w:color w:val="auto"/>
                <w:sz w:val="24"/>
                <w:szCs w:val="24"/>
                <w:lang w:val="en-US" w:eastAsia="zh-CN"/>
              </w:rPr>
              <w:t>60</w:t>
            </w:r>
            <w:r>
              <w:rPr>
                <w:rFonts w:hint="eastAsia" w:cs="Times New Roman"/>
                <w:color w:val="auto"/>
                <w:sz w:val="24"/>
                <w:szCs w:val="24"/>
                <w:lang w:val="en-US" w:eastAsia="zh-CN"/>
              </w:rPr>
              <w:t>0</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，脱模剂在喷涂到高温模具后其中的水份形成</w:t>
            </w:r>
            <w:r>
              <w:rPr>
                <w:rFonts w:hint="eastAsia" w:cs="Times New Roman"/>
                <w:color w:val="auto"/>
                <w:sz w:val="24"/>
                <w:szCs w:val="24"/>
                <w:lang w:val="en-US" w:eastAsia="zh-CN"/>
              </w:rPr>
              <w:t>蒸汽</w:t>
            </w:r>
            <w:r>
              <w:rPr>
                <w:rFonts w:hint="default" w:ascii="Times New Roman" w:hAnsi="Times New Roman" w:eastAsia="仿宋" w:cs="Times New Roman"/>
                <w:color w:val="auto"/>
                <w:sz w:val="24"/>
                <w:szCs w:val="24"/>
                <w:lang w:val="en-US" w:eastAsia="zh-CN"/>
              </w:rPr>
              <w:t>损耗，滴漏的脱模剂通过收集槽回收再利用，脱模剂</w:t>
            </w:r>
            <w:r>
              <w:rPr>
                <w:rFonts w:hint="eastAsia" w:cs="Times New Roman"/>
                <w:color w:val="auto"/>
                <w:sz w:val="24"/>
                <w:szCs w:val="24"/>
                <w:lang w:val="en-US" w:eastAsia="zh-CN"/>
              </w:rPr>
              <w:t>循环使用，定期添加不外排，定期更换废脱模剂，作为危废委托有资质单位处置</w:t>
            </w:r>
            <w:r>
              <w:rPr>
                <w:rFonts w:hint="default" w:ascii="Times New Roman" w:hAnsi="Times New Roman" w:eastAsia="仿宋" w:cs="Times New Roman"/>
                <w:color w:val="auto"/>
                <w:sz w:val="24"/>
                <w:szCs w:val="24"/>
                <w:lang w:val="en-US" w:eastAsia="zh-CN"/>
              </w:rPr>
              <w:t>。</w:t>
            </w:r>
          </w:p>
          <w:p w14:paraId="47FE58B9">
            <w:pPr>
              <w:widowControl w:val="0"/>
              <w:numPr>
                <w:ilvl w:val="0"/>
                <w:numId w:val="17"/>
              </w:numPr>
              <w:spacing w:line="460" w:lineRule="exact"/>
              <w:ind w:left="0" w:leftChars="0" w:firstLine="482" w:firstLineChars="200"/>
              <w:jc w:val="both"/>
              <w:rPr>
                <w:rFonts w:hint="default" w:ascii="Times New Roman" w:hAnsi="Times New Roman" w:cs="Times New Roman"/>
                <w:b/>
                <w:bCs/>
                <w:lang w:val="en-US" w:eastAsia="zh-CN"/>
              </w:rPr>
            </w:pPr>
            <w:r>
              <w:rPr>
                <w:rFonts w:hint="default" w:ascii="Times New Roman" w:hAnsi="Times New Roman" w:cs="Times New Roman"/>
                <w:b/>
                <w:bCs/>
                <w:lang w:val="en-US" w:eastAsia="zh-CN"/>
              </w:rPr>
              <w:t>喷淋用水</w:t>
            </w:r>
          </w:p>
          <w:p w14:paraId="247150BD">
            <w:pPr>
              <w:spacing w:line="48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本项目采用</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水喷淋+</w:t>
            </w:r>
            <w:r>
              <w:rPr>
                <w:rFonts w:hint="eastAsia" w:ascii="Times New Roman" w:hAnsi="Times New Roman" w:cs="Times New Roman"/>
                <w:color w:val="auto"/>
                <w:sz w:val="24"/>
                <w:szCs w:val="24"/>
                <w:lang w:val="en-US" w:eastAsia="zh-CN"/>
              </w:rPr>
              <w:t>干式过滤+</w:t>
            </w:r>
            <w:r>
              <w:rPr>
                <w:rFonts w:hint="default" w:ascii="Times New Roman" w:hAnsi="Times New Roman" w:eastAsia="仿宋" w:cs="Times New Roman"/>
                <w:color w:val="auto"/>
                <w:sz w:val="24"/>
                <w:szCs w:val="24"/>
                <w:lang w:val="en-US" w:eastAsia="zh-CN"/>
              </w:rPr>
              <w:t>二级活性炭吸附装置</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处理</w:t>
            </w:r>
            <w:r>
              <w:rPr>
                <w:rFonts w:hint="eastAsia" w:ascii="Times New Roman" w:hAnsi="Times New Roman" w:cs="Times New Roman"/>
                <w:color w:val="auto"/>
                <w:sz w:val="24"/>
                <w:szCs w:val="24"/>
                <w:lang w:val="en-US" w:eastAsia="zh-CN"/>
              </w:rPr>
              <w:t>熔化、压铸</w:t>
            </w:r>
            <w:r>
              <w:rPr>
                <w:rFonts w:hint="default" w:ascii="Times New Roman" w:hAnsi="Times New Roman" w:eastAsia="仿宋" w:cs="Times New Roman"/>
                <w:color w:val="auto"/>
                <w:sz w:val="24"/>
                <w:szCs w:val="24"/>
                <w:lang w:val="en-US" w:eastAsia="zh-CN"/>
              </w:rPr>
              <w:t>废气，喷淋塔蓄水槽容积为</w:t>
            </w:r>
            <w:r>
              <w:rPr>
                <w:rFonts w:hint="eastAsia" w:cs="Times New Roman"/>
                <w:color w:val="auto"/>
                <w:sz w:val="24"/>
                <w:szCs w:val="24"/>
                <w:lang w:val="en-US" w:eastAsia="zh-CN"/>
              </w:rPr>
              <w:t>1.1</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（有效容积</w:t>
            </w:r>
            <w:r>
              <w:rPr>
                <w:rFonts w:hint="eastAsia"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w:t>
            </w:r>
            <w:r>
              <w:rPr>
                <w:rFonts w:hint="eastAsia" w:ascii="Times New Roman" w:hAnsi="Times New Roman" w:cs="Times New Roman"/>
                <w:color w:val="auto"/>
                <w:sz w:val="24"/>
                <w:szCs w:val="24"/>
                <w:lang w:val="en-US" w:eastAsia="zh-CN"/>
              </w:rPr>
              <w:t>喷淋</w:t>
            </w:r>
            <w:r>
              <w:rPr>
                <w:rFonts w:hint="default" w:ascii="Times New Roman" w:hAnsi="Times New Roman" w:eastAsia="仿宋" w:cs="Times New Roman"/>
                <w:color w:val="auto"/>
                <w:sz w:val="24"/>
                <w:szCs w:val="24"/>
                <w:lang w:val="en-US" w:eastAsia="zh-CN"/>
              </w:rPr>
              <w:t>水每</w:t>
            </w:r>
            <w:r>
              <w:rPr>
                <w:rFonts w:hint="eastAsia" w:ascii="Times New Roman" w:hAnsi="Times New Roman" w:cs="Times New Roman"/>
                <w:color w:val="auto"/>
                <w:sz w:val="24"/>
                <w:szCs w:val="24"/>
                <w:lang w:val="en-US" w:eastAsia="zh-CN"/>
              </w:rPr>
              <w:t>半年</w:t>
            </w:r>
            <w:r>
              <w:rPr>
                <w:rFonts w:hint="default" w:ascii="Times New Roman" w:hAnsi="Times New Roman" w:eastAsia="仿宋" w:cs="Times New Roman"/>
                <w:color w:val="auto"/>
                <w:sz w:val="24"/>
                <w:szCs w:val="24"/>
                <w:lang w:val="en-US" w:eastAsia="zh-CN"/>
              </w:rPr>
              <w:t>更换一次，则</w:t>
            </w:r>
            <w:r>
              <w:rPr>
                <w:rFonts w:hint="eastAsia" w:cs="Times New Roman"/>
                <w:color w:val="auto"/>
                <w:sz w:val="24"/>
                <w:szCs w:val="24"/>
                <w:lang w:val="en-US" w:eastAsia="zh-CN"/>
              </w:rPr>
              <w:t>喷淋</w:t>
            </w:r>
            <w:r>
              <w:rPr>
                <w:rFonts w:hint="default" w:ascii="Times New Roman" w:hAnsi="Times New Roman" w:eastAsia="仿宋" w:cs="Times New Roman"/>
                <w:color w:val="auto"/>
                <w:sz w:val="24"/>
                <w:szCs w:val="24"/>
                <w:lang w:val="en-US" w:eastAsia="zh-CN"/>
              </w:rPr>
              <w:t>废液产生量为</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t/a，收集暂存危废库后委托有资质危废单位处置。</w:t>
            </w:r>
          </w:p>
          <w:p w14:paraId="790A3D00">
            <w:pPr>
              <w:spacing w:line="48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参考《简明通风设计手册》（孙一坚主编）第527页表10-48各种吸收装置的技术经济比较，喷淋塔的液气比0.1~1.0L/m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，本项目液气比取</w:t>
            </w:r>
            <w:r>
              <w:rPr>
                <w:rFonts w:hint="eastAsia" w:ascii="Times New Roman" w:hAnsi="Times New Roman" w:cs="Times New Roman"/>
                <w:color w:val="auto"/>
                <w:sz w:val="24"/>
                <w:szCs w:val="24"/>
                <w:lang w:val="en-US" w:eastAsia="zh-CN"/>
              </w:rPr>
              <w:t>0.5</w:t>
            </w:r>
            <w:r>
              <w:rPr>
                <w:rFonts w:hint="default" w:ascii="Times New Roman" w:hAnsi="Times New Roman" w:eastAsia="仿宋" w:cs="Times New Roman"/>
                <w:color w:val="auto"/>
                <w:sz w:val="24"/>
                <w:szCs w:val="24"/>
                <w:lang w:val="en-US" w:eastAsia="zh-CN"/>
              </w:rPr>
              <w:t>L/m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，风机风量为2</w:t>
            </w:r>
            <w:r>
              <w:rPr>
                <w:rFonts w:hint="eastAsia" w:ascii="Times New Roman" w:hAnsi="Times New Roman" w:cs="Times New Roman"/>
                <w:color w:val="auto"/>
                <w:sz w:val="24"/>
                <w:szCs w:val="24"/>
                <w:lang w:val="en-US" w:eastAsia="zh-CN"/>
              </w:rPr>
              <w:t>8</w:t>
            </w:r>
            <w:r>
              <w:rPr>
                <w:rFonts w:hint="default" w:ascii="Times New Roman" w:hAnsi="Times New Roman" w:eastAsia="仿宋" w:cs="Times New Roman"/>
                <w:color w:val="auto"/>
                <w:sz w:val="24"/>
                <w:szCs w:val="24"/>
                <w:lang w:val="en-US" w:eastAsia="zh-CN"/>
              </w:rPr>
              <w:t>000m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/h，年工作时间为</w:t>
            </w:r>
            <w:r>
              <w:rPr>
                <w:rFonts w:hint="eastAsia" w:ascii="Times New Roman" w:hAnsi="Times New Roman" w:cs="Times New Roman"/>
                <w:color w:val="auto"/>
                <w:sz w:val="24"/>
                <w:szCs w:val="24"/>
                <w:lang w:val="en-US" w:eastAsia="zh-CN"/>
              </w:rPr>
              <w:t>72</w:t>
            </w:r>
            <w:r>
              <w:rPr>
                <w:rFonts w:hint="default" w:ascii="Times New Roman" w:hAnsi="Times New Roman" w:eastAsia="仿宋" w:cs="Times New Roman"/>
                <w:color w:val="auto"/>
                <w:sz w:val="24"/>
                <w:szCs w:val="24"/>
                <w:lang w:val="en-US" w:eastAsia="zh-CN"/>
              </w:rPr>
              <w:t>00h，则循环液体总量为</w:t>
            </w:r>
            <w:r>
              <w:rPr>
                <w:rFonts w:hint="eastAsia" w:ascii="Times New Roman" w:hAnsi="Times New Roman" w:cs="Times New Roman"/>
                <w:color w:val="auto"/>
                <w:sz w:val="24"/>
                <w:szCs w:val="24"/>
                <w:lang w:val="en-US" w:eastAsia="zh-CN"/>
              </w:rPr>
              <w:t>100800</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/a，损耗量约</w:t>
            </w:r>
            <w:r>
              <w:rPr>
                <w:rFonts w:hint="eastAsia" w:cs="Times New Roman"/>
                <w:color w:val="auto"/>
                <w:sz w:val="24"/>
                <w:szCs w:val="24"/>
                <w:lang w:val="en-US" w:eastAsia="zh-CN"/>
              </w:rPr>
              <w:t>0.</w:t>
            </w:r>
            <w:r>
              <w:rPr>
                <w:rFonts w:hint="default" w:ascii="Times New Roman" w:hAnsi="Times New Roman" w:eastAsia="仿宋" w:cs="Times New Roman"/>
                <w:color w:val="auto"/>
                <w:sz w:val="24"/>
                <w:szCs w:val="24"/>
                <w:lang w:val="en-US" w:eastAsia="zh-CN"/>
              </w:rPr>
              <w:t>1‰，则需补水量</w:t>
            </w:r>
            <w:r>
              <w:rPr>
                <w:rFonts w:hint="eastAsia" w:ascii="Times New Roman" w:hAnsi="Times New Roman" w:cs="Times New Roman"/>
                <w:color w:val="auto"/>
                <w:sz w:val="24"/>
                <w:szCs w:val="24"/>
                <w:lang w:val="en-US" w:eastAsia="zh-CN"/>
              </w:rPr>
              <w:t>10</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/a，合计使用新鲜水</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/a。</w:t>
            </w:r>
          </w:p>
          <w:p w14:paraId="03DAF00E">
            <w:pPr>
              <w:spacing w:line="460" w:lineRule="exact"/>
              <w:ind w:firstLine="482" w:firstLineChars="200"/>
              <w:rPr>
                <w:rFonts w:hint="default" w:eastAsia="仿宋"/>
                <w:b/>
                <w:bCs/>
                <w:lang w:val="en-US" w:eastAsia="zh-CN"/>
              </w:rPr>
            </w:pPr>
            <w:r>
              <w:rPr>
                <w:rFonts w:hint="eastAsia"/>
                <w:b/>
                <w:bCs/>
                <w:lang w:eastAsia="zh-CN"/>
              </w:rPr>
              <w:t>（</w:t>
            </w:r>
            <w:r>
              <w:rPr>
                <w:rFonts w:hint="eastAsia"/>
                <w:b/>
                <w:bCs/>
                <w:lang w:val="en-US" w:eastAsia="zh-CN"/>
              </w:rPr>
              <w:t>4</w:t>
            </w:r>
            <w:r>
              <w:rPr>
                <w:rFonts w:hint="eastAsia"/>
                <w:b/>
                <w:bCs/>
                <w:lang w:eastAsia="zh-CN"/>
              </w:rPr>
              <w:t>）</w:t>
            </w:r>
            <w:r>
              <w:rPr>
                <w:rFonts w:hint="eastAsia"/>
                <w:b/>
                <w:bCs/>
                <w:lang w:val="en-US" w:eastAsia="zh-CN"/>
              </w:rPr>
              <w:t>冷却用水</w:t>
            </w:r>
          </w:p>
          <w:p w14:paraId="73EADD0D">
            <w:pPr>
              <w:spacing w:line="480" w:lineRule="exact"/>
              <w:ind w:firstLine="480" w:firstLineChars="200"/>
              <w:rPr>
                <w:rFonts w:hint="eastAsia"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本项目共设置1套冷却系统对压铸脱模过程进行冷却降温，冷却</w:t>
            </w:r>
            <w:r>
              <w:rPr>
                <w:rFonts w:hint="eastAsia" w:ascii="Times New Roman" w:hAnsi="Times New Roman" w:cs="Times New Roman"/>
                <w:color w:val="auto"/>
                <w:sz w:val="24"/>
                <w:szCs w:val="24"/>
                <w:lang w:val="en-US" w:eastAsia="zh-CN"/>
              </w:rPr>
              <w:t>塔</w:t>
            </w:r>
            <w:r>
              <w:rPr>
                <w:rFonts w:hint="default" w:ascii="Times New Roman" w:hAnsi="Times New Roman" w:eastAsia="仿宋" w:cs="Times New Roman"/>
                <w:color w:val="auto"/>
                <w:sz w:val="24"/>
                <w:szCs w:val="24"/>
                <w:lang w:val="en-US" w:eastAsia="zh-CN"/>
              </w:rPr>
              <w:t>循环流量约5m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/h，由于在循环冷却过程中存在一定量的消耗，需对其补水，根据《建筑给水排水设计标准（GB50015-2019）》，循环冷却水补充水量为循环水量的1</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2%，</w:t>
            </w:r>
            <w:r>
              <w:rPr>
                <w:rFonts w:hint="eastAsia" w:ascii="Times New Roman" w:hAnsi="Times New Roman" w:cs="Times New Roman"/>
                <w:color w:val="auto"/>
                <w:sz w:val="24"/>
                <w:szCs w:val="24"/>
                <w:lang w:val="en-US" w:eastAsia="zh-CN"/>
              </w:rPr>
              <w:t>本项目</w:t>
            </w:r>
            <w:r>
              <w:rPr>
                <w:rFonts w:hint="default" w:ascii="Times New Roman" w:hAnsi="Times New Roman" w:eastAsia="仿宋" w:cs="Times New Roman"/>
                <w:color w:val="auto"/>
                <w:sz w:val="24"/>
                <w:szCs w:val="24"/>
                <w:lang w:val="en-US" w:eastAsia="zh-CN"/>
              </w:rPr>
              <w:t>按</w:t>
            </w:r>
            <w:r>
              <w:rPr>
                <w:rFonts w:hint="eastAsia" w:ascii="Times New Roman" w:hAnsi="Times New Roman"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%计，经计算本项目冷却水需补充水量为0.</w:t>
            </w:r>
            <w:r>
              <w:rPr>
                <w:rFonts w:hint="eastAsia" w:ascii="Times New Roman" w:hAnsi="Times New Roman"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/h，年工作时间按</w:t>
            </w:r>
            <w:r>
              <w:rPr>
                <w:rFonts w:hint="eastAsia" w:ascii="Times New Roman" w:hAnsi="Times New Roman" w:cs="Times New Roman"/>
                <w:color w:val="auto"/>
                <w:sz w:val="24"/>
                <w:szCs w:val="24"/>
                <w:lang w:val="en-US" w:eastAsia="zh-CN"/>
              </w:rPr>
              <w:t>72</w:t>
            </w:r>
            <w:r>
              <w:rPr>
                <w:rFonts w:hint="default" w:ascii="Times New Roman" w:hAnsi="Times New Roman" w:eastAsia="仿宋" w:cs="Times New Roman"/>
                <w:color w:val="auto"/>
                <w:sz w:val="24"/>
                <w:szCs w:val="24"/>
                <w:lang w:val="en-US" w:eastAsia="zh-CN"/>
              </w:rPr>
              <w:t>00h计，则需年补充冷却水量为</w:t>
            </w:r>
            <w:r>
              <w:rPr>
                <w:rFonts w:hint="eastAsia" w:ascii="Times New Roman" w:hAnsi="Times New Roman" w:cs="Times New Roman"/>
                <w:color w:val="auto"/>
                <w:sz w:val="24"/>
                <w:szCs w:val="24"/>
                <w:lang w:val="en-US" w:eastAsia="zh-CN"/>
              </w:rPr>
              <w:t>72</w:t>
            </w:r>
            <w:r>
              <w:rPr>
                <w:rFonts w:hint="default" w:ascii="Times New Roman" w:hAnsi="Times New Roman" w:eastAsia="仿宋" w:cs="Times New Roman"/>
                <w:color w:val="auto"/>
                <w:sz w:val="24"/>
                <w:szCs w:val="24"/>
                <w:lang w:val="en-US" w:eastAsia="zh-CN"/>
              </w:rPr>
              <w:t>0m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，本项目冷却水循环使用，且因其为间接冷却，对水质要求不高，无需更换，定期补水不外排。</w:t>
            </w:r>
          </w:p>
          <w:p w14:paraId="7B223522">
            <w:pPr>
              <w:spacing w:line="460" w:lineRule="exact"/>
              <w:ind w:firstLine="482" w:firstLineChars="200"/>
              <w:rPr>
                <w:b/>
                <w:bCs/>
              </w:rPr>
            </w:pPr>
            <w:r>
              <w:rPr>
                <w:rFonts w:hint="eastAsia"/>
                <w:b/>
                <w:bCs/>
              </w:rPr>
              <w:t>2.2污染防治措施</w:t>
            </w:r>
          </w:p>
          <w:p w14:paraId="3F19B4AC">
            <w:pPr>
              <w:spacing w:line="460" w:lineRule="exact"/>
              <w:ind w:firstLine="480" w:firstLineChars="200"/>
            </w:pPr>
            <w:r>
              <w:t>生活污水经区域污水管网接管至</w:t>
            </w:r>
            <w:r>
              <w:rPr>
                <w:rFonts w:hint="eastAsia"/>
              </w:rPr>
              <w:t>常州东方横山水处理有限公司</w:t>
            </w:r>
            <w:r>
              <w:t>处理</w:t>
            </w:r>
            <w:r>
              <w:rPr>
                <w:rFonts w:hint="eastAsia"/>
              </w:rPr>
              <w:t>。</w:t>
            </w:r>
          </w:p>
          <w:p w14:paraId="0CC9F6C5">
            <w:pPr>
              <w:spacing w:line="460" w:lineRule="exact"/>
              <w:ind w:firstLine="482" w:firstLineChars="200"/>
              <w:rPr>
                <w:b/>
                <w:bCs/>
              </w:rPr>
            </w:pPr>
            <w:r>
              <w:rPr>
                <w:rFonts w:hint="eastAsia"/>
                <w:b/>
                <w:bCs/>
              </w:rPr>
              <w:t>2.3废水排放情况</w:t>
            </w:r>
          </w:p>
          <w:p w14:paraId="3C4AD8AA">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13</w:t>
            </w:r>
            <w:r>
              <w:rPr>
                <w:rFonts w:hint="eastAsia"/>
                <w:b/>
                <w:bCs/>
                <w:sz w:val="21"/>
                <w:szCs w:val="21"/>
              </w:rPr>
              <w:t xml:space="preserve">  </w:t>
            </w:r>
            <w:r>
              <w:rPr>
                <w:b/>
                <w:bCs/>
                <w:sz w:val="21"/>
                <w:szCs w:val="21"/>
              </w:rPr>
              <w:t>本项目废水</w:t>
            </w:r>
            <w:r>
              <w:rPr>
                <w:rFonts w:hint="eastAsia"/>
                <w:b/>
                <w:bCs/>
                <w:sz w:val="21"/>
                <w:szCs w:val="21"/>
              </w:rPr>
              <w:t>污染物</w:t>
            </w:r>
            <w:r>
              <w:rPr>
                <w:b/>
                <w:bCs/>
                <w:sz w:val="21"/>
                <w:szCs w:val="21"/>
              </w:rPr>
              <w:t>产生</w:t>
            </w:r>
            <w:r>
              <w:rPr>
                <w:rFonts w:hint="eastAsia"/>
                <w:b/>
                <w:bCs/>
                <w:sz w:val="21"/>
                <w:szCs w:val="21"/>
                <w:lang w:val="en-US" w:eastAsia="zh-CN"/>
              </w:rPr>
              <w:t>及排放</w:t>
            </w:r>
            <w:r>
              <w:rPr>
                <w:b/>
                <w:bCs/>
                <w:sz w:val="21"/>
                <w:szCs w:val="21"/>
              </w:rPr>
              <w:t>情况一览表</w:t>
            </w:r>
          </w:p>
          <w:tbl>
            <w:tblPr>
              <w:tblStyle w:val="20"/>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870"/>
              <w:gridCol w:w="1365"/>
              <w:gridCol w:w="1229"/>
              <w:gridCol w:w="1186"/>
              <w:gridCol w:w="1108"/>
              <w:gridCol w:w="1470"/>
              <w:gridCol w:w="1284"/>
              <w:gridCol w:w="2966"/>
            </w:tblGrid>
            <w:tr w14:paraId="159E7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0" w:type="pct"/>
                  <w:vMerge w:val="restart"/>
                  <w:vAlign w:val="center"/>
                </w:tcPr>
                <w:p w14:paraId="18E9828E">
                  <w:pPr>
                    <w:spacing w:line="240" w:lineRule="auto"/>
                    <w:jc w:val="center"/>
                    <w:rPr>
                      <w:b/>
                      <w:bCs/>
                      <w:sz w:val="21"/>
                      <w:szCs w:val="21"/>
                    </w:rPr>
                  </w:pPr>
                  <w:r>
                    <w:rPr>
                      <w:b/>
                      <w:bCs/>
                      <w:sz w:val="21"/>
                      <w:szCs w:val="21"/>
                    </w:rPr>
                    <w:t>废水来源</w:t>
                  </w:r>
                </w:p>
              </w:tc>
              <w:tc>
                <w:tcPr>
                  <w:tcW w:w="346" w:type="pct"/>
                  <w:vMerge w:val="restart"/>
                  <w:vAlign w:val="center"/>
                </w:tcPr>
                <w:p w14:paraId="7E299E5B">
                  <w:pPr>
                    <w:spacing w:line="240" w:lineRule="auto"/>
                    <w:jc w:val="center"/>
                    <w:rPr>
                      <w:b/>
                      <w:bCs/>
                      <w:sz w:val="21"/>
                      <w:szCs w:val="21"/>
                    </w:rPr>
                  </w:pPr>
                  <w:r>
                    <w:rPr>
                      <w:b/>
                      <w:bCs/>
                      <w:sz w:val="21"/>
                      <w:szCs w:val="21"/>
                    </w:rPr>
                    <w:t>废水量</w:t>
                  </w:r>
                </w:p>
                <w:p w14:paraId="4E39E073">
                  <w:pPr>
                    <w:spacing w:line="240" w:lineRule="auto"/>
                    <w:jc w:val="center"/>
                    <w:rPr>
                      <w:b/>
                      <w:bCs/>
                      <w:sz w:val="21"/>
                      <w:szCs w:val="21"/>
                    </w:rPr>
                  </w:pPr>
                  <w:r>
                    <w:rPr>
                      <w:b/>
                      <w:bCs/>
                      <w:sz w:val="21"/>
                      <w:szCs w:val="21"/>
                    </w:rPr>
                    <w:t>m</w:t>
                  </w:r>
                  <w:r>
                    <w:rPr>
                      <w:b/>
                      <w:bCs/>
                      <w:sz w:val="21"/>
                      <w:szCs w:val="21"/>
                      <w:vertAlign w:val="superscript"/>
                    </w:rPr>
                    <w:t>3</w:t>
                  </w:r>
                  <w:r>
                    <w:rPr>
                      <w:b/>
                      <w:bCs/>
                      <w:sz w:val="21"/>
                      <w:szCs w:val="21"/>
                    </w:rPr>
                    <w:t>/a</w:t>
                  </w:r>
                </w:p>
              </w:tc>
              <w:tc>
                <w:tcPr>
                  <w:tcW w:w="543" w:type="pct"/>
                  <w:vMerge w:val="restart"/>
                  <w:vAlign w:val="center"/>
                </w:tcPr>
                <w:p w14:paraId="4B8FE129">
                  <w:pPr>
                    <w:spacing w:line="240" w:lineRule="auto"/>
                    <w:jc w:val="center"/>
                    <w:rPr>
                      <w:b/>
                      <w:bCs/>
                      <w:sz w:val="21"/>
                      <w:szCs w:val="21"/>
                    </w:rPr>
                  </w:pPr>
                  <w:r>
                    <w:rPr>
                      <w:b/>
                      <w:bCs/>
                      <w:sz w:val="21"/>
                      <w:szCs w:val="21"/>
                    </w:rPr>
                    <w:t>污染物名称</w:t>
                  </w:r>
                </w:p>
              </w:tc>
              <w:tc>
                <w:tcPr>
                  <w:tcW w:w="961" w:type="pct"/>
                  <w:gridSpan w:val="2"/>
                  <w:vAlign w:val="center"/>
                </w:tcPr>
                <w:p w14:paraId="6ACDA865">
                  <w:pPr>
                    <w:spacing w:line="240" w:lineRule="auto"/>
                    <w:jc w:val="center"/>
                    <w:rPr>
                      <w:b/>
                      <w:bCs/>
                      <w:sz w:val="21"/>
                      <w:szCs w:val="21"/>
                    </w:rPr>
                  </w:pPr>
                  <w:r>
                    <w:rPr>
                      <w:b/>
                      <w:bCs/>
                      <w:sz w:val="21"/>
                      <w:szCs w:val="21"/>
                    </w:rPr>
                    <w:t>污染物产生量</w:t>
                  </w:r>
                </w:p>
              </w:tc>
              <w:tc>
                <w:tcPr>
                  <w:tcW w:w="441" w:type="pct"/>
                  <w:vMerge w:val="restart"/>
                  <w:vAlign w:val="center"/>
                </w:tcPr>
                <w:p w14:paraId="735CD577">
                  <w:pPr>
                    <w:spacing w:line="240" w:lineRule="auto"/>
                    <w:jc w:val="center"/>
                    <w:rPr>
                      <w:rFonts w:hint="eastAsia" w:eastAsia="仿宋"/>
                      <w:b/>
                      <w:bCs/>
                      <w:sz w:val="21"/>
                      <w:szCs w:val="21"/>
                      <w:lang w:val="en-US" w:eastAsia="zh-CN"/>
                    </w:rPr>
                  </w:pPr>
                  <w:r>
                    <w:rPr>
                      <w:rFonts w:hint="eastAsia"/>
                      <w:b/>
                      <w:bCs/>
                      <w:sz w:val="21"/>
                      <w:szCs w:val="21"/>
                      <w:lang w:val="en-US" w:eastAsia="zh-CN"/>
                    </w:rPr>
                    <w:t>治理措施</w:t>
                  </w:r>
                </w:p>
              </w:tc>
              <w:tc>
                <w:tcPr>
                  <w:tcW w:w="1096" w:type="pct"/>
                  <w:gridSpan w:val="2"/>
                  <w:shd w:val="clear" w:color="auto" w:fill="auto"/>
                  <w:vAlign w:val="center"/>
                </w:tcPr>
                <w:p w14:paraId="5B5ABA23">
                  <w:pPr>
                    <w:spacing w:line="240" w:lineRule="auto"/>
                    <w:jc w:val="center"/>
                    <w:rPr>
                      <w:rFonts w:ascii="Times New Roman" w:hAnsi="Times New Roman" w:eastAsia="仿宋" w:cs="Times New Roman"/>
                      <w:b/>
                      <w:bCs/>
                      <w:kern w:val="2"/>
                      <w:sz w:val="21"/>
                      <w:szCs w:val="21"/>
                      <w:lang w:val="en-US" w:eastAsia="zh-CN" w:bidi="ar-SA"/>
                    </w:rPr>
                  </w:pPr>
                  <w:r>
                    <w:rPr>
                      <w:b/>
                      <w:bCs/>
                      <w:sz w:val="21"/>
                      <w:szCs w:val="21"/>
                    </w:rPr>
                    <w:t>污染物</w:t>
                  </w:r>
                  <w:r>
                    <w:rPr>
                      <w:rFonts w:hint="eastAsia"/>
                      <w:b/>
                      <w:bCs/>
                      <w:sz w:val="21"/>
                      <w:szCs w:val="21"/>
                      <w:lang w:val="en-US" w:eastAsia="zh-CN"/>
                    </w:rPr>
                    <w:t>排放</w:t>
                  </w:r>
                  <w:r>
                    <w:rPr>
                      <w:b/>
                      <w:bCs/>
                      <w:sz w:val="21"/>
                      <w:szCs w:val="21"/>
                    </w:rPr>
                    <w:t>量</w:t>
                  </w:r>
                </w:p>
              </w:tc>
              <w:tc>
                <w:tcPr>
                  <w:tcW w:w="1180" w:type="pct"/>
                  <w:vMerge w:val="restart"/>
                  <w:vAlign w:val="center"/>
                </w:tcPr>
                <w:p w14:paraId="2ADE1EFE">
                  <w:pPr>
                    <w:spacing w:line="240" w:lineRule="auto"/>
                    <w:jc w:val="center"/>
                    <w:rPr>
                      <w:rFonts w:hint="default" w:eastAsia="仿宋"/>
                      <w:b/>
                      <w:bCs/>
                      <w:sz w:val="21"/>
                      <w:szCs w:val="21"/>
                      <w:lang w:val="en-US" w:eastAsia="zh-CN"/>
                    </w:rPr>
                  </w:pPr>
                  <w:r>
                    <w:rPr>
                      <w:rFonts w:hint="eastAsia"/>
                      <w:b/>
                      <w:bCs/>
                      <w:sz w:val="21"/>
                      <w:szCs w:val="21"/>
                      <w:lang w:val="en-US" w:eastAsia="zh-CN"/>
                    </w:rPr>
                    <w:t>排放去向</w:t>
                  </w:r>
                </w:p>
              </w:tc>
            </w:tr>
            <w:tr w14:paraId="1A8FA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430" w:type="pct"/>
                  <w:vMerge w:val="continue"/>
                  <w:vAlign w:val="center"/>
                </w:tcPr>
                <w:p w14:paraId="59210840">
                  <w:pPr>
                    <w:spacing w:line="240" w:lineRule="auto"/>
                    <w:jc w:val="center"/>
                    <w:rPr>
                      <w:b/>
                      <w:bCs/>
                      <w:sz w:val="21"/>
                      <w:szCs w:val="21"/>
                    </w:rPr>
                  </w:pPr>
                </w:p>
              </w:tc>
              <w:tc>
                <w:tcPr>
                  <w:tcW w:w="346" w:type="pct"/>
                  <w:vMerge w:val="continue"/>
                  <w:vAlign w:val="center"/>
                </w:tcPr>
                <w:p w14:paraId="6540A88A">
                  <w:pPr>
                    <w:spacing w:line="240" w:lineRule="auto"/>
                    <w:jc w:val="center"/>
                    <w:rPr>
                      <w:b/>
                      <w:bCs/>
                      <w:sz w:val="21"/>
                      <w:szCs w:val="21"/>
                    </w:rPr>
                  </w:pPr>
                </w:p>
              </w:tc>
              <w:tc>
                <w:tcPr>
                  <w:tcW w:w="543" w:type="pct"/>
                  <w:vMerge w:val="continue"/>
                  <w:vAlign w:val="center"/>
                </w:tcPr>
                <w:p w14:paraId="73BE9169">
                  <w:pPr>
                    <w:spacing w:line="240" w:lineRule="auto"/>
                    <w:jc w:val="center"/>
                    <w:rPr>
                      <w:b/>
                      <w:bCs/>
                      <w:sz w:val="21"/>
                      <w:szCs w:val="21"/>
                    </w:rPr>
                  </w:pPr>
                </w:p>
              </w:tc>
              <w:tc>
                <w:tcPr>
                  <w:tcW w:w="489" w:type="pct"/>
                  <w:vAlign w:val="center"/>
                </w:tcPr>
                <w:p w14:paraId="4B47B328">
                  <w:pPr>
                    <w:spacing w:line="240" w:lineRule="auto"/>
                    <w:jc w:val="center"/>
                    <w:rPr>
                      <w:b/>
                      <w:bCs/>
                      <w:sz w:val="21"/>
                      <w:szCs w:val="21"/>
                    </w:rPr>
                  </w:pPr>
                  <w:r>
                    <w:rPr>
                      <w:b/>
                      <w:bCs/>
                      <w:sz w:val="21"/>
                      <w:szCs w:val="21"/>
                    </w:rPr>
                    <w:t>浓度mg/L</w:t>
                  </w:r>
                </w:p>
              </w:tc>
              <w:tc>
                <w:tcPr>
                  <w:tcW w:w="471" w:type="pct"/>
                  <w:vAlign w:val="center"/>
                </w:tcPr>
                <w:p w14:paraId="60043C46">
                  <w:pPr>
                    <w:spacing w:line="240" w:lineRule="auto"/>
                    <w:jc w:val="center"/>
                    <w:rPr>
                      <w:b/>
                      <w:bCs/>
                      <w:sz w:val="21"/>
                      <w:szCs w:val="21"/>
                    </w:rPr>
                  </w:pPr>
                  <w:r>
                    <w:rPr>
                      <w:b/>
                      <w:bCs/>
                      <w:sz w:val="21"/>
                      <w:szCs w:val="21"/>
                    </w:rPr>
                    <w:t>产生量t/a</w:t>
                  </w:r>
                </w:p>
              </w:tc>
              <w:tc>
                <w:tcPr>
                  <w:tcW w:w="441" w:type="pct"/>
                  <w:vMerge w:val="continue"/>
                  <w:shd w:val="clear" w:color="auto" w:fill="auto"/>
                  <w:vAlign w:val="center"/>
                </w:tcPr>
                <w:p w14:paraId="3C0147CF">
                  <w:pPr>
                    <w:spacing w:line="240" w:lineRule="auto"/>
                    <w:jc w:val="center"/>
                    <w:rPr>
                      <w:rFonts w:ascii="Times New Roman" w:hAnsi="Times New Roman" w:eastAsia="仿宋" w:cs="Times New Roman"/>
                      <w:b/>
                      <w:bCs/>
                      <w:kern w:val="2"/>
                      <w:sz w:val="21"/>
                      <w:szCs w:val="21"/>
                      <w:lang w:val="en-US" w:eastAsia="zh-CN" w:bidi="ar-SA"/>
                    </w:rPr>
                  </w:pPr>
                </w:p>
              </w:tc>
              <w:tc>
                <w:tcPr>
                  <w:tcW w:w="585" w:type="pct"/>
                  <w:shd w:val="clear" w:color="auto" w:fill="auto"/>
                  <w:vAlign w:val="center"/>
                </w:tcPr>
                <w:p w14:paraId="51B8D98E">
                  <w:pPr>
                    <w:spacing w:line="240" w:lineRule="auto"/>
                    <w:jc w:val="center"/>
                    <w:rPr>
                      <w:rFonts w:ascii="Times New Roman" w:hAnsi="Times New Roman" w:eastAsia="仿宋" w:cs="Times New Roman"/>
                      <w:b/>
                      <w:bCs/>
                      <w:kern w:val="2"/>
                      <w:sz w:val="21"/>
                      <w:szCs w:val="21"/>
                      <w:lang w:val="en-US" w:eastAsia="zh-CN" w:bidi="ar-SA"/>
                    </w:rPr>
                  </w:pPr>
                  <w:r>
                    <w:rPr>
                      <w:b/>
                      <w:bCs/>
                      <w:sz w:val="21"/>
                      <w:szCs w:val="21"/>
                    </w:rPr>
                    <w:t>浓度mg/L</w:t>
                  </w:r>
                </w:p>
              </w:tc>
              <w:tc>
                <w:tcPr>
                  <w:tcW w:w="510" w:type="pct"/>
                  <w:vAlign w:val="center"/>
                </w:tcPr>
                <w:p w14:paraId="491AC104">
                  <w:pPr>
                    <w:spacing w:line="240" w:lineRule="auto"/>
                    <w:jc w:val="center"/>
                    <w:rPr>
                      <w:b/>
                      <w:bCs/>
                      <w:sz w:val="21"/>
                      <w:szCs w:val="21"/>
                    </w:rPr>
                  </w:pPr>
                  <w:r>
                    <w:rPr>
                      <w:rFonts w:hint="eastAsia"/>
                      <w:b/>
                      <w:bCs/>
                      <w:sz w:val="21"/>
                      <w:szCs w:val="21"/>
                      <w:lang w:val="en-US" w:eastAsia="zh-CN"/>
                    </w:rPr>
                    <w:t>排放</w:t>
                  </w:r>
                  <w:r>
                    <w:rPr>
                      <w:b/>
                      <w:bCs/>
                      <w:sz w:val="21"/>
                      <w:szCs w:val="21"/>
                    </w:rPr>
                    <w:t>量t/a</w:t>
                  </w:r>
                </w:p>
              </w:tc>
              <w:tc>
                <w:tcPr>
                  <w:tcW w:w="1180" w:type="pct"/>
                  <w:vMerge w:val="continue"/>
                  <w:vAlign w:val="center"/>
                </w:tcPr>
                <w:p w14:paraId="2F84F219">
                  <w:pPr>
                    <w:spacing w:line="240" w:lineRule="auto"/>
                    <w:jc w:val="center"/>
                    <w:rPr>
                      <w:b/>
                      <w:bCs/>
                      <w:sz w:val="21"/>
                      <w:szCs w:val="21"/>
                    </w:rPr>
                  </w:pPr>
                </w:p>
              </w:tc>
            </w:tr>
            <w:tr w14:paraId="2C991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0" w:type="pct"/>
                  <w:vMerge w:val="restart"/>
                  <w:tcMar>
                    <w:left w:w="28" w:type="dxa"/>
                    <w:right w:w="28" w:type="dxa"/>
                  </w:tcMar>
                  <w:vAlign w:val="center"/>
                </w:tcPr>
                <w:p w14:paraId="06A25ACD">
                  <w:pPr>
                    <w:spacing w:line="240" w:lineRule="auto"/>
                    <w:jc w:val="center"/>
                    <w:rPr>
                      <w:sz w:val="21"/>
                      <w:szCs w:val="21"/>
                    </w:rPr>
                  </w:pPr>
                  <w:r>
                    <w:rPr>
                      <w:sz w:val="21"/>
                      <w:szCs w:val="21"/>
                    </w:rPr>
                    <w:t>生活</w:t>
                  </w:r>
                </w:p>
                <w:p w14:paraId="6AC5F66C">
                  <w:pPr>
                    <w:spacing w:line="240" w:lineRule="auto"/>
                    <w:jc w:val="center"/>
                    <w:rPr>
                      <w:sz w:val="21"/>
                      <w:szCs w:val="21"/>
                    </w:rPr>
                  </w:pPr>
                  <w:r>
                    <w:rPr>
                      <w:sz w:val="21"/>
                      <w:szCs w:val="21"/>
                    </w:rPr>
                    <w:t>污水</w:t>
                  </w:r>
                </w:p>
              </w:tc>
              <w:tc>
                <w:tcPr>
                  <w:tcW w:w="346" w:type="pct"/>
                  <w:vMerge w:val="restart"/>
                  <w:vAlign w:val="center"/>
                </w:tcPr>
                <w:p w14:paraId="5F24496F">
                  <w:pPr>
                    <w:spacing w:line="240" w:lineRule="auto"/>
                    <w:jc w:val="center"/>
                    <w:rPr>
                      <w:rFonts w:hint="default" w:eastAsia="仿宋"/>
                      <w:sz w:val="21"/>
                      <w:szCs w:val="21"/>
                      <w:lang w:val="en-US" w:eastAsia="zh-CN"/>
                    </w:rPr>
                  </w:pPr>
                  <w:r>
                    <w:rPr>
                      <w:rFonts w:hint="eastAsia"/>
                      <w:sz w:val="21"/>
                      <w:szCs w:val="21"/>
                      <w:lang w:val="en-US" w:eastAsia="zh-CN"/>
                    </w:rPr>
                    <w:t>672</w:t>
                  </w:r>
                </w:p>
              </w:tc>
              <w:tc>
                <w:tcPr>
                  <w:tcW w:w="543" w:type="pct"/>
                  <w:vAlign w:val="center"/>
                </w:tcPr>
                <w:p w14:paraId="1BBC7B8C">
                  <w:pPr>
                    <w:spacing w:line="240" w:lineRule="auto"/>
                    <w:jc w:val="center"/>
                    <w:rPr>
                      <w:sz w:val="21"/>
                      <w:szCs w:val="21"/>
                    </w:rPr>
                  </w:pPr>
                  <w:r>
                    <w:rPr>
                      <w:sz w:val="21"/>
                      <w:szCs w:val="21"/>
                    </w:rPr>
                    <w:t>COD</w:t>
                  </w:r>
                </w:p>
              </w:tc>
              <w:tc>
                <w:tcPr>
                  <w:tcW w:w="489" w:type="pct"/>
                  <w:vAlign w:val="center"/>
                </w:tcPr>
                <w:p w14:paraId="7459A113">
                  <w:pPr>
                    <w:spacing w:line="240" w:lineRule="auto"/>
                    <w:jc w:val="center"/>
                    <w:rPr>
                      <w:sz w:val="21"/>
                      <w:szCs w:val="21"/>
                    </w:rPr>
                  </w:pPr>
                  <w:r>
                    <w:rPr>
                      <w:sz w:val="21"/>
                      <w:szCs w:val="21"/>
                    </w:rPr>
                    <w:t>400</w:t>
                  </w:r>
                </w:p>
              </w:tc>
              <w:tc>
                <w:tcPr>
                  <w:tcW w:w="471" w:type="pct"/>
                  <w:vAlign w:val="center"/>
                </w:tcPr>
                <w:p w14:paraId="5734E2AC">
                  <w:pPr>
                    <w:spacing w:line="24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0.269 </w:t>
                  </w:r>
                </w:p>
              </w:tc>
              <w:tc>
                <w:tcPr>
                  <w:tcW w:w="441" w:type="pct"/>
                  <w:vMerge w:val="restart"/>
                  <w:vAlign w:val="center"/>
                </w:tcPr>
                <w:p w14:paraId="609BBE5F">
                  <w:pPr>
                    <w:spacing w:line="240" w:lineRule="auto"/>
                    <w:jc w:val="center"/>
                    <w:rPr>
                      <w:rFonts w:hint="default"/>
                      <w:sz w:val="21"/>
                      <w:szCs w:val="21"/>
                      <w:lang w:val="en-US" w:eastAsia="zh-CN"/>
                    </w:rPr>
                  </w:pPr>
                  <w:r>
                    <w:rPr>
                      <w:rFonts w:hint="eastAsia"/>
                      <w:sz w:val="21"/>
                      <w:szCs w:val="21"/>
                      <w:lang w:val="en-US" w:eastAsia="zh-CN"/>
                    </w:rPr>
                    <w:t>/</w:t>
                  </w:r>
                </w:p>
              </w:tc>
              <w:tc>
                <w:tcPr>
                  <w:tcW w:w="585" w:type="pct"/>
                  <w:vAlign w:val="center"/>
                </w:tcPr>
                <w:p w14:paraId="26AF857B">
                  <w:pPr>
                    <w:spacing w:line="240" w:lineRule="auto"/>
                    <w:jc w:val="center"/>
                    <w:rPr>
                      <w:rFonts w:hint="eastAsia"/>
                      <w:sz w:val="21"/>
                      <w:szCs w:val="21"/>
                      <w:lang w:val="en-US" w:eastAsia="zh-CN"/>
                    </w:rPr>
                  </w:pPr>
                  <w:r>
                    <w:rPr>
                      <w:sz w:val="21"/>
                      <w:szCs w:val="21"/>
                    </w:rPr>
                    <w:t>400</w:t>
                  </w:r>
                </w:p>
              </w:tc>
              <w:tc>
                <w:tcPr>
                  <w:tcW w:w="510" w:type="pct"/>
                  <w:shd w:val="clear" w:color="auto" w:fill="auto"/>
                  <w:vAlign w:val="center"/>
                </w:tcPr>
                <w:p w14:paraId="12ADDDF6">
                  <w:pPr>
                    <w:spacing w:line="240" w:lineRule="auto"/>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cs="Times New Roman"/>
                      <w:sz w:val="21"/>
                      <w:szCs w:val="21"/>
                      <w:lang w:val="en-US" w:eastAsia="zh-CN"/>
                    </w:rPr>
                    <w:t xml:space="preserve">0.269 </w:t>
                  </w:r>
                </w:p>
              </w:tc>
              <w:tc>
                <w:tcPr>
                  <w:tcW w:w="1180" w:type="pct"/>
                  <w:vMerge w:val="restart"/>
                  <w:vAlign w:val="center"/>
                </w:tcPr>
                <w:p w14:paraId="19CCD271">
                  <w:pPr>
                    <w:spacing w:line="320" w:lineRule="exact"/>
                    <w:jc w:val="center"/>
                    <w:rPr>
                      <w:rFonts w:hint="eastAsia"/>
                      <w:sz w:val="21"/>
                      <w:szCs w:val="21"/>
                      <w:lang w:val="en-US" w:eastAsia="zh-CN"/>
                    </w:rPr>
                  </w:pPr>
                  <w:r>
                    <w:rPr>
                      <w:sz w:val="21"/>
                      <w:szCs w:val="21"/>
                    </w:rPr>
                    <w:t>接管至</w:t>
                  </w:r>
                  <w:r>
                    <w:rPr>
                      <w:rFonts w:hint="eastAsia"/>
                      <w:sz w:val="21"/>
                      <w:szCs w:val="21"/>
                    </w:rPr>
                    <w:t>常州东方横山水处理有限公司</w:t>
                  </w:r>
                  <w:r>
                    <w:rPr>
                      <w:sz w:val="21"/>
                      <w:szCs w:val="21"/>
                    </w:rPr>
                    <w:t>处理，尾水排入</w:t>
                  </w:r>
                  <w:r>
                    <w:rPr>
                      <w:rFonts w:hint="eastAsia"/>
                      <w:sz w:val="21"/>
                      <w:szCs w:val="21"/>
                    </w:rPr>
                    <w:t>三山港</w:t>
                  </w:r>
                </w:p>
              </w:tc>
            </w:tr>
            <w:tr w14:paraId="43D6A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7" w:hRule="atLeast"/>
              </w:trPr>
              <w:tc>
                <w:tcPr>
                  <w:tcW w:w="430" w:type="pct"/>
                  <w:vMerge w:val="continue"/>
                  <w:tcMar>
                    <w:left w:w="28" w:type="dxa"/>
                    <w:right w:w="28" w:type="dxa"/>
                  </w:tcMar>
                  <w:vAlign w:val="center"/>
                </w:tcPr>
                <w:p w14:paraId="71223E1C">
                  <w:pPr>
                    <w:spacing w:line="240" w:lineRule="auto"/>
                    <w:jc w:val="center"/>
                    <w:rPr>
                      <w:sz w:val="21"/>
                      <w:szCs w:val="21"/>
                    </w:rPr>
                  </w:pPr>
                </w:p>
              </w:tc>
              <w:tc>
                <w:tcPr>
                  <w:tcW w:w="346" w:type="pct"/>
                  <w:vMerge w:val="continue"/>
                  <w:vAlign w:val="center"/>
                </w:tcPr>
                <w:p w14:paraId="3AAE16D4">
                  <w:pPr>
                    <w:spacing w:line="240" w:lineRule="auto"/>
                    <w:jc w:val="center"/>
                    <w:rPr>
                      <w:sz w:val="21"/>
                      <w:szCs w:val="21"/>
                    </w:rPr>
                  </w:pPr>
                </w:p>
              </w:tc>
              <w:tc>
                <w:tcPr>
                  <w:tcW w:w="543" w:type="pct"/>
                  <w:vAlign w:val="center"/>
                </w:tcPr>
                <w:p w14:paraId="330C16BA">
                  <w:pPr>
                    <w:spacing w:line="240" w:lineRule="auto"/>
                    <w:jc w:val="center"/>
                    <w:rPr>
                      <w:sz w:val="21"/>
                      <w:szCs w:val="21"/>
                    </w:rPr>
                  </w:pPr>
                  <w:r>
                    <w:rPr>
                      <w:sz w:val="21"/>
                      <w:szCs w:val="21"/>
                    </w:rPr>
                    <w:t>SS</w:t>
                  </w:r>
                </w:p>
              </w:tc>
              <w:tc>
                <w:tcPr>
                  <w:tcW w:w="489" w:type="pct"/>
                  <w:vAlign w:val="center"/>
                </w:tcPr>
                <w:p w14:paraId="18DB9A96">
                  <w:pPr>
                    <w:spacing w:line="240" w:lineRule="auto"/>
                    <w:jc w:val="center"/>
                    <w:rPr>
                      <w:sz w:val="21"/>
                      <w:szCs w:val="21"/>
                    </w:rPr>
                  </w:pPr>
                  <w:r>
                    <w:rPr>
                      <w:sz w:val="21"/>
                      <w:szCs w:val="21"/>
                    </w:rPr>
                    <w:t>300</w:t>
                  </w:r>
                </w:p>
              </w:tc>
              <w:tc>
                <w:tcPr>
                  <w:tcW w:w="471" w:type="pct"/>
                  <w:vAlign w:val="center"/>
                </w:tcPr>
                <w:p w14:paraId="09A414CC">
                  <w:pPr>
                    <w:spacing w:line="24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0.202 </w:t>
                  </w:r>
                </w:p>
              </w:tc>
              <w:tc>
                <w:tcPr>
                  <w:tcW w:w="441" w:type="pct"/>
                  <w:vMerge w:val="continue"/>
                  <w:vAlign w:val="center"/>
                </w:tcPr>
                <w:p w14:paraId="19CB454B">
                  <w:pPr>
                    <w:spacing w:line="240" w:lineRule="auto"/>
                    <w:jc w:val="center"/>
                    <w:rPr>
                      <w:rFonts w:hint="eastAsia"/>
                      <w:sz w:val="21"/>
                      <w:szCs w:val="21"/>
                      <w:lang w:val="en-US" w:eastAsia="zh-CN"/>
                    </w:rPr>
                  </w:pPr>
                </w:p>
              </w:tc>
              <w:tc>
                <w:tcPr>
                  <w:tcW w:w="585" w:type="pct"/>
                  <w:vAlign w:val="center"/>
                </w:tcPr>
                <w:p w14:paraId="1775CD1A">
                  <w:pPr>
                    <w:spacing w:line="240" w:lineRule="auto"/>
                    <w:jc w:val="center"/>
                    <w:rPr>
                      <w:rFonts w:hint="eastAsia"/>
                      <w:sz w:val="21"/>
                      <w:szCs w:val="21"/>
                      <w:lang w:val="en-US" w:eastAsia="zh-CN"/>
                    </w:rPr>
                  </w:pPr>
                  <w:r>
                    <w:rPr>
                      <w:sz w:val="21"/>
                      <w:szCs w:val="21"/>
                    </w:rPr>
                    <w:t>300</w:t>
                  </w:r>
                </w:p>
              </w:tc>
              <w:tc>
                <w:tcPr>
                  <w:tcW w:w="510" w:type="pct"/>
                  <w:shd w:val="clear" w:color="auto" w:fill="auto"/>
                  <w:vAlign w:val="center"/>
                </w:tcPr>
                <w:p w14:paraId="069536C0">
                  <w:pPr>
                    <w:spacing w:line="240" w:lineRule="auto"/>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cs="Times New Roman"/>
                      <w:sz w:val="21"/>
                      <w:szCs w:val="21"/>
                      <w:lang w:val="en-US" w:eastAsia="zh-CN"/>
                    </w:rPr>
                    <w:t xml:space="preserve">0.202 </w:t>
                  </w:r>
                </w:p>
              </w:tc>
              <w:tc>
                <w:tcPr>
                  <w:tcW w:w="1180" w:type="pct"/>
                  <w:vMerge w:val="continue"/>
                  <w:vAlign w:val="center"/>
                </w:tcPr>
                <w:p w14:paraId="552CE737">
                  <w:pPr>
                    <w:spacing w:line="240" w:lineRule="auto"/>
                    <w:jc w:val="center"/>
                    <w:rPr>
                      <w:rFonts w:hint="eastAsia"/>
                      <w:sz w:val="21"/>
                      <w:szCs w:val="21"/>
                      <w:lang w:val="en-US" w:eastAsia="zh-CN"/>
                    </w:rPr>
                  </w:pPr>
                </w:p>
              </w:tc>
            </w:tr>
            <w:tr w14:paraId="02870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0" w:type="pct"/>
                  <w:vMerge w:val="continue"/>
                  <w:vAlign w:val="center"/>
                </w:tcPr>
                <w:p w14:paraId="2D60C0BB">
                  <w:pPr>
                    <w:spacing w:line="240" w:lineRule="auto"/>
                    <w:jc w:val="center"/>
                    <w:rPr>
                      <w:sz w:val="21"/>
                      <w:szCs w:val="21"/>
                    </w:rPr>
                  </w:pPr>
                </w:p>
              </w:tc>
              <w:tc>
                <w:tcPr>
                  <w:tcW w:w="346" w:type="pct"/>
                  <w:vMerge w:val="continue"/>
                  <w:vAlign w:val="center"/>
                </w:tcPr>
                <w:p w14:paraId="630677A7">
                  <w:pPr>
                    <w:spacing w:line="240" w:lineRule="auto"/>
                    <w:jc w:val="center"/>
                    <w:rPr>
                      <w:sz w:val="21"/>
                      <w:szCs w:val="21"/>
                    </w:rPr>
                  </w:pPr>
                </w:p>
              </w:tc>
              <w:tc>
                <w:tcPr>
                  <w:tcW w:w="543" w:type="pct"/>
                  <w:vAlign w:val="center"/>
                </w:tcPr>
                <w:p w14:paraId="59C7D393">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489" w:type="pct"/>
                  <w:vAlign w:val="center"/>
                </w:tcPr>
                <w:p w14:paraId="686497F1">
                  <w:pPr>
                    <w:spacing w:line="240" w:lineRule="auto"/>
                    <w:jc w:val="center"/>
                    <w:rPr>
                      <w:sz w:val="21"/>
                      <w:szCs w:val="21"/>
                    </w:rPr>
                  </w:pPr>
                  <w:r>
                    <w:rPr>
                      <w:rFonts w:hint="eastAsia"/>
                      <w:sz w:val="21"/>
                      <w:szCs w:val="21"/>
                    </w:rPr>
                    <w:t>30</w:t>
                  </w:r>
                </w:p>
              </w:tc>
              <w:tc>
                <w:tcPr>
                  <w:tcW w:w="471" w:type="pct"/>
                  <w:vAlign w:val="center"/>
                </w:tcPr>
                <w:p w14:paraId="0786370D">
                  <w:pPr>
                    <w:spacing w:line="24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0.020 </w:t>
                  </w:r>
                </w:p>
              </w:tc>
              <w:tc>
                <w:tcPr>
                  <w:tcW w:w="441" w:type="pct"/>
                  <w:vMerge w:val="continue"/>
                  <w:vAlign w:val="center"/>
                </w:tcPr>
                <w:p w14:paraId="5C9AF4C3">
                  <w:pPr>
                    <w:spacing w:line="240" w:lineRule="auto"/>
                    <w:jc w:val="center"/>
                    <w:rPr>
                      <w:rFonts w:hint="eastAsia"/>
                      <w:sz w:val="21"/>
                      <w:szCs w:val="21"/>
                      <w:lang w:val="en-US" w:eastAsia="zh-CN"/>
                    </w:rPr>
                  </w:pPr>
                </w:p>
              </w:tc>
              <w:tc>
                <w:tcPr>
                  <w:tcW w:w="585" w:type="pct"/>
                  <w:vAlign w:val="center"/>
                </w:tcPr>
                <w:p w14:paraId="1CE13813">
                  <w:pPr>
                    <w:spacing w:line="240" w:lineRule="auto"/>
                    <w:jc w:val="center"/>
                    <w:rPr>
                      <w:rFonts w:hint="eastAsia"/>
                      <w:sz w:val="21"/>
                      <w:szCs w:val="21"/>
                      <w:lang w:val="en-US" w:eastAsia="zh-CN"/>
                    </w:rPr>
                  </w:pPr>
                  <w:r>
                    <w:rPr>
                      <w:rFonts w:hint="eastAsia"/>
                      <w:sz w:val="21"/>
                      <w:szCs w:val="21"/>
                    </w:rPr>
                    <w:t>30</w:t>
                  </w:r>
                </w:p>
              </w:tc>
              <w:tc>
                <w:tcPr>
                  <w:tcW w:w="510" w:type="pct"/>
                  <w:shd w:val="clear" w:color="auto" w:fill="auto"/>
                  <w:vAlign w:val="center"/>
                </w:tcPr>
                <w:p w14:paraId="58D0689E">
                  <w:pPr>
                    <w:spacing w:line="240" w:lineRule="auto"/>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cs="Times New Roman"/>
                      <w:sz w:val="21"/>
                      <w:szCs w:val="21"/>
                      <w:lang w:val="en-US" w:eastAsia="zh-CN"/>
                    </w:rPr>
                    <w:t xml:space="preserve">0.020 </w:t>
                  </w:r>
                </w:p>
              </w:tc>
              <w:tc>
                <w:tcPr>
                  <w:tcW w:w="1180" w:type="pct"/>
                  <w:vMerge w:val="continue"/>
                  <w:vAlign w:val="center"/>
                </w:tcPr>
                <w:p w14:paraId="629CA2BC">
                  <w:pPr>
                    <w:spacing w:line="240" w:lineRule="auto"/>
                    <w:jc w:val="center"/>
                    <w:rPr>
                      <w:rFonts w:hint="eastAsia"/>
                      <w:sz w:val="21"/>
                      <w:szCs w:val="21"/>
                      <w:lang w:val="en-US" w:eastAsia="zh-CN"/>
                    </w:rPr>
                  </w:pPr>
                </w:p>
              </w:tc>
            </w:tr>
            <w:tr w14:paraId="2DCFA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0" w:type="pct"/>
                  <w:vMerge w:val="continue"/>
                  <w:vAlign w:val="center"/>
                </w:tcPr>
                <w:p w14:paraId="26D57E7C">
                  <w:pPr>
                    <w:spacing w:line="240" w:lineRule="auto"/>
                    <w:jc w:val="center"/>
                    <w:rPr>
                      <w:sz w:val="21"/>
                      <w:szCs w:val="21"/>
                    </w:rPr>
                  </w:pPr>
                </w:p>
              </w:tc>
              <w:tc>
                <w:tcPr>
                  <w:tcW w:w="346" w:type="pct"/>
                  <w:vMerge w:val="continue"/>
                  <w:vAlign w:val="center"/>
                </w:tcPr>
                <w:p w14:paraId="14CABE4A">
                  <w:pPr>
                    <w:spacing w:line="240" w:lineRule="auto"/>
                    <w:jc w:val="center"/>
                    <w:rPr>
                      <w:sz w:val="21"/>
                      <w:szCs w:val="21"/>
                    </w:rPr>
                  </w:pPr>
                </w:p>
              </w:tc>
              <w:tc>
                <w:tcPr>
                  <w:tcW w:w="543" w:type="pct"/>
                  <w:vAlign w:val="center"/>
                </w:tcPr>
                <w:p w14:paraId="59DD668F">
                  <w:pPr>
                    <w:spacing w:line="240" w:lineRule="auto"/>
                    <w:jc w:val="center"/>
                    <w:rPr>
                      <w:sz w:val="21"/>
                      <w:szCs w:val="21"/>
                    </w:rPr>
                  </w:pPr>
                  <w:r>
                    <w:rPr>
                      <w:sz w:val="21"/>
                      <w:szCs w:val="21"/>
                    </w:rPr>
                    <w:t>TN</w:t>
                  </w:r>
                </w:p>
              </w:tc>
              <w:tc>
                <w:tcPr>
                  <w:tcW w:w="489" w:type="pct"/>
                  <w:vAlign w:val="center"/>
                </w:tcPr>
                <w:p w14:paraId="6ADDD40B">
                  <w:pPr>
                    <w:spacing w:line="240" w:lineRule="auto"/>
                    <w:jc w:val="center"/>
                    <w:rPr>
                      <w:sz w:val="21"/>
                      <w:szCs w:val="21"/>
                    </w:rPr>
                  </w:pPr>
                  <w:r>
                    <w:rPr>
                      <w:sz w:val="21"/>
                      <w:szCs w:val="21"/>
                    </w:rPr>
                    <w:t>50</w:t>
                  </w:r>
                </w:p>
              </w:tc>
              <w:tc>
                <w:tcPr>
                  <w:tcW w:w="471" w:type="pct"/>
                  <w:vAlign w:val="center"/>
                </w:tcPr>
                <w:p w14:paraId="6D769CC4">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0.034 </w:t>
                  </w:r>
                </w:p>
              </w:tc>
              <w:tc>
                <w:tcPr>
                  <w:tcW w:w="441" w:type="pct"/>
                  <w:vMerge w:val="continue"/>
                  <w:vAlign w:val="center"/>
                </w:tcPr>
                <w:p w14:paraId="02E2A9EB">
                  <w:pPr>
                    <w:spacing w:line="240" w:lineRule="auto"/>
                    <w:jc w:val="center"/>
                    <w:rPr>
                      <w:rFonts w:hint="eastAsia"/>
                      <w:sz w:val="21"/>
                      <w:szCs w:val="21"/>
                      <w:lang w:val="en-US" w:eastAsia="zh-CN"/>
                    </w:rPr>
                  </w:pPr>
                </w:p>
              </w:tc>
              <w:tc>
                <w:tcPr>
                  <w:tcW w:w="585" w:type="pct"/>
                  <w:vAlign w:val="center"/>
                </w:tcPr>
                <w:p w14:paraId="0662EC95">
                  <w:pPr>
                    <w:spacing w:line="240" w:lineRule="auto"/>
                    <w:jc w:val="center"/>
                    <w:rPr>
                      <w:rFonts w:hint="eastAsia"/>
                      <w:sz w:val="21"/>
                      <w:szCs w:val="21"/>
                      <w:lang w:val="en-US" w:eastAsia="zh-CN"/>
                    </w:rPr>
                  </w:pPr>
                  <w:r>
                    <w:rPr>
                      <w:sz w:val="21"/>
                      <w:szCs w:val="21"/>
                    </w:rPr>
                    <w:t>50</w:t>
                  </w:r>
                </w:p>
              </w:tc>
              <w:tc>
                <w:tcPr>
                  <w:tcW w:w="510" w:type="pct"/>
                  <w:shd w:val="clear" w:color="auto" w:fill="auto"/>
                  <w:vAlign w:val="center"/>
                </w:tcPr>
                <w:p w14:paraId="1676E637">
                  <w:pPr>
                    <w:spacing w:line="240" w:lineRule="auto"/>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cs="Times New Roman"/>
                      <w:sz w:val="21"/>
                      <w:szCs w:val="21"/>
                      <w:lang w:val="en-US" w:eastAsia="zh-CN"/>
                    </w:rPr>
                    <w:t xml:space="preserve">0.034 </w:t>
                  </w:r>
                </w:p>
              </w:tc>
              <w:tc>
                <w:tcPr>
                  <w:tcW w:w="1180" w:type="pct"/>
                  <w:vMerge w:val="continue"/>
                  <w:vAlign w:val="center"/>
                </w:tcPr>
                <w:p w14:paraId="0A6BCE3E">
                  <w:pPr>
                    <w:spacing w:line="240" w:lineRule="auto"/>
                    <w:jc w:val="center"/>
                    <w:rPr>
                      <w:rFonts w:hint="eastAsia"/>
                      <w:sz w:val="21"/>
                      <w:szCs w:val="21"/>
                      <w:lang w:val="en-US" w:eastAsia="zh-CN"/>
                    </w:rPr>
                  </w:pPr>
                </w:p>
              </w:tc>
            </w:tr>
            <w:tr w14:paraId="43BF0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30" w:type="pct"/>
                  <w:vMerge w:val="continue"/>
                  <w:vAlign w:val="center"/>
                </w:tcPr>
                <w:p w14:paraId="201E3D89">
                  <w:pPr>
                    <w:spacing w:line="240" w:lineRule="auto"/>
                    <w:jc w:val="center"/>
                    <w:rPr>
                      <w:sz w:val="21"/>
                      <w:szCs w:val="21"/>
                    </w:rPr>
                  </w:pPr>
                </w:p>
              </w:tc>
              <w:tc>
                <w:tcPr>
                  <w:tcW w:w="346" w:type="pct"/>
                  <w:vMerge w:val="continue"/>
                  <w:vAlign w:val="center"/>
                </w:tcPr>
                <w:p w14:paraId="7E50C266">
                  <w:pPr>
                    <w:spacing w:line="240" w:lineRule="auto"/>
                    <w:jc w:val="center"/>
                    <w:rPr>
                      <w:sz w:val="21"/>
                      <w:szCs w:val="21"/>
                    </w:rPr>
                  </w:pPr>
                </w:p>
              </w:tc>
              <w:tc>
                <w:tcPr>
                  <w:tcW w:w="543" w:type="pct"/>
                  <w:vAlign w:val="center"/>
                </w:tcPr>
                <w:p w14:paraId="09D270BB">
                  <w:pPr>
                    <w:spacing w:line="240" w:lineRule="auto"/>
                    <w:jc w:val="center"/>
                    <w:rPr>
                      <w:sz w:val="21"/>
                      <w:szCs w:val="21"/>
                    </w:rPr>
                  </w:pPr>
                  <w:r>
                    <w:rPr>
                      <w:sz w:val="21"/>
                      <w:szCs w:val="21"/>
                    </w:rPr>
                    <w:t>TP</w:t>
                  </w:r>
                </w:p>
              </w:tc>
              <w:tc>
                <w:tcPr>
                  <w:tcW w:w="489" w:type="pct"/>
                  <w:vAlign w:val="center"/>
                </w:tcPr>
                <w:p w14:paraId="4E036990">
                  <w:pPr>
                    <w:spacing w:line="240" w:lineRule="auto"/>
                    <w:jc w:val="center"/>
                    <w:rPr>
                      <w:sz w:val="21"/>
                      <w:szCs w:val="21"/>
                    </w:rPr>
                  </w:pPr>
                  <w:r>
                    <w:rPr>
                      <w:sz w:val="21"/>
                      <w:szCs w:val="21"/>
                    </w:rPr>
                    <w:t>5</w:t>
                  </w:r>
                </w:p>
              </w:tc>
              <w:tc>
                <w:tcPr>
                  <w:tcW w:w="471" w:type="pct"/>
                  <w:vAlign w:val="center"/>
                </w:tcPr>
                <w:p w14:paraId="2ADA555C">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w:t>
                  </w:r>
                </w:p>
              </w:tc>
              <w:tc>
                <w:tcPr>
                  <w:tcW w:w="441" w:type="pct"/>
                  <w:vMerge w:val="continue"/>
                  <w:vAlign w:val="center"/>
                </w:tcPr>
                <w:p w14:paraId="13024797">
                  <w:pPr>
                    <w:spacing w:line="240" w:lineRule="auto"/>
                    <w:jc w:val="center"/>
                    <w:rPr>
                      <w:rFonts w:hint="eastAsia"/>
                      <w:sz w:val="21"/>
                      <w:szCs w:val="21"/>
                      <w:lang w:val="en-US" w:eastAsia="zh-CN"/>
                    </w:rPr>
                  </w:pPr>
                </w:p>
              </w:tc>
              <w:tc>
                <w:tcPr>
                  <w:tcW w:w="585" w:type="pct"/>
                  <w:vAlign w:val="center"/>
                </w:tcPr>
                <w:p w14:paraId="29A04572">
                  <w:pPr>
                    <w:spacing w:line="240" w:lineRule="auto"/>
                    <w:jc w:val="center"/>
                    <w:rPr>
                      <w:rFonts w:hint="eastAsia"/>
                      <w:sz w:val="21"/>
                      <w:szCs w:val="21"/>
                      <w:lang w:val="en-US" w:eastAsia="zh-CN"/>
                    </w:rPr>
                  </w:pPr>
                  <w:r>
                    <w:rPr>
                      <w:sz w:val="21"/>
                      <w:szCs w:val="21"/>
                    </w:rPr>
                    <w:t>5</w:t>
                  </w:r>
                </w:p>
              </w:tc>
              <w:tc>
                <w:tcPr>
                  <w:tcW w:w="510" w:type="pct"/>
                  <w:shd w:val="clear" w:color="auto" w:fill="auto"/>
                  <w:vAlign w:val="center"/>
                </w:tcPr>
                <w:p w14:paraId="006C9CBF">
                  <w:pPr>
                    <w:spacing w:line="240" w:lineRule="auto"/>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cs="Times New Roman"/>
                      <w:sz w:val="21"/>
                      <w:szCs w:val="21"/>
                      <w:lang w:val="en-US" w:eastAsia="zh-CN"/>
                    </w:rPr>
                    <w:t>0.003</w:t>
                  </w:r>
                </w:p>
              </w:tc>
              <w:tc>
                <w:tcPr>
                  <w:tcW w:w="1180" w:type="pct"/>
                  <w:vMerge w:val="continue"/>
                  <w:vAlign w:val="center"/>
                </w:tcPr>
                <w:p w14:paraId="78E1CF4A">
                  <w:pPr>
                    <w:spacing w:line="240" w:lineRule="auto"/>
                    <w:jc w:val="center"/>
                    <w:rPr>
                      <w:rFonts w:hint="eastAsia"/>
                      <w:sz w:val="21"/>
                      <w:szCs w:val="21"/>
                      <w:lang w:val="en-US" w:eastAsia="zh-CN"/>
                    </w:rPr>
                  </w:pPr>
                </w:p>
              </w:tc>
            </w:tr>
          </w:tbl>
          <w:p w14:paraId="22619425">
            <w:pPr>
              <w:spacing w:line="460" w:lineRule="exact"/>
              <w:ind w:firstLine="482" w:firstLineChars="200"/>
              <w:rPr>
                <w:rFonts w:hint="default"/>
                <w:b/>
                <w:bCs/>
                <w:lang w:val="en-US" w:eastAsia="zh-CN"/>
              </w:rPr>
            </w:pPr>
            <w:r>
              <w:rPr>
                <w:rFonts w:hint="eastAsia"/>
                <w:b/>
                <w:bCs/>
                <w:lang w:val="en-US" w:eastAsia="zh-CN"/>
              </w:rPr>
              <w:t>2.</w:t>
            </w:r>
            <w:r>
              <w:rPr>
                <w:rFonts w:hint="default"/>
                <w:b/>
                <w:bCs/>
                <w:lang w:val="en-US" w:eastAsia="zh-CN"/>
              </w:rPr>
              <w:t>4</w:t>
            </w:r>
            <w:r>
              <w:rPr>
                <w:rFonts w:hint="eastAsia"/>
                <w:b/>
                <w:bCs/>
                <w:lang w:val="en-US" w:eastAsia="zh-CN"/>
              </w:rPr>
              <w:t>项目水污染物排放信息</w:t>
            </w:r>
          </w:p>
          <w:p w14:paraId="13F94D59">
            <w:pPr>
              <w:spacing w:line="480" w:lineRule="exact"/>
              <w:ind w:firstLine="480" w:firstLineChars="200"/>
              <w:rPr>
                <w:rFonts w:ascii="仿宋" w:hAnsi="仿宋" w:cs="仿宋"/>
              </w:rPr>
            </w:pPr>
            <w:r>
              <w:rPr>
                <w:rFonts w:hint="eastAsia" w:ascii="仿宋" w:hAnsi="仿宋" w:cs="仿宋"/>
              </w:rPr>
              <w:t>①排放口基本信息</w:t>
            </w:r>
          </w:p>
          <w:p w14:paraId="368106EE">
            <w:pPr>
              <w:spacing w:line="400" w:lineRule="exact"/>
              <w:ind w:firstLine="480" w:firstLineChars="200"/>
            </w:pPr>
            <w:r>
              <w:rPr>
                <w:rFonts w:hint="eastAsia"/>
              </w:rPr>
              <w:t>本项目废</w:t>
            </w:r>
            <w:r>
              <w:t>水类别、污染物及污染治理设施信息见表4-</w:t>
            </w:r>
            <w:r>
              <w:rPr>
                <w:rFonts w:hint="default"/>
                <w:lang w:val="en-US"/>
              </w:rPr>
              <w:t>1</w:t>
            </w:r>
            <w:r>
              <w:rPr>
                <w:rFonts w:hint="eastAsia"/>
                <w:lang w:val="en-US" w:eastAsia="zh-CN"/>
              </w:rPr>
              <w:t>4</w:t>
            </w:r>
            <w:r>
              <w:t>。</w:t>
            </w:r>
          </w:p>
          <w:p w14:paraId="5B8EDBB9">
            <w:pPr>
              <w:pStyle w:val="2"/>
              <w:spacing w:before="0" w:after="0" w:line="240" w:lineRule="auto"/>
              <w:ind w:right="0" w:firstLine="422" w:firstLineChars="200"/>
              <w:jc w:val="center"/>
              <w:rPr>
                <w:b/>
                <w:bCs/>
                <w:sz w:val="21"/>
                <w:szCs w:val="21"/>
              </w:rPr>
            </w:pPr>
            <w:r>
              <w:rPr>
                <w:b/>
                <w:bCs/>
                <w:sz w:val="21"/>
                <w:szCs w:val="21"/>
              </w:rPr>
              <w:t>表4-</w:t>
            </w:r>
            <w:r>
              <w:rPr>
                <w:rFonts w:hint="default"/>
                <w:b/>
                <w:bCs/>
                <w:sz w:val="21"/>
                <w:szCs w:val="21"/>
                <w:lang w:val="en-US"/>
              </w:rPr>
              <w:t>1</w:t>
            </w:r>
            <w:r>
              <w:rPr>
                <w:rFonts w:hint="eastAsia"/>
                <w:b/>
                <w:bCs/>
                <w:sz w:val="21"/>
                <w:szCs w:val="21"/>
                <w:lang w:val="en-US" w:eastAsia="zh-CN"/>
              </w:rPr>
              <w:t>4</w:t>
            </w:r>
            <w:r>
              <w:rPr>
                <w:b/>
                <w:bCs/>
                <w:sz w:val="21"/>
                <w:szCs w:val="21"/>
              </w:rPr>
              <w:t xml:space="preserve">  废水类别、污染物及污染治理设施信息表</w:t>
            </w:r>
          </w:p>
          <w:tbl>
            <w:tblPr>
              <w:tblStyle w:val="20"/>
              <w:tblW w:w="4998"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18"/>
              <w:gridCol w:w="1112"/>
              <w:gridCol w:w="1250"/>
              <w:gridCol w:w="946"/>
              <w:gridCol w:w="1577"/>
              <w:gridCol w:w="1074"/>
              <w:gridCol w:w="1280"/>
              <w:gridCol w:w="1134"/>
              <w:gridCol w:w="948"/>
              <w:gridCol w:w="1077"/>
              <w:gridCol w:w="1652"/>
            </w:tblGrid>
            <w:tr w14:paraId="4F3D014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06" w:type="pct"/>
                  <w:vMerge w:val="restart"/>
                  <w:tcBorders>
                    <w:top w:val="single" w:color="auto" w:sz="12" w:space="0"/>
                  </w:tcBorders>
                  <w:vAlign w:val="center"/>
                </w:tcPr>
                <w:p w14:paraId="6D6FFE2D">
                  <w:pPr>
                    <w:pStyle w:val="18"/>
                    <w:spacing w:before="0" w:after="0" w:line="260" w:lineRule="exact"/>
                    <w:ind w:right="0" w:firstLine="0" w:firstLineChars="0"/>
                    <w:jc w:val="center"/>
                    <w:rPr>
                      <w:b/>
                      <w:bCs/>
                      <w:szCs w:val="21"/>
                    </w:rPr>
                  </w:pPr>
                  <w:r>
                    <w:rPr>
                      <w:b/>
                      <w:bCs/>
                      <w:szCs w:val="21"/>
                    </w:rPr>
                    <w:t>序号</w:t>
                  </w:r>
                </w:p>
              </w:tc>
              <w:tc>
                <w:tcPr>
                  <w:tcW w:w="442" w:type="pct"/>
                  <w:vMerge w:val="restart"/>
                  <w:tcBorders>
                    <w:top w:val="single" w:color="auto" w:sz="12" w:space="0"/>
                  </w:tcBorders>
                  <w:vAlign w:val="center"/>
                </w:tcPr>
                <w:p w14:paraId="58A45030">
                  <w:pPr>
                    <w:pStyle w:val="18"/>
                    <w:spacing w:before="0" w:after="0" w:line="260" w:lineRule="exact"/>
                    <w:ind w:right="0" w:firstLine="0" w:firstLineChars="0"/>
                    <w:jc w:val="center"/>
                    <w:rPr>
                      <w:b/>
                      <w:bCs/>
                      <w:szCs w:val="21"/>
                    </w:rPr>
                  </w:pPr>
                  <w:r>
                    <w:rPr>
                      <w:b/>
                      <w:bCs/>
                      <w:szCs w:val="21"/>
                    </w:rPr>
                    <w:t>废水类别</w:t>
                  </w:r>
                </w:p>
              </w:tc>
              <w:tc>
                <w:tcPr>
                  <w:tcW w:w="497" w:type="pct"/>
                  <w:vMerge w:val="restart"/>
                  <w:tcBorders>
                    <w:top w:val="single" w:color="auto" w:sz="12" w:space="0"/>
                  </w:tcBorders>
                  <w:vAlign w:val="center"/>
                </w:tcPr>
                <w:p w14:paraId="034BA3A7">
                  <w:pPr>
                    <w:pStyle w:val="18"/>
                    <w:spacing w:before="0" w:after="0" w:line="260" w:lineRule="exact"/>
                    <w:ind w:right="0" w:firstLine="0" w:firstLineChars="0"/>
                    <w:jc w:val="center"/>
                    <w:rPr>
                      <w:b/>
                      <w:bCs/>
                      <w:szCs w:val="21"/>
                    </w:rPr>
                  </w:pPr>
                  <w:r>
                    <w:rPr>
                      <w:b/>
                      <w:bCs/>
                      <w:szCs w:val="21"/>
                    </w:rPr>
                    <w:t>污染物</w:t>
                  </w:r>
                </w:p>
                <w:p w14:paraId="7E3F3B96">
                  <w:pPr>
                    <w:pStyle w:val="18"/>
                    <w:spacing w:before="0" w:after="0" w:line="260" w:lineRule="exact"/>
                    <w:ind w:right="0" w:firstLine="0" w:firstLineChars="0"/>
                    <w:jc w:val="center"/>
                    <w:rPr>
                      <w:b/>
                      <w:bCs/>
                      <w:szCs w:val="21"/>
                    </w:rPr>
                  </w:pPr>
                  <w:r>
                    <w:rPr>
                      <w:b/>
                      <w:bCs/>
                      <w:szCs w:val="21"/>
                    </w:rPr>
                    <w:t>种类</w:t>
                  </w:r>
                </w:p>
              </w:tc>
              <w:tc>
                <w:tcPr>
                  <w:tcW w:w="376" w:type="pct"/>
                  <w:vMerge w:val="restart"/>
                  <w:tcBorders>
                    <w:top w:val="single" w:color="auto" w:sz="12" w:space="0"/>
                  </w:tcBorders>
                  <w:vAlign w:val="center"/>
                </w:tcPr>
                <w:p w14:paraId="4285392A">
                  <w:pPr>
                    <w:pStyle w:val="18"/>
                    <w:spacing w:before="0" w:after="0" w:line="260" w:lineRule="exact"/>
                    <w:ind w:right="0" w:firstLine="0" w:firstLineChars="0"/>
                    <w:jc w:val="center"/>
                    <w:rPr>
                      <w:b/>
                      <w:bCs/>
                      <w:szCs w:val="21"/>
                    </w:rPr>
                  </w:pPr>
                  <w:r>
                    <w:rPr>
                      <w:b/>
                      <w:bCs/>
                      <w:szCs w:val="21"/>
                    </w:rPr>
                    <w:t>排放去向</w:t>
                  </w:r>
                </w:p>
              </w:tc>
              <w:tc>
                <w:tcPr>
                  <w:tcW w:w="627" w:type="pct"/>
                  <w:vMerge w:val="restart"/>
                  <w:tcBorders>
                    <w:top w:val="single" w:color="auto" w:sz="12" w:space="0"/>
                  </w:tcBorders>
                  <w:vAlign w:val="center"/>
                </w:tcPr>
                <w:p w14:paraId="18811D26">
                  <w:pPr>
                    <w:pStyle w:val="18"/>
                    <w:spacing w:before="0" w:after="0" w:line="260" w:lineRule="exact"/>
                    <w:ind w:right="0" w:firstLine="0" w:firstLineChars="0"/>
                    <w:jc w:val="center"/>
                    <w:rPr>
                      <w:b/>
                      <w:bCs/>
                      <w:szCs w:val="21"/>
                    </w:rPr>
                  </w:pPr>
                  <w:r>
                    <w:rPr>
                      <w:b/>
                      <w:bCs/>
                      <w:szCs w:val="21"/>
                    </w:rPr>
                    <w:t>排放</w:t>
                  </w:r>
                </w:p>
                <w:p w14:paraId="527F596F">
                  <w:pPr>
                    <w:pStyle w:val="18"/>
                    <w:spacing w:before="0" w:after="0" w:line="260" w:lineRule="exact"/>
                    <w:ind w:right="0" w:firstLine="0" w:firstLineChars="0"/>
                    <w:jc w:val="center"/>
                    <w:rPr>
                      <w:b/>
                      <w:bCs/>
                      <w:szCs w:val="21"/>
                    </w:rPr>
                  </w:pPr>
                  <w:r>
                    <w:rPr>
                      <w:b/>
                      <w:bCs/>
                      <w:szCs w:val="21"/>
                    </w:rPr>
                    <w:t>规律</w:t>
                  </w:r>
                </w:p>
              </w:tc>
              <w:tc>
                <w:tcPr>
                  <w:tcW w:w="1387" w:type="pct"/>
                  <w:gridSpan w:val="3"/>
                  <w:tcBorders>
                    <w:top w:val="single" w:color="auto" w:sz="12" w:space="0"/>
                  </w:tcBorders>
                  <w:vAlign w:val="center"/>
                </w:tcPr>
                <w:p w14:paraId="306EC1C4">
                  <w:pPr>
                    <w:pStyle w:val="18"/>
                    <w:spacing w:before="0" w:after="0" w:line="260" w:lineRule="exact"/>
                    <w:ind w:right="0" w:firstLine="0" w:firstLineChars="0"/>
                    <w:jc w:val="center"/>
                    <w:rPr>
                      <w:b/>
                      <w:bCs/>
                      <w:szCs w:val="21"/>
                    </w:rPr>
                  </w:pPr>
                  <w:r>
                    <w:rPr>
                      <w:b/>
                      <w:bCs/>
                      <w:szCs w:val="21"/>
                    </w:rPr>
                    <w:t>污染治理设施</w:t>
                  </w:r>
                </w:p>
              </w:tc>
              <w:tc>
                <w:tcPr>
                  <w:tcW w:w="377" w:type="pct"/>
                  <w:vMerge w:val="restart"/>
                  <w:tcBorders>
                    <w:top w:val="single" w:color="auto" w:sz="12" w:space="0"/>
                  </w:tcBorders>
                  <w:vAlign w:val="center"/>
                </w:tcPr>
                <w:p w14:paraId="701AB9BD">
                  <w:pPr>
                    <w:pStyle w:val="18"/>
                    <w:spacing w:before="0" w:after="0" w:line="260" w:lineRule="exact"/>
                    <w:ind w:right="0" w:firstLine="0" w:firstLineChars="0"/>
                    <w:jc w:val="center"/>
                    <w:rPr>
                      <w:b/>
                      <w:bCs/>
                      <w:szCs w:val="21"/>
                    </w:rPr>
                  </w:pPr>
                  <w:r>
                    <w:rPr>
                      <w:b/>
                      <w:bCs/>
                      <w:szCs w:val="21"/>
                    </w:rPr>
                    <w:t>排放口编号</w:t>
                  </w:r>
                </w:p>
              </w:tc>
              <w:tc>
                <w:tcPr>
                  <w:tcW w:w="428" w:type="pct"/>
                  <w:vMerge w:val="restart"/>
                  <w:tcBorders>
                    <w:top w:val="single" w:color="auto" w:sz="12" w:space="0"/>
                  </w:tcBorders>
                  <w:vAlign w:val="center"/>
                </w:tcPr>
                <w:p w14:paraId="039D922F">
                  <w:pPr>
                    <w:pStyle w:val="18"/>
                    <w:spacing w:before="0" w:after="0" w:line="260" w:lineRule="exact"/>
                    <w:ind w:right="0" w:firstLine="0" w:firstLineChars="0"/>
                    <w:jc w:val="center"/>
                    <w:rPr>
                      <w:b/>
                      <w:bCs/>
                      <w:szCs w:val="21"/>
                    </w:rPr>
                  </w:pPr>
                  <w:r>
                    <w:rPr>
                      <w:b/>
                      <w:bCs/>
                      <w:szCs w:val="21"/>
                    </w:rPr>
                    <w:t>排放口设置是否符合要求</w:t>
                  </w:r>
                </w:p>
              </w:tc>
              <w:tc>
                <w:tcPr>
                  <w:tcW w:w="657" w:type="pct"/>
                  <w:vMerge w:val="restart"/>
                  <w:tcBorders>
                    <w:top w:val="single" w:color="auto" w:sz="12" w:space="0"/>
                  </w:tcBorders>
                  <w:vAlign w:val="center"/>
                </w:tcPr>
                <w:p w14:paraId="5591548F">
                  <w:pPr>
                    <w:pStyle w:val="18"/>
                    <w:spacing w:before="0" w:after="0" w:line="260" w:lineRule="exact"/>
                    <w:ind w:right="0" w:firstLine="0" w:firstLineChars="0"/>
                    <w:jc w:val="center"/>
                    <w:rPr>
                      <w:b/>
                      <w:bCs/>
                      <w:szCs w:val="21"/>
                    </w:rPr>
                  </w:pPr>
                  <w:r>
                    <w:rPr>
                      <w:b/>
                      <w:bCs/>
                      <w:szCs w:val="21"/>
                    </w:rPr>
                    <w:t>排放口类型</w:t>
                  </w:r>
                </w:p>
              </w:tc>
            </w:tr>
            <w:tr w14:paraId="6B2761A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0" w:hRule="atLeast"/>
              </w:trPr>
              <w:tc>
                <w:tcPr>
                  <w:tcW w:w="206" w:type="pct"/>
                  <w:vMerge w:val="continue"/>
                  <w:vAlign w:val="center"/>
                </w:tcPr>
                <w:p w14:paraId="76946339">
                  <w:pPr>
                    <w:pStyle w:val="18"/>
                    <w:spacing w:before="0" w:after="0" w:line="260" w:lineRule="exact"/>
                    <w:ind w:right="0" w:firstLine="0" w:firstLineChars="0"/>
                    <w:jc w:val="center"/>
                    <w:rPr>
                      <w:b/>
                      <w:bCs/>
                      <w:szCs w:val="21"/>
                    </w:rPr>
                  </w:pPr>
                </w:p>
              </w:tc>
              <w:tc>
                <w:tcPr>
                  <w:tcW w:w="442" w:type="pct"/>
                  <w:vMerge w:val="continue"/>
                  <w:vAlign w:val="center"/>
                </w:tcPr>
                <w:p w14:paraId="6038C4F2">
                  <w:pPr>
                    <w:pStyle w:val="18"/>
                    <w:spacing w:before="0" w:after="0" w:line="260" w:lineRule="exact"/>
                    <w:ind w:right="0" w:firstLine="0" w:firstLineChars="0"/>
                    <w:jc w:val="center"/>
                    <w:rPr>
                      <w:b/>
                      <w:bCs/>
                      <w:szCs w:val="21"/>
                    </w:rPr>
                  </w:pPr>
                </w:p>
              </w:tc>
              <w:tc>
                <w:tcPr>
                  <w:tcW w:w="497" w:type="pct"/>
                  <w:vMerge w:val="continue"/>
                  <w:vAlign w:val="center"/>
                </w:tcPr>
                <w:p w14:paraId="71036E46">
                  <w:pPr>
                    <w:pStyle w:val="18"/>
                    <w:spacing w:before="0" w:after="0" w:line="260" w:lineRule="exact"/>
                    <w:ind w:right="0" w:firstLine="0" w:firstLineChars="0"/>
                    <w:jc w:val="center"/>
                    <w:rPr>
                      <w:b/>
                      <w:bCs/>
                      <w:szCs w:val="21"/>
                    </w:rPr>
                  </w:pPr>
                </w:p>
              </w:tc>
              <w:tc>
                <w:tcPr>
                  <w:tcW w:w="376" w:type="pct"/>
                  <w:vMerge w:val="continue"/>
                  <w:vAlign w:val="center"/>
                </w:tcPr>
                <w:p w14:paraId="05D33B55">
                  <w:pPr>
                    <w:pStyle w:val="18"/>
                    <w:spacing w:before="0" w:after="0" w:line="260" w:lineRule="exact"/>
                    <w:ind w:right="0" w:firstLine="0" w:firstLineChars="0"/>
                    <w:jc w:val="center"/>
                    <w:rPr>
                      <w:b/>
                      <w:bCs/>
                      <w:szCs w:val="21"/>
                    </w:rPr>
                  </w:pPr>
                </w:p>
              </w:tc>
              <w:tc>
                <w:tcPr>
                  <w:tcW w:w="627" w:type="pct"/>
                  <w:vMerge w:val="continue"/>
                  <w:vAlign w:val="center"/>
                </w:tcPr>
                <w:p w14:paraId="2BAA5ED1">
                  <w:pPr>
                    <w:pStyle w:val="18"/>
                    <w:spacing w:before="0" w:after="0" w:line="260" w:lineRule="exact"/>
                    <w:ind w:right="0" w:firstLine="0" w:firstLineChars="0"/>
                    <w:jc w:val="center"/>
                    <w:rPr>
                      <w:b/>
                      <w:bCs/>
                      <w:szCs w:val="21"/>
                    </w:rPr>
                  </w:pPr>
                </w:p>
              </w:tc>
              <w:tc>
                <w:tcPr>
                  <w:tcW w:w="427" w:type="pct"/>
                  <w:vAlign w:val="center"/>
                </w:tcPr>
                <w:p w14:paraId="7DBE329A">
                  <w:pPr>
                    <w:pStyle w:val="18"/>
                    <w:spacing w:before="0" w:after="0" w:line="260" w:lineRule="exact"/>
                    <w:ind w:right="0" w:firstLine="0" w:firstLineChars="0"/>
                    <w:jc w:val="center"/>
                    <w:rPr>
                      <w:b/>
                      <w:bCs/>
                      <w:spacing w:val="-11"/>
                      <w:szCs w:val="21"/>
                    </w:rPr>
                  </w:pPr>
                  <w:r>
                    <w:rPr>
                      <w:b/>
                      <w:bCs/>
                      <w:spacing w:val="-11"/>
                      <w:szCs w:val="21"/>
                    </w:rPr>
                    <w:t>污染治理设施编号</w:t>
                  </w:r>
                </w:p>
              </w:tc>
              <w:tc>
                <w:tcPr>
                  <w:tcW w:w="509" w:type="pct"/>
                  <w:vAlign w:val="center"/>
                </w:tcPr>
                <w:p w14:paraId="1FD3A74A">
                  <w:pPr>
                    <w:pStyle w:val="18"/>
                    <w:spacing w:before="0" w:after="0" w:line="260" w:lineRule="exact"/>
                    <w:ind w:right="0" w:firstLine="0" w:firstLineChars="0"/>
                    <w:jc w:val="center"/>
                    <w:rPr>
                      <w:b/>
                      <w:bCs/>
                      <w:spacing w:val="-11"/>
                      <w:szCs w:val="21"/>
                    </w:rPr>
                  </w:pPr>
                  <w:r>
                    <w:rPr>
                      <w:b/>
                      <w:bCs/>
                      <w:spacing w:val="-11"/>
                      <w:szCs w:val="21"/>
                    </w:rPr>
                    <w:t>污染治理设施名称</w:t>
                  </w:r>
                </w:p>
              </w:tc>
              <w:tc>
                <w:tcPr>
                  <w:tcW w:w="451" w:type="pct"/>
                  <w:vAlign w:val="center"/>
                </w:tcPr>
                <w:p w14:paraId="5D8B8A9F">
                  <w:pPr>
                    <w:pStyle w:val="18"/>
                    <w:spacing w:before="0" w:after="0" w:line="260" w:lineRule="exact"/>
                    <w:ind w:right="0" w:firstLine="0" w:firstLineChars="0"/>
                    <w:jc w:val="center"/>
                    <w:rPr>
                      <w:b/>
                      <w:bCs/>
                      <w:spacing w:val="-11"/>
                      <w:szCs w:val="21"/>
                    </w:rPr>
                  </w:pPr>
                  <w:r>
                    <w:rPr>
                      <w:b/>
                      <w:bCs/>
                      <w:spacing w:val="-11"/>
                      <w:szCs w:val="21"/>
                    </w:rPr>
                    <w:t>污染治理设置工艺</w:t>
                  </w:r>
                </w:p>
              </w:tc>
              <w:tc>
                <w:tcPr>
                  <w:tcW w:w="377" w:type="pct"/>
                  <w:vMerge w:val="continue"/>
                  <w:vAlign w:val="center"/>
                </w:tcPr>
                <w:p w14:paraId="5D498CB7">
                  <w:pPr>
                    <w:pStyle w:val="18"/>
                    <w:spacing w:before="0" w:after="0" w:line="260" w:lineRule="exact"/>
                    <w:ind w:right="0" w:firstLine="0" w:firstLineChars="0"/>
                    <w:jc w:val="center"/>
                    <w:rPr>
                      <w:szCs w:val="21"/>
                    </w:rPr>
                  </w:pPr>
                </w:p>
              </w:tc>
              <w:tc>
                <w:tcPr>
                  <w:tcW w:w="428" w:type="pct"/>
                  <w:vMerge w:val="continue"/>
                  <w:vAlign w:val="center"/>
                </w:tcPr>
                <w:p w14:paraId="17F2D021">
                  <w:pPr>
                    <w:pStyle w:val="18"/>
                    <w:spacing w:before="0" w:after="0" w:line="260" w:lineRule="exact"/>
                    <w:ind w:right="0" w:firstLine="0" w:firstLineChars="0"/>
                    <w:jc w:val="center"/>
                    <w:rPr>
                      <w:szCs w:val="21"/>
                    </w:rPr>
                  </w:pPr>
                </w:p>
              </w:tc>
              <w:tc>
                <w:tcPr>
                  <w:tcW w:w="657" w:type="pct"/>
                  <w:vMerge w:val="continue"/>
                  <w:vAlign w:val="center"/>
                </w:tcPr>
                <w:p w14:paraId="6ACD495C">
                  <w:pPr>
                    <w:pStyle w:val="18"/>
                    <w:spacing w:before="0" w:after="0" w:line="260" w:lineRule="exact"/>
                    <w:ind w:right="0" w:firstLine="0" w:firstLineChars="0"/>
                    <w:jc w:val="center"/>
                    <w:rPr>
                      <w:szCs w:val="21"/>
                    </w:rPr>
                  </w:pPr>
                </w:p>
              </w:tc>
            </w:tr>
            <w:tr w14:paraId="7350BEB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20" w:hRule="atLeast"/>
              </w:trPr>
              <w:tc>
                <w:tcPr>
                  <w:tcW w:w="206" w:type="pct"/>
                  <w:vAlign w:val="center"/>
                </w:tcPr>
                <w:p w14:paraId="1C63B2BE">
                  <w:pPr>
                    <w:pStyle w:val="18"/>
                    <w:spacing w:before="0" w:after="0" w:line="260" w:lineRule="exact"/>
                    <w:ind w:right="0" w:firstLine="0" w:firstLineChars="0"/>
                    <w:jc w:val="center"/>
                    <w:rPr>
                      <w:szCs w:val="21"/>
                    </w:rPr>
                  </w:pPr>
                  <w:r>
                    <w:rPr>
                      <w:szCs w:val="21"/>
                    </w:rPr>
                    <w:t>1</w:t>
                  </w:r>
                </w:p>
              </w:tc>
              <w:tc>
                <w:tcPr>
                  <w:tcW w:w="442" w:type="pct"/>
                  <w:vAlign w:val="center"/>
                </w:tcPr>
                <w:p w14:paraId="58742435">
                  <w:pPr>
                    <w:pStyle w:val="18"/>
                    <w:spacing w:before="0" w:after="0" w:line="260" w:lineRule="exact"/>
                    <w:ind w:right="0" w:firstLine="0" w:firstLineChars="0"/>
                    <w:jc w:val="center"/>
                    <w:rPr>
                      <w:szCs w:val="21"/>
                    </w:rPr>
                  </w:pPr>
                  <w:r>
                    <w:rPr>
                      <w:szCs w:val="21"/>
                    </w:rPr>
                    <w:t>生活污水</w:t>
                  </w:r>
                </w:p>
              </w:tc>
              <w:tc>
                <w:tcPr>
                  <w:tcW w:w="497" w:type="pct"/>
                  <w:vAlign w:val="center"/>
                </w:tcPr>
                <w:p w14:paraId="0AB16688">
                  <w:pPr>
                    <w:pStyle w:val="18"/>
                    <w:spacing w:before="0" w:after="0" w:line="260" w:lineRule="exact"/>
                    <w:ind w:right="0" w:firstLine="0" w:firstLineChars="0"/>
                    <w:jc w:val="center"/>
                    <w:rPr>
                      <w:szCs w:val="21"/>
                    </w:rPr>
                  </w:pPr>
                  <w:r>
                    <w:rPr>
                      <w:szCs w:val="21"/>
                    </w:rPr>
                    <w:t>COD</w:t>
                  </w:r>
                </w:p>
                <w:p w14:paraId="5C160D8F">
                  <w:pPr>
                    <w:pStyle w:val="18"/>
                    <w:spacing w:before="0" w:after="0" w:line="260" w:lineRule="exact"/>
                    <w:ind w:right="0" w:firstLine="0" w:firstLineChars="0"/>
                    <w:jc w:val="center"/>
                    <w:rPr>
                      <w:szCs w:val="21"/>
                    </w:rPr>
                  </w:pPr>
                  <w:r>
                    <w:rPr>
                      <w:szCs w:val="21"/>
                    </w:rPr>
                    <w:t>SS</w:t>
                  </w:r>
                </w:p>
                <w:p w14:paraId="67398AB4">
                  <w:pPr>
                    <w:pStyle w:val="18"/>
                    <w:spacing w:before="0" w:after="0" w:line="260" w:lineRule="exact"/>
                    <w:ind w:right="0" w:firstLine="0" w:firstLineChars="0"/>
                    <w:jc w:val="center"/>
                    <w:rPr>
                      <w:szCs w:val="21"/>
                    </w:rPr>
                  </w:pPr>
                  <w:r>
                    <w:rPr>
                      <w:szCs w:val="21"/>
                    </w:rPr>
                    <w:t>NH</w:t>
                  </w:r>
                  <w:r>
                    <w:rPr>
                      <w:szCs w:val="21"/>
                      <w:vertAlign w:val="subscript"/>
                    </w:rPr>
                    <w:t>3</w:t>
                  </w:r>
                  <w:r>
                    <w:rPr>
                      <w:szCs w:val="21"/>
                    </w:rPr>
                    <w:t>-N</w:t>
                  </w:r>
                </w:p>
                <w:p w14:paraId="5DCC71B9">
                  <w:pPr>
                    <w:pStyle w:val="18"/>
                    <w:spacing w:before="0" w:after="0" w:line="260" w:lineRule="exact"/>
                    <w:ind w:right="0" w:firstLine="0" w:firstLineChars="0"/>
                    <w:jc w:val="center"/>
                    <w:rPr>
                      <w:szCs w:val="21"/>
                    </w:rPr>
                  </w:pPr>
                  <w:r>
                    <w:rPr>
                      <w:szCs w:val="21"/>
                    </w:rPr>
                    <w:t>TP</w:t>
                  </w:r>
                </w:p>
                <w:p w14:paraId="10C43847">
                  <w:pPr>
                    <w:pStyle w:val="18"/>
                    <w:spacing w:before="0" w:after="0" w:line="260" w:lineRule="exact"/>
                    <w:ind w:right="0" w:firstLine="0" w:firstLineChars="0"/>
                    <w:jc w:val="center"/>
                    <w:rPr>
                      <w:szCs w:val="21"/>
                    </w:rPr>
                  </w:pPr>
                  <w:r>
                    <w:rPr>
                      <w:szCs w:val="21"/>
                    </w:rPr>
                    <w:t>TN</w:t>
                  </w:r>
                </w:p>
              </w:tc>
              <w:tc>
                <w:tcPr>
                  <w:tcW w:w="376" w:type="pct"/>
                  <w:vAlign w:val="center"/>
                </w:tcPr>
                <w:p w14:paraId="4ADE385C">
                  <w:pPr>
                    <w:pStyle w:val="18"/>
                    <w:spacing w:before="0" w:after="0" w:line="260" w:lineRule="exact"/>
                    <w:ind w:right="0" w:firstLine="0" w:firstLineChars="0"/>
                    <w:jc w:val="center"/>
                    <w:rPr>
                      <w:szCs w:val="21"/>
                    </w:rPr>
                  </w:pPr>
                  <w:r>
                    <w:rPr>
                      <w:szCs w:val="21"/>
                    </w:rPr>
                    <w:t>常州东方横山水处理有限公司</w:t>
                  </w:r>
                </w:p>
              </w:tc>
              <w:tc>
                <w:tcPr>
                  <w:tcW w:w="627" w:type="pct"/>
                  <w:vAlign w:val="center"/>
                </w:tcPr>
                <w:p w14:paraId="670730CF">
                  <w:pPr>
                    <w:pStyle w:val="18"/>
                    <w:spacing w:before="0" w:after="0" w:line="260" w:lineRule="exact"/>
                    <w:ind w:right="0" w:firstLine="0" w:firstLineChars="0"/>
                    <w:jc w:val="center"/>
                    <w:rPr>
                      <w:szCs w:val="21"/>
                    </w:rPr>
                  </w:pPr>
                  <w:r>
                    <w:rPr>
                      <w:szCs w:val="21"/>
                    </w:rPr>
                    <w:t>间歇排放、流量不稳定，但有周期性规律</w:t>
                  </w:r>
                </w:p>
              </w:tc>
              <w:tc>
                <w:tcPr>
                  <w:tcW w:w="427" w:type="pct"/>
                  <w:vAlign w:val="center"/>
                </w:tcPr>
                <w:p w14:paraId="112155EB">
                  <w:pPr>
                    <w:pStyle w:val="18"/>
                    <w:spacing w:before="0" w:after="0" w:line="260" w:lineRule="exact"/>
                    <w:ind w:right="0" w:firstLine="0" w:firstLineChars="0"/>
                    <w:jc w:val="center"/>
                    <w:rPr>
                      <w:szCs w:val="21"/>
                    </w:rPr>
                  </w:pPr>
                  <w:r>
                    <w:rPr>
                      <w:szCs w:val="21"/>
                    </w:rPr>
                    <w:t>/</w:t>
                  </w:r>
                </w:p>
              </w:tc>
              <w:tc>
                <w:tcPr>
                  <w:tcW w:w="509" w:type="pct"/>
                  <w:vAlign w:val="center"/>
                </w:tcPr>
                <w:p w14:paraId="13412091">
                  <w:pPr>
                    <w:pStyle w:val="18"/>
                    <w:spacing w:before="0" w:after="0" w:line="260" w:lineRule="exact"/>
                    <w:ind w:right="0" w:firstLine="0" w:firstLineChars="0"/>
                    <w:jc w:val="center"/>
                    <w:rPr>
                      <w:szCs w:val="21"/>
                    </w:rPr>
                  </w:pPr>
                  <w:r>
                    <w:rPr>
                      <w:szCs w:val="21"/>
                    </w:rPr>
                    <w:t>/</w:t>
                  </w:r>
                </w:p>
              </w:tc>
              <w:tc>
                <w:tcPr>
                  <w:tcW w:w="451" w:type="pct"/>
                  <w:vAlign w:val="center"/>
                </w:tcPr>
                <w:p w14:paraId="57344DC4">
                  <w:pPr>
                    <w:pStyle w:val="18"/>
                    <w:spacing w:before="0" w:after="0" w:line="260" w:lineRule="exact"/>
                    <w:ind w:right="0" w:firstLine="0" w:firstLineChars="0"/>
                    <w:jc w:val="center"/>
                    <w:rPr>
                      <w:szCs w:val="21"/>
                    </w:rPr>
                  </w:pPr>
                  <w:r>
                    <w:rPr>
                      <w:szCs w:val="21"/>
                    </w:rPr>
                    <w:t>/</w:t>
                  </w:r>
                </w:p>
              </w:tc>
              <w:tc>
                <w:tcPr>
                  <w:tcW w:w="377" w:type="pct"/>
                  <w:vAlign w:val="center"/>
                </w:tcPr>
                <w:p w14:paraId="69270255">
                  <w:pPr>
                    <w:pStyle w:val="18"/>
                    <w:spacing w:before="0" w:after="0" w:line="260" w:lineRule="exact"/>
                    <w:ind w:right="0" w:firstLine="0" w:firstLineChars="0"/>
                    <w:jc w:val="center"/>
                    <w:rPr>
                      <w:szCs w:val="21"/>
                    </w:rPr>
                  </w:pPr>
                  <w:r>
                    <w:rPr>
                      <w:spacing w:val="-23"/>
                      <w:szCs w:val="21"/>
                    </w:rPr>
                    <w:t>DW001</w:t>
                  </w:r>
                </w:p>
              </w:tc>
              <w:tc>
                <w:tcPr>
                  <w:tcW w:w="428" w:type="pct"/>
                  <w:vAlign w:val="center"/>
                </w:tcPr>
                <w:p w14:paraId="0A3394D6">
                  <w:pPr>
                    <w:pStyle w:val="18"/>
                    <w:spacing w:before="0" w:after="0" w:line="260" w:lineRule="exact"/>
                    <w:ind w:right="0" w:firstLine="0" w:firstLineChars="0"/>
                    <w:jc w:val="center"/>
                    <w:rPr>
                      <w:szCs w:val="21"/>
                    </w:rPr>
                  </w:pPr>
                  <w:r>
                    <w:rPr>
                      <w:rFonts w:hint="eastAsia"/>
                      <w:szCs w:val="21"/>
                    </w:rPr>
                    <w:t>☑</w:t>
                  </w:r>
                  <w:r>
                    <w:rPr>
                      <w:szCs w:val="21"/>
                    </w:rPr>
                    <w:t>是</w:t>
                  </w:r>
                </w:p>
                <w:p w14:paraId="09445208">
                  <w:pPr>
                    <w:pStyle w:val="18"/>
                    <w:spacing w:before="0" w:after="0" w:line="260" w:lineRule="exact"/>
                    <w:ind w:right="0" w:firstLine="0" w:firstLineChars="0"/>
                    <w:jc w:val="center"/>
                    <w:rPr>
                      <w:szCs w:val="21"/>
                    </w:rPr>
                  </w:pPr>
                  <w:r>
                    <w:rPr>
                      <w:rFonts w:hint="eastAsia"/>
                      <w:szCs w:val="21"/>
                    </w:rPr>
                    <w:t>□</w:t>
                  </w:r>
                  <w:r>
                    <w:rPr>
                      <w:szCs w:val="21"/>
                    </w:rPr>
                    <w:t>否</w:t>
                  </w:r>
                </w:p>
              </w:tc>
              <w:tc>
                <w:tcPr>
                  <w:tcW w:w="657" w:type="pct"/>
                  <w:vAlign w:val="center"/>
                </w:tcPr>
                <w:p w14:paraId="12E038DD">
                  <w:pPr>
                    <w:pStyle w:val="18"/>
                    <w:spacing w:before="0" w:after="0" w:line="260" w:lineRule="exact"/>
                    <w:ind w:right="0" w:firstLine="0" w:firstLineChars="0"/>
                    <w:jc w:val="left"/>
                    <w:rPr>
                      <w:szCs w:val="21"/>
                    </w:rPr>
                  </w:pPr>
                  <w:r>
                    <w:rPr>
                      <w:rFonts w:hint="eastAsia"/>
                      <w:szCs w:val="21"/>
                    </w:rPr>
                    <w:t>☑</w:t>
                  </w:r>
                  <w:r>
                    <w:rPr>
                      <w:szCs w:val="21"/>
                    </w:rPr>
                    <w:t>企业总排</w:t>
                  </w:r>
                </w:p>
                <w:p w14:paraId="081E4199">
                  <w:pPr>
                    <w:pStyle w:val="18"/>
                    <w:spacing w:before="0" w:after="0" w:line="260" w:lineRule="exact"/>
                    <w:ind w:right="0" w:firstLine="0" w:firstLineChars="0"/>
                    <w:jc w:val="left"/>
                    <w:rPr>
                      <w:szCs w:val="21"/>
                    </w:rPr>
                  </w:pPr>
                  <w:r>
                    <w:rPr>
                      <w:rFonts w:hint="eastAsia"/>
                      <w:szCs w:val="21"/>
                    </w:rPr>
                    <w:t>□</w:t>
                  </w:r>
                  <w:r>
                    <w:rPr>
                      <w:szCs w:val="21"/>
                    </w:rPr>
                    <w:t>雨水排放</w:t>
                  </w:r>
                </w:p>
                <w:p w14:paraId="3D3019B1">
                  <w:pPr>
                    <w:pStyle w:val="18"/>
                    <w:spacing w:before="0" w:after="0" w:line="260" w:lineRule="exact"/>
                    <w:ind w:right="0" w:firstLine="0" w:firstLineChars="0"/>
                    <w:jc w:val="left"/>
                    <w:rPr>
                      <w:spacing w:val="-23"/>
                      <w:szCs w:val="21"/>
                    </w:rPr>
                  </w:pPr>
                  <w:r>
                    <w:rPr>
                      <w:rFonts w:hint="eastAsia"/>
                      <w:szCs w:val="21"/>
                    </w:rPr>
                    <w:t>□</w:t>
                  </w:r>
                  <w:r>
                    <w:rPr>
                      <w:spacing w:val="-17"/>
                      <w:szCs w:val="21"/>
                    </w:rPr>
                    <w:t>清</w:t>
                  </w:r>
                  <w:r>
                    <w:rPr>
                      <w:spacing w:val="-23"/>
                      <w:szCs w:val="21"/>
                    </w:rPr>
                    <w:t>净下水排放</w:t>
                  </w:r>
                </w:p>
                <w:p w14:paraId="3CC82A19">
                  <w:pPr>
                    <w:pStyle w:val="18"/>
                    <w:spacing w:before="0" w:after="0" w:line="260" w:lineRule="exact"/>
                    <w:ind w:right="0" w:firstLine="0" w:firstLineChars="0"/>
                    <w:jc w:val="left"/>
                    <w:rPr>
                      <w:szCs w:val="21"/>
                    </w:rPr>
                  </w:pPr>
                  <w:r>
                    <w:rPr>
                      <w:rFonts w:hint="eastAsia"/>
                      <w:szCs w:val="21"/>
                    </w:rPr>
                    <w:t>□</w:t>
                  </w:r>
                  <w:r>
                    <w:rPr>
                      <w:spacing w:val="-11"/>
                      <w:szCs w:val="21"/>
                    </w:rPr>
                    <w:t>温排水排放</w:t>
                  </w:r>
                </w:p>
                <w:p w14:paraId="2F4973EA">
                  <w:pPr>
                    <w:pStyle w:val="18"/>
                    <w:spacing w:before="0" w:after="0" w:line="260" w:lineRule="exact"/>
                    <w:ind w:right="0" w:firstLine="0" w:firstLineChars="0"/>
                    <w:jc w:val="left"/>
                    <w:rPr>
                      <w:szCs w:val="21"/>
                    </w:rPr>
                  </w:pPr>
                  <w:r>
                    <w:rPr>
                      <w:rFonts w:hint="eastAsia"/>
                      <w:szCs w:val="21"/>
                    </w:rPr>
                    <w:t>□</w:t>
                  </w:r>
                  <w:r>
                    <w:rPr>
                      <w:spacing w:val="-6"/>
                      <w:szCs w:val="21"/>
                    </w:rPr>
                    <w:t>车间或车间处理设施排放</w:t>
                  </w:r>
                </w:p>
              </w:tc>
            </w:tr>
          </w:tbl>
          <w:p w14:paraId="1296B323">
            <w:pPr>
              <w:spacing w:line="480" w:lineRule="exact"/>
              <w:ind w:firstLine="480" w:firstLineChars="200"/>
              <w:rPr>
                <w:rFonts w:ascii="仿宋" w:hAnsi="仿宋" w:cs="仿宋"/>
              </w:rPr>
            </w:pPr>
            <w:r>
              <w:rPr>
                <w:rFonts w:hint="eastAsia" w:ascii="仿宋" w:hAnsi="仿宋" w:cs="仿宋"/>
              </w:rPr>
              <w:t>②本项目生活污水排放依托</w:t>
            </w:r>
            <w:r>
              <w:rPr>
                <w:rFonts w:hint="eastAsia"/>
              </w:rPr>
              <w:t>现有规范化污水接管口，环保责任主体为本单位。</w:t>
            </w:r>
          </w:p>
          <w:p w14:paraId="78958BC3">
            <w:pPr>
              <w:pStyle w:val="2"/>
              <w:spacing w:before="0" w:after="0" w:line="240" w:lineRule="auto"/>
              <w:ind w:right="0" w:firstLine="422" w:firstLineChars="200"/>
              <w:jc w:val="center"/>
              <w:rPr>
                <w:rFonts w:hint="default" w:ascii="Times New Roman" w:hAnsi="Times New Roman" w:eastAsia="仿宋" w:cs="Times New Roman"/>
                <w:b/>
                <w:bCs/>
                <w:color w:val="auto"/>
                <w:sz w:val="21"/>
                <w:szCs w:val="21"/>
                <w:lang w:val="en-US" w:eastAsia="zh-CN"/>
              </w:rPr>
            </w:pPr>
            <w:r>
              <w:rPr>
                <w:b/>
                <w:bCs/>
                <w:sz w:val="21"/>
                <w:szCs w:val="21"/>
              </w:rPr>
              <w:t>表</w:t>
            </w:r>
            <w:r>
              <w:rPr>
                <w:rFonts w:hint="eastAsia"/>
                <w:b/>
                <w:bCs/>
                <w:sz w:val="21"/>
                <w:szCs w:val="21"/>
              </w:rPr>
              <w:t>4-</w:t>
            </w:r>
            <w:r>
              <w:rPr>
                <w:rFonts w:hint="default"/>
                <w:b/>
                <w:bCs/>
                <w:sz w:val="21"/>
                <w:szCs w:val="21"/>
                <w:lang w:val="en-US"/>
              </w:rPr>
              <w:t>1</w:t>
            </w:r>
            <w:r>
              <w:rPr>
                <w:rFonts w:hint="eastAsia"/>
                <w:b/>
                <w:bCs/>
                <w:sz w:val="21"/>
                <w:szCs w:val="21"/>
                <w:lang w:val="en-US" w:eastAsia="zh-CN"/>
              </w:rPr>
              <w:t>5</w:t>
            </w:r>
            <w:r>
              <w:rPr>
                <w:b/>
                <w:bCs/>
                <w:sz w:val="21"/>
                <w:szCs w:val="21"/>
              </w:rPr>
              <w:t xml:space="preserve"> </w:t>
            </w:r>
            <w:r>
              <w:rPr>
                <w:rFonts w:hint="eastAsia"/>
                <w:b/>
                <w:bCs/>
                <w:sz w:val="21"/>
                <w:szCs w:val="21"/>
              </w:rPr>
              <w:t xml:space="preserve"> </w:t>
            </w:r>
            <w:r>
              <w:rPr>
                <w:b/>
                <w:bCs/>
                <w:sz w:val="21"/>
                <w:szCs w:val="21"/>
              </w:rPr>
              <w:t>废水间接排放口基本情况表</w:t>
            </w:r>
            <w:r>
              <w:rPr>
                <w:rFonts w:hint="default" w:ascii="Times New Roman" w:hAnsi="Times New Roman" w:eastAsia="仿宋" w:cs="Times New Roman"/>
                <w:b/>
                <w:bCs/>
                <w:color w:val="auto"/>
                <w:sz w:val="21"/>
                <w:szCs w:val="21"/>
                <w:lang w:val="en-US" w:eastAsia="zh-CN"/>
              </w:rPr>
              <w:t>（目前执行标准）</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88"/>
              <w:gridCol w:w="1214"/>
              <w:gridCol w:w="1109"/>
              <w:gridCol w:w="1267"/>
              <w:gridCol w:w="1611"/>
              <w:gridCol w:w="673"/>
              <w:gridCol w:w="1252"/>
              <w:gridCol w:w="1018"/>
              <w:gridCol w:w="1066"/>
              <w:gridCol w:w="1911"/>
            </w:tblGrid>
            <w:tr w14:paraId="39EF8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 w:type="pct"/>
                  <w:vMerge w:val="restart"/>
                  <w:vAlign w:val="center"/>
                </w:tcPr>
                <w:p w14:paraId="09EF3F4A">
                  <w:pPr>
                    <w:spacing w:line="240" w:lineRule="auto"/>
                    <w:jc w:val="center"/>
                    <w:rPr>
                      <w:b/>
                      <w:bCs/>
                      <w:sz w:val="21"/>
                      <w:szCs w:val="21"/>
                    </w:rPr>
                  </w:pPr>
                  <w:r>
                    <w:rPr>
                      <w:b/>
                      <w:bCs/>
                      <w:sz w:val="21"/>
                      <w:szCs w:val="21"/>
                    </w:rPr>
                    <w:t>序号</w:t>
                  </w:r>
                </w:p>
              </w:tc>
              <w:tc>
                <w:tcPr>
                  <w:tcW w:w="415" w:type="pct"/>
                  <w:vMerge w:val="restart"/>
                  <w:vAlign w:val="center"/>
                </w:tcPr>
                <w:p w14:paraId="61708063">
                  <w:pPr>
                    <w:spacing w:line="240" w:lineRule="auto"/>
                    <w:jc w:val="center"/>
                    <w:rPr>
                      <w:b/>
                      <w:bCs/>
                      <w:sz w:val="21"/>
                      <w:szCs w:val="21"/>
                    </w:rPr>
                  </w:pPr>
                  <w:r>
                    <w:rPr>
                      <w:b/>
                      <w:bCs/>
                      <w:sz w:val="21"/>
                      <w:szCs w:val="21"/>
                    </w:rPr>
                    <w:t>排放口编号</w:t>
                  </w:r>
                </w:p>
              </w:tc>
              <w:tc>
                <w:tcPr>
                  <w:tcW w:w="723" w:type="pct"/>
                  <w:gridSpan w:val="2"/>
                  <w:vAlign w:val="center"/>
                </w:tcPr>
                <w:p w14:paraId="12768604">
                  <w:pPr>
                    <w:spacing w:line="240" w:lineRule="auto"/>
                    <w:jc w:val="center"/>
                    <w:rPr>
                      <w:b/>
                      <w:bCs/>
                      <w:sz w:val="21"/>
                      <w:szCs w:val="21"/>
                    </w:rPr>
                  </w:pPr>
                  <w:r>
                    <w:rPr>
                      <w:b/>
                      <w:bCs/>
                      <w:sz w:val="21"/>
                      <w:szCs w:val="21"/>
                    </w:rPr>
                    <w:t>排放口地理坐标</w:t>
                  </w:r>
                </w:p>
              </w:tc>
              <w:tc>
                <w:tcPr>
                  <w:tcW w:w="526" w:type="pct"/>
                  <w:vMerge w:val="restart"/>
                  <w:vAlign w:val="center"/>
                </w:tcPr>
                <w:p w14:paraId="15302876">
                  <w:pPr>
                    <w:spacing w:line="240" w:lineRule="auto"/>
                    <w:jc w:val="center"/>
                    <w:rPr>
                      <w:b/>
                      <w:bCs/>
                      <w:sz w:val="21"/>
                      <w:szCs w:val="21"/>
                    </w:rPr>
                  </w:pPr>
                  <w:r>
                    <w:rPr>
                      <w:b/>
                      <w:bCs/>
                      <w:sz w:val="21"/>
                      <w:szCs w:val="21"/>
                    </w:rPr>
                    <w:t>废水排放量（万t/a）</w:t>
                  </w:r>
                </w:p>
              </w:tc>
              <w:tc>
                <w:tcPr>
                  <w:tcW w:w="663" w:type="pct"/>
                  <w:vMerge w:val="restart"/>
                  <w:vAlign w:val="center"/>
                </w:tcPr>
                <w:p w14:paraId="00D56667">
                  <w:pPr>
                    <w:spacing w:line="240" w:lineRule="auto"/>
                    <w:jc w:val="center"/>
                    <w:rPr>
                      <w:b/>
                      <w:bCs/>
                      <w:sz w:val="21"/>
                      <w:szCs w:val="21"/>
                    </w:rPr>
                  </w:pPr>
                  <w:r>
                    <w:rPr>
                      <w:b/>
                      <w:bCs/>
                      <w:sz w:val="21"/>
                      <w:szCs w:val="21"/>
                    </w:rPr>
                    <w:t>排放去向</w:t>
                  </w:r>
                </w:p>
              </w:tc>
              <w:tc>
                <w:tcPr>
                  <w:tcW w:w="290" w:type="pct"/>
                  <w:vMerge w:val="restart"/>
                  <w:vAlign w:val="center"/>
                </w:tcPr>
                <w:p w14:paraId="5C0ABEC7">
                  <w:pPr>
                    <w:spacing w:line="240" w:lineRule="auto"/>
                    <w:jc w:val="center"/>
                    <w:rPr>
                      <w:b/>
                      <w:bCs/>
                      <w:sz w:val="21"/>
                      <w:szCs w:val="21"/>
                    </w:rPr>
                  </w:pPr>
                  <w:r>
                    <w:rPr>
                      <w:b/>
                      <w:bCs/>
                      <w:sz w:val="21"/>
                      <w:szCs w:val="21"/>
                    </w:rPr>
                    <w:t>排放规律</w:t>
                  </w:r>
                </w:p>
              </w:tc>
              <w:tc>
                <w:tcPr>
                  <w:tcW w:w="520" w:type="pct"/>
                  <w:vMerge w:val="restart"/>
                  <w:vAlign w:val="center"/>
                </w:tcPr>
                <w:p w14:paraId="73301D7C">
                  <w:pPr>
                    <w:spacing w:line="240" w:lineRule="auto"/>
                    <w:jc w:val="center"/>
                    <w:rPr>
                      <w:b/>
                      <w:bCs/>
                      <w:sz w:val="21"/>
                      <w:szCs w:val="21"/>
                    </w:rPr>
                  </w:pPr>
                  <w:r>
                    <w:rPr>
                      <w:b/>
                      <w:bCs/>
                      <w:sz w:val="21"/>
                      <w:szCs w:val="21"/>
                    </w:rPr>
                    <w:t>间接排放时段</w:t>
                  </w:r>
                </w:p>
              </w:tc>
              <w:tc>
                <w:tcPr>
                  <w:tcW w:w="1655" w:type="pct"/>
                  <w:gridSpan w:val="3"/>
                  <w:vAlign w:val="center"/>
                </w:tcPr>
                <w:p w14:paraId="4FCBA0A7">
                  <w:pPr>
                    <w:spacing w:line="240" w:lineRule="auto"/>
                    <w:jc w:val="center"/>
                    <w:rPr>
                      <w:b/>
                      <w:bCs/>
                      <w:sz w:val="21"/>
                      <w:szCs w:val="21"/>
                    </w:rPr>
                  </w:pPr>
                  <w:r>
                    <w:rPr>
                      <w:b/>
                      <w:bCs/>
                      <w:sz w:val="21"/>
                      <w:szCs w:val="21"/>
                    </w:rPr>
                    <w:t>受纳污水处理厂信息</w:t>
                  </w:r>
                </w:p>
              </w:tc>
            </w:tr>
            <w:tr w14:paraId="197C3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204" w:type="pct"/>
                  <w:vMerge w:val="continue"/>
                  <w:vAlign w:val="center"/>
                </w:tcPr>
                <w:p w14:paraId="3DF4AF41">
                  <w:pPr>
                    <w:spacing w:line="240" w:lineRule="auto"/>
                    <w:jc w:val="center"/>
                    <w:rPr>
                      <w:b/>
                      <w:bCs/>
                      <w:sz w:val="21"/>
                      <w:szCs w:val="21"/>
                    </w:rPr>
                  </w:pPr>
                </w:p>
              </w:tc>
              <w:tc>
                <w:tcPr>
                  <w:tcW w:w="415" w:type="pct"/>
                  <w:vMerge w:val="continue"/>
                  <w:vAlign w:val="center"/>
                </w:tcPr>
                <w:p w14:paraId="5713D1D2">
                  <w:pPr>
                    <w:spacing w:line="240" w:lineRule="auto"/>
                    <w:jc w:val="center"/>
                    <w:rPr>
                      <w:b/>
                      <w:bCs/>
                      <w:sz w:val="21"/>
                      <w:szCs w:val="21"/>
                    </w:rPr>
                  </w:pPr>
                </w:p>
              </w:tc>
              <w:tc>
                <w:tcPr>
                  <w:tcW w:w="367" w:type="pct"/>
                  <w:vAlign w:val="center"/>
                </w:tcPr>
                <w:p w14:paraId="4ED56DF7">
                  <w:pPr>
                    <w:spacing w:line="240" w:lineRule="auto"/>
                    <w:jc w:val="center"/>
                    <w:rPr>
                      <w:b/>
                      <w:bCs/>
                      <w:sz w:val="21"/>
                      <w:szCs w:val="21"/>
                    </w:rPr>
                  </w:pPr>
                  <w:r>
                    <w:rPr>
                      <w:b/>
                      <w:bCs/>
                      <w:sz w:val="21"/>
                      <w:szCs w:val="21"/>
                    </w:rPr>
                    <w:t>经度</w:t>
                  </w:r>
                </w:p>
                <w:p w14:paraId="3FA4107F">
                  <w:pPr>
                    <w:spacing w:line="240" w:lineRule="auto"/>
                    <w:jc w:val="center"/>
                    <w:rPr>
                      <w:b/>
                      <w:bCs/>
                      <w:sz w:val="21"/>
                      <w:szCs w:val="21"/>
                    </w:rPr>
                  </w:pPr>
                  <w:r>
                    <w:rPr>
                      <w:b/>
                      <w:bCs/>
                      <w:sz w:val="21"/>
                      <w:szCs w:val="21"/>
                    </w:rPr>
                    <w:t>（°）</w:t>
                  </w:r>
                </w:p>
              </w:tc>
              <w:tc>
                <w:tcPr>
                  <w:tcW w:w="356" w:type="pct"/>
                  <w:vAlign w:val="center"/>
                </w:tcPr>
                <w:p w14:paraId="61A15F62">
                  <w:pPr>
                    <w:spacing w:line="240" w:lineRule="auto"/>
                    <w:jc w:val="center"/>
                    <w:rPr>
                      <w:b/>
                      <w:bCs/>
                      <w:sz w:val="21"/>
                      <w:szCs w:val="21"/>
                    </w:rPr>
                  </w:pPr>
                  <w:r>
                    <w:rPr>
                      <w:b/>
                      <w:bCs/>
                      <w:sz w:val="21"/>
                      <w:szCs w:val="21"/>
                    </w:rPr>
                    <w:t>纬度</w:t>
                  </w:r>
                </w:p>
                <w:p w14:paraId="3F1903E9">
                  <w:pPr>
                    <w:spacing w:line="240" w:lineRule="auto"/>
                    <w:jc w:val="center"/>
                    <w:rPr>
                      <w:b/>
                      <w:bCs/>
                      <w:sz w:val="21"/>
                      <w:szCs w:val="21"/>
                    </w:rPr>
                  </w:pPr>
                  <w:r>
                    <w:rPr>
                      <w:b/>
                      <w:bCs/>
                      <w:sz w:val="21"/>
                      <w:szCs w:val="21"/>
                    </w:rPr>
                    <w:t>（°）</w:t>
                  </w:r>
                </w:p>
              </w:tc>
              <w:tc>
                <w:tcPr>
                  <w:tcW w:w="526" w:type="pct"/>
                  <w:vMerge w:val="continue"/>
                  <w:vAlign w:val="center"/>
                </w:tcPr>
                <w:p w14:paraId="2CD2D51C">
                  <w:pPr>
                    <w:spacing w:line="240" w:lineRule="auto"/>
                    <w:jc w:val="center"/>
                    <w:rPr>
                      <w:b/>
                      <w:bCs/>
                      <w:sz w:val="21"/>
                      <w:szCs w:val="21"/>
                    </w:rPr>
                  </w:pPr>
                </w:p>
              </w:tc>
              <w:tc>
                <w:tcPr>
                  <w:tcW w:w="663" w:type="pct"/>
                  <w:vMerge w:val="continue"/>
                  <w:vAlign w:val="center"/>
                </w:tcPr>
                <w:p w14:paraId="4D6559B3">
                  <w:pPr>
                    <w:spacing w:line="240" w:lineRule="auto"/>
                    <w:jc w:val="center"/>
                    <w:rPr>
                      <w:b/>
                      <w:bCs/>
                      <w:sz w:val="21"/>
                      <w:szCs w:val="21"/>
                    </w:rPr>
                  </w:pPr>
                </w:p>
              </w:tc>
              <w:tc>
                <w:tcPr>
                  <w:tcW w:w="290" w:type="pct"/>
                  <w:vMerge w:val="continue"/>
                  <w:vAlign w:val="center"/>
                </w:tcPr>
                <w:p w14:paraId="24726192">
                  <w:pPr>
                    <w:spacing w:line="240" w:lineRule="auto"/>
                    <w:jc w:val="center"/>
                    <w:rPr>
                      <w:b/>
                      <w:bCs/>
                      <w:sz w:val="21"/>
                      <w:szCs w:val="21"/>
                    </w:rPr>
                  </w:pPr>
                </w:p>
              </w:tc>
              <w:tc>
                <w:tcPr>
                  <w:tcW w:w="520" w:type="pct"/>
                  <w:vMerge w:val="continue"/>
                  <w:vAlign w:val="center"/>
                </w:tcPr>
                <w:p w14:paraId="3E98B218">
                  <w:pPr>
                    <w:spacing w:line="240" w:lineRule="auto"/>
                    <w:jc w:val="center"/>
                    <w:rPr>
                      <w:b/>
                      <w:bCs/>
                      <w:sz w:val="21"/>
                      <w:szCs w:val="21"/>
                    </w:rPr>
                  </w:pPr>
                </w:p>
              </w:tc>
              <w:tc>
                <w:tcPr>
                  <w:tcW w:w="427" w:type="pct"/>
                  <w:vAlign w:val="center"/>
                </w:tcPr>
                <w:p w14:paraId="73BA660E">
                  <w:pPr>
                    <w:spacing w:line="240" w:lineRule="auto"/>
                    <w:jc w:val="center"/>
                    <w:rPr>
                      <w:b/>
                      <w:bCs/>
                      <w:sz w:val="21"/>
                      <w:szCs w:val="21"/>
                    </w:rPr>
                  </w:pPr>
                  <w:r>
                    <w:rPr>
                      <w:b/>
                      <w:bCs/>
                      <w:sz w:val="21"/>
                      <w:szCs w:val="21"/>
                    </w:rPr>
                    <w:t>名称</w:t>
                  </w:r>
                </w:p>
              </w:tc>
              <w:tc>
                <w:tcPr>
                  <w:tcW w:w="446" w:type="pct"/>
                  <w:vAlign w:val="center"/>
                </w:tcPr>
                <w:p w14:paraId="3A7F0604">
                  <w:pPr>
                    <w:spacing w:line="240" w:lineRule="auto"/>
                    <w:jc w:val="center"/>
                    <w:rPr>
                      <w:b/>
                      <w:bCs/>
                      <w:sz w:val="21"/>
                      <w:szCs w:val="21"/>
                    </w:rPr>
                  </w:pPr>
                  <w:r>
                    <w:rPr>
                      <w:b/>
                      <w:bCs/>
                      <w:sz w:val="21"/>
                      <w:szCs w:val="21"/>
                    </w:rPr>
                    <w:t>污染物种类</w:t>
                  </w:r>
                </w:p>
              </w:tc>
              <w:tc>
                <w:tcPr>
                  <w:tcW w:w="781" w:type="pct"/>
                  <w:vAlign w:val="center"/>
                </w:tcPr>
                <w:p w14:paraId="048752F1">
                  <w:pPr>
                    <w:spacing w:line="240" w:lineRule="auto"/>
                    <w:jc w:val="center"/>
                    <w:rPr>
                      <w:b/>
                      <w:bCs/>
                      <w:sz w:val="21"/>
                      <w:szCs w:val="21"/>
                    </w:rPr>
                  </w:pPr>
                  <w:r>
                    <w:rPr>
                      <w:b/>
                      <w:bCs/>
                      <w:sz w:val="21"/>
                      <w:szCs w:val="21"/>
                    </w:rPr>
                    <w:t>国家或地方污染物排放标准浓度限值/（mg/L）</w:t>
                  </w:r>
                </w:p>
              </w:tc>
            </w:tr>
            <w:tr w14:paraId="339F1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 w:type="pct"/>
                  <w:vMerge w:val="restart"/>
                  <w:vAlign w:val="center"/>
                </w:tcPr>
                <w:p w14:paraId="3989E12B">
                  <w:pPr>
                    <w:spacing w:line="240" w:lineRule="auto"/>
                    <w:jc w:val="center"/>
                    <w:rPr>
                      <w:sz w:val="21"/>
                      <w:szCs w:val="21"/>
                    </w:rPr>
                  </w:pPr>
                  <w:r>
                    <w:rPr>
                      <w:sz w:val="21"/>
                      <w:szCs w:val="21"/>
                    </w:rPr>
                    <w:t>1</w:t>
                  </w:r>
                </w:p>
              </w:tc>
              <w:tc>
                <w:tcPr>
                  <w:tcW w:w="415" w:type="pct"/>
                  <w:vMerge w:val="restart"/>
                  <w:vAlign w:val="center"/>
                </w:tcPr>
                <w:p w14:paraId="3C2904C4">
                  <w:pPr>
                    <w:spacing w:line="240" w:lineRule="auto"/>
                    <w:jc w:val="center"/>
                    <w:rPr>
                      <w:sz w:val="21"/>
                      <w:szCs w:val="21"/>
                    </w:rPr>
                  </w:pPr>
                  <w:r>
                    <w:rPr>
                      <w:rFonts w:hint="eastAsia"/>
                      <w:sz w:val="21"/>
                      <w:szCs w:val="21"/>
                    </w:rPr>
                    <w:t>DW001</w:t>
                  </w:r>
                </w:p>
              </w:tc>
              <w:tc>
                <w:tcPr>
                  <w:tcW w:w="367" w:type="pct"/>
                  <w:vMerge w:val="restart"/>
                  <w:vAlign w:val="center"/>
                </w:tcPr>
                <w:p w14:paraId="483E33D9">
                  <w:pPr>
                    <w:spacing w:line="240" w:lineRule="auto"/>
                    <w:jc w:val="center"/>
                    <w:rPr>
                      <w:rFonts w:hint="eastAsia"/>
                      <w:sz w:val="21"/>
                      <w:szCs w:val="21"/>
                    </w:rPr>
                  </w:pPr>
                  <w:r>
                    <w:rPr>
                      <w:rFonts w:hint="eastAsia"/>
                      <w:sz w:val="21"/>
                      <w:szCs w:val="21"/>
                    </w:rPr>
                    <w:t>120.106412</w:t>
                  </w:r>
                </w:p>
              </w:tc>
              <w:tc>
                <w:tcPr>
                  <w:tcW w:w="356" w:type="pct"/>
                  <w:vMerge w:val="restart"/>
                  <w:vAlign w:val="center"/>
                </w:tcPr>
                <w:p w14:paraId="5AE788E4">
                  <w:pPr>
                    <w:spacing w:line="240" w:lineRule="auto"/>
                    <w:jc w:val="center"/>
                    <w:rPr>
                      <w:rFonts w:hint="eastAsia"/>
                      <w:sz w:val="21"/>
                      <w:szCs w:val="21"/>
                    </w:rPr>
                  </w:pPr>
                  <w:r>
                    <w:rPr>
                      <w:rFonts w:hint="eastAsia"/>
                      <w:sz w:val="21"/>
                      <w:szCs w:val="21"/>
                    </w:rPr>
                    <w:t>31.787386</w:t>
                  </w:r>
                </w:p>
              </w:tc>
              <w:tc>
                <w:tcPr>
                  <w:tcW w:w="526" w:type="pct"/>
                  <w:vMerge w:val="restart"/>
                  <w:vAlign w:val="center"/>
                </w:tcPr>
                <w:p w14:paraId="7EAD99CC">
                  <w:pPr>
                    <w:spacing w:line="240" w:lineRule="auto"/>
                    <w:jc w:val="center"/>
                    <w:rPr>
                      <w:rFonts w:hint="default" w:eastAsia="仿宋"/>
                      <w:sz w:val="21"/>
                      <w:szCs w:val="21"/>
                      <w:lang w:val="en-US" w:eastAsia="zh-CN"/>
                    </w:rPr>
                  </w:pPr>
                  <w:r>
                    <w:rPr>
                      <w:sz w:val="21"/>
                      <w:szCs w:val="21"/>
                    </w:rPr>
                    <w:t>0.</w:t>
                  </w:r>
                  <w:r>
                    <w:rPr>
                      <w:rFonts w:hint="eastAsia"/>
                      <w:sz w:val="21"/>
                      <w:szCs w:val="21"/>
                      <w:lang w:val="en-US" w:eastAsia="zh-CN"/>
                    </w:rPr>
                    <w:t>0672</w:t>
                  </w:r>
                </w:p>
              </w:tc>
              <w:tc>
                <w:tcPr>
                  <w:tcW w:w="663" w:type="pct"/>
                  <w:vMerge w:val="restart"/>
                  <w:vAlign w:val="center"/>
                </w:tcPr>
                <w:p w14:paraId="6DDEC176">
                  <w:pPr>
                    <w:spacing w:line="240" w:lineRule="auto"/>
                    <w:jc w:val="center"/>
                    <w:rPr>
                      <w:sz w:val="21"/>
                      <w:szCs w:val="21"/>
                    </w:rPr>
                  </w:pPr>
                  <w:r>
                    <w:rPr>
                      <w:sz w:val="21"/>
                      <w:szCs w:val="21"/>
                    </w:rPr>
                    <w:t>接入常州东方</w:t>
                  </w:r>
                  <w:r>
                    <w:rPr>
                      <w:rFonts w:hint="eastAsia"/>
                      <w:sz w:val="21"/>
                      <w:szCs w:val="21"/>
                    </w:rPr>
                    <w:t>横山水</w:t>
                  </w:r>
                  <w:r>
                    <w:rPr>
                      <w:sz w:val="21"/>
                      <w:szCs w:val="21"/>
                    </w:rPr>
                    <w:t>处理有限公司处理，尾水排入</w:t>
                  </w:r>
                  <w:r>
                    <w:rPr>
                      <w:rFonts w:hint="eastAsia"/>
                      <w:sz w:val="21"/>
                      <w:szCs w:val="21"/>
                    </w:rPr>
                    <w:t>三山港</w:t>
                  </w:r>
                </w:p>
              </w:tc>
              <w:tc>
                <w:tcPr>
                  <w:tcW w:w="290" w:type="pct"/>
                  <w:vMerge w:val="restart"/>
                  <w:vAlign w:val="center"/>
                </w:tcPr>
                <w:p w14:paraId="095E4D9F">
                  <w:pPr>
                    <w:spacing w:line="240" w:lineRule="auto"/>
                    <w:jc w:val="center"/>
                    <w:rPr>
                      <w:sz w:val="21"/>
                      <w:szCs w:val="21"/>
                    </w:rPr>
                  </w:pPr>
                  <w:r>
                    <w:rPr>
                      <w:sz w:val="21"/>
                      <w:szCs w:val="21"/>
                    </w:rPr>
                    <w:t>间断</w:t>
                  </w:r>
                </w:p>
              </w:tc>
              <w:tc>
                <w:tcPr>
                  <w:tcW w:w="520" w:type="pct"/>
                  <w:vMerge w:val="restart"/>
                  <w:vAlign w:val="center"/>
                </w:tcPr>
                <w:p w14:paraId="057BB639">
                  <w:pPr>
                    <w:spacing w:line="240" w:lineRule="auto"/>
                    <w:jc w:val="center"/>
                    <w:rPr>
                      <w:sz w:val="21"/>
                      <w:szCs w:val="21"/>
                    </w:rPr>
                  </w:pPr>
                  <w:r>
                    <w:rPr>
                      <w:rFonts w:hint="eastAsia"/>
                      <w:sz w:val="21"/>
                      <w:szCs w:val="21"/>
                      <w:lang w:val="en-US" w:eastAsia="zh-CN"/>
                    </w:rPr>
                    <w:t>0</w:t>
                  </w:r>
                  <w:r>
                    <w:rPr>
                      <w:sz w:val="21"/>
                      <w:szCs w:val="21"/>
                    </w:rPr>
                    <w:t>：00~</w:t>
                  </w:r>
                  <w:r>
                    <w:rPr>
                      <w:rFonts w:hint="eastAsia"/>
                      <w:sz w:val="21"/>
                      <w:szCs w:val="21"/>
                      <w:lang w:val="en-US" w:eastAsia="zh-CN"/>
                    </w:rPr>
                    <w:t>24</w:t>
                  </w:r>
                  <w:r>
                    <w:rPr>
                      <w:sz w:val="21"/>
                      <w:szCs w:val="21"/>
                    </w:rPr>
                    <w:t>：00</w:t>
                  </w:r>
                </w:p>
              </w:tc>
              <w:tc>
                <w:tcPr>
                  <w:tcW w:w="427" w:type="pct"/>
                  <w:vMerge w:val="restart"/>
                  <w:vAlign w:val="center"/>
                </w:tcPr>
                <w:p w14:paraId="52AF7A38">
                  <w:pPr>
                    <w:spacing w:line="240" w:lineRule="auto"/>
                    <w:jc w:val="center"/>
                    <w:rPr>
                      <w:sz w:val="21"/>
                      <w:szCs w:val="21"/>
                    </w:rPr>
                  </w:pPr>
                  <w:r>
                    <w:rPr>
                      <w:sz w:val="21"/>
                      <w:szCs w:val="21"/>
                    </w:rPr>
                    <w:t>常州东方</w:t>
                  </w:r>
                  <w:r>
                    <w:rPr>
                      <w:rFonts w:hint="eastAsia"/>
                      <w:sz w:val="21"/>
                      <w:szCs w:val="21"/>
                    </w:rPr>
                    <w:t>横山水</w:t>
                  </w:r>
                  <w:r>
                    <w:rPr>
                      <w:sz w:val="21"/>
                      <w:szCs w:val="21"/>
                    </w:rPr>
                    <w:t>处理有限公司</w:t>
                  </w:r>
                </w:p>
              </w:tc>
              <w:tc>
                <w:tcPr>
                  <w:tcW w:w="446" w:type="pct"/>
                  <w:vAlign w:val="center"/>
                </w:tcPr>
                <w:p w14:paraId="7FA673B8">
                  <w:pPr>
                    <w:spacing w:line="240" w:lineRule="auto"/>
                    <w:jc w:val="center"/>
                    <w:rPr>
                      <w:sz w:val="21"/>
                      <w:szCs w:val="21"/>
                    </w:rPr>
                  </w:pPr>
                  <w:r>
                    <w:rPr>
                      <w:sz w:val="21"/>
                      <w:szCs w:val="21"/>
                    </w:rPr>
                    <w:t>COD</w:t>
                  </w:r>
                </w:p>
              </w:tc>
              <w:tc>
                <w:tcPr>
                  <w:tcW w:w="781" w:type="pct"/>
                  <w:vAlign w:val="center"/>
                </w:tcPr>
                <w:p w14:paraId="078D4E8C">
                  <w:pPr>
                    <w:spacing w:line="240" w:lineRule="auto"/>
                    <w:jc w:val="center"/>
                    <w:rPr>
                      <w:sz w:val="21"/>
                      <w:szCs w:val="21"/>
                    </w:rPr>
                  </w:pPr>
                  <w:r>
                    <w:rPr>
                      <w:sz w:val="21"/>
                      <w:szCs w:val="21"/>
                    </w:rPr>
                    <w:t>50</w:t>
                  </w:r>
                </w:p>
              </w:tc>
            </w:tr>
            <w:tr w14:paraId="233DD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 w:type="pct"/>
                  <w:vMerge w:val="continue"/>
                  <w:vAlign w:val="center"/>
                </w:tcPr>
                <w:p w14:paraId="41D097C7">
                  <w:pPr>
                    <w:spacing w:line="240" w:lineRule="auto"/>
                    <w:jc w:val="center"/>
                    <w:rPr>
                      <w:sz w:val="21"/>
                      <w:szCs w:val="21"/>
                    </w:rPr>
                  </w:pPr>
                </w:p>
              </w:tc>
              <w:tc>
                <w:tcPr>
                  <w:tcW w:w="415" w:type="pct"/>
                  <w:vMerge w:val="continue"/>
                  <w:vAlign w:val="center"/>
                </w:tcPr>
                <w:p w14:paraId="400F35A5">
                  <w:pPr>
                    <w:spacing w:line="240" w:lineRule="auto"/>
                    <w:jc w:val="center"/>
                    <w:rPr>
                      <w:sz w:val="21"/>
                      <w:szCs w:val="21"/>
                    </w:rPr>
                  </w:pPr>
                </w:p>
              </w:tc>
              <w:tc>
                <w:tcPr>
                  <w:tcW w:w="367" w:type="pct"/>
                  <w:vMerge w:val="continue"/>
                  <w:vAlign w:val="center"/>
                </w:tcPr>
                <w:p w14:paraId="120B1843">
                  <w:pPr>
                    <w:spacing w:line="240" w:lineRule="auto"/>
                    <w:jc w:val="center"/>
                    <w:rPr>
                      <w:sz w:val="21"/>
                      <w:szCs w:val="21"/>
                    </w:rPr>
                  </w:pPr>
                </w:p>
              </w:tc>
              <w:tc>
                <w:tcPr>
                  <w:tcW w:w="356" w:type="pct"/>
                  <w:vMerge w:val="continue"/>
                  <w:vAlign w:val="center"/>
                </w:tcPr>
                <w:p w14:paraId="60DBAF8B">
                  <w:pPr>
                    <w:spacing w:line="240" w:lineRule="auto"/>
                    <w:jc w:val="center"/>
                    <w:rPr>
                      <w:sz w:val="21"/>
                      <w:szCs w:val="21"/>
                    </w:rPr>
                  </w:pPr>
                </w:p>
              </w:tc>
              <w:tc>
                <w:tcPr>
                  <w:tcW w:w="526" w:type="pct"/>
                  <w:vMerge w:val="continue"/>
                  <w:vAlign w:val="center"/>
                </w:tcPr>
                <w:p w14:paraId="751E1489">
                  <w:pPr>
                    <w:spacing w:line="240" w:lineRule="auto"/>
                    <w:jc w:val="center"/>
                    <w:rPr>
                      <w:sz w:val="21"/>
                      <w:szCs w:val="21"/>
                    </w:rPr>
                  </w:pPr>
                </w:p>
              </w:tc>
              <w:tc>
                <w:tcPr>
                  <w:tcW w:w="663" w:type="pct"/>
                  <w:vMerge w:val="continue"/>
                  <w:vAlign w:val="center"/>
                </w:tcPr>
                <w:p w14:paraId="5119FDC4">
                  <w:pPr>
                    <w:spacing w:line="240" w:lineRule="auto"/>
                    <w:jc w:val="center"/>
                    <w:rPr>
                      <w:sz w:val="21"/>
                      <w:szCs w:val="21"/>
                    </w:rPr>
                  </w:pPr>
                </w:p>
              </w:tc>
              <w:tc>
                <w:tcPr>
                  <w:tcW w:w="290" w:type="pct"/>
                  <w:vMerge w:val="continue"/>
                  <w:vAlign w:val="center"/>
                </w:tcPr>
                <w:p w14:paraId="042F7921">
                  <w:pPr>
                    <w:spacing w:line="240" w:lineRule="auto"/>
                    <w:jc w:val="center"/>
                    <w:rPr>
                      <w:sz w:val="21"/>
                      <w:szCs w:val="21"/>
                    </w:rPr>
                  </w:pPr>
                </w:p>
              </w:tc>
              <w:tc>
                <w:tcPr>
                  <w:tcW w:w="520" w:type="pct"/>
                  <w:vMerge w:val="continue"/>
                  <w:vAlign w:val="center"/>
                </w:tcPr>
                <w:p w14:paraId="279B2389">
                  <w:pPr>
                    <w:spacing w:line="240" w:lineRule="auto"/>
                    <w:jc w:val="center"/>
                    <w:rPr>
                      <w:sz w:val="21"/>
                      <w:szCs w:val="21"/>
                    </w:rPr>
                  </w:pPr>
                </w:p>
              </w:tc>
              <w:tc>
                <w:tcPr>
                  <w:tcW w:w="427" w:type="pct"/>
                  <w:vMerge w:val="continue"/>
                  <w:vAlign w:val="center"/>
                </w:tcPr>
                <w:p w14:paraId="188731A8">
                  <w:pPr>
                    <w:spacing w:line="240" w:lineRule="auto"/>
                    <w:jc w:val="center"/>
                    <w:rPr>
                      <w:sz w:val="21"/>
                      <w:szCs w:val="21"/>
                    </w:rPr>
                  </w:pPr>
                </w:p>
              </w:tc>
              <w:tc>
                <w:tcPr>
                  <w:tcW w:w="446" w:type="pct"/>
                  <w:vAlign w:val="center"/>
                </w:tcPr>
                <w:p w14:paraId="620D9BA7">
                  <w:pPr>
                    <w:spacing w:line="240" w:lineRule="auto"/>
                    <w:jc w:val="center"/>
                    <w:rPr>
                      <w:sz w:val="21"/>
                      <w:szCs w:val="21"/>
                    </w:rPr>
                  </w:pPr>
                  <w:r>
                    <w:rPr>
                      <w:sz w:val="21"/>
                      <w:szCs w:val="21"/>
                    </w:rPr>
                    <w:t>SS</w:t>
                  </w:r>
                </w:p>
              </w:tc>
              <w:tc>
                <w:tcPr>
                  <w:tcW w:w="781" w:type="pct"/>
                  <w:vAlign w:val="center"/>
                </w:tcPr>
                <w:p w14:paraId="2BB411CF">
                  <w:pPr>
                    <w:spacing w:line="240" w:lineRule="auto"/>
                    <w:jc w:val="center"/>
                    <w:rPr>
                      <w:sz w:val="21"/>
                      <w:szCs w:val="21"/>
                    </w:rPr>
                  </w:pPr>
                  <w:r>
                    <w:rPr>
                      <w:sz w:val="21"/>
                      <w:szCs w:val="21"/>
                    </w:rPr>
                    <w:t>10</w:t>
                  </w:r>
                </w:p>
              </w:tc>
            </w:tr>
            <w:tr w14:paraId="49F8E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 w:type="pct"/>
                  <w:vMerge w:val="continue"/>
                  <w:vAlign w:val="center"/>
                </w:tcPr>
                <w:p w14:paraId="239829ED">
                  <w:pPr>
                    <w:spacing w:line="240" w:lineRule="auto"/>
                    <w:jc w:val="center"/>
                    <w:rPr>
                      <w:sz w:val="21"/>
                      <w:szCs w:val="21"/>
                    </w:rPr>
                  </w:pPr>
                </w:p>
              </w:tc>
              <w:tc>
                <w:tcPr>
                  <w:tcW w:w="415" w:type="pct"/>
                  <w:vMerge w:val="continue"/>
                  <w:vAlign w:val="center"/>
                </w:tcPr>
                <w:p w14:paraId="648A8AC1">
                  <w:pPr>
                    <w:spacing w:line="240" w:lineRule="auto"/>
                    <w:jc w:val="center"/>
                    <w:rPr>
                      <w:sz w:val="21"/>
                      <w:szCs w:val="21"/>
                    </w:rPr>
                  </w:pPr>
                </w:p>
              </w:tc>
              <w:tc>
                <w:tcPr>
                  <w:tcW w:w="367" w:type="pct"/>
                  <w:vMerge w:val="continue"/>
                  <w:vAlign w:val="center"/>
                </w:tcPr>
                <w:p w14:paraId="19DB5FF5">
                  <w:pPr>
                    <w:spacing w:line="240" w:lineRule="auto"/>
                    <w:jc w:val="center"/>
                    <w:rPr>
                      <w:sz w:val="21"/>
                      <w:szCs w:val="21"/>
                    </w:rPr>
                  </w:pPr>
                </w:p>
              </w:tc>
              <w:tc>
                <w:tcPr>
                  <w:tcW w:w="356" w:type="pct"/>
                  <w:vMerge w:val="continue"/>
                  <w:vAlign w:val="center"/>
                </w:tcPr>
                <w:p w14:paraId="6E37ACE8">
                  <w:pPr>
                    <w:spacing w:line="240" w:lineRule="auto"/>
                    <w:jc w:val="center"/>
                    <w:rPr>
                      <w:sz w:val="21"/>
                      <w:szCs w:val="21"/>
                    </w:rPr>
                  </w:pPr>
                </w:p>
              </w:tc>
              <w:tc>
                <w:tcPr>
                  <w:tcW w:w="526" w:type="pct"/>
                  <w:vMerge w:val="continue"/>
                  <w:vAlign w:val="center"/>
                </w:tcPr>
                <w:p w14:paraId="1A0AAAC8">
                  <w:pPr>
                    <w:spacing w:line="240" w:lineRule="auto"/>
                    <w:jc w:val="center"/>
                    <w:rPr>
                      <w:sz w:val="21"/>
                      <w:szCs w:val="21"/>
                    </w:rPr>
                  </w:pPr>
                </w:p>
              </w:tc>
              <w:tc>
                <w:tcPr>
                  <w:tcW w:w="663" w:type="pct"/>
                  <w:vMerge w:val="continue"/>
                  <w:vAlign w:val="center"/>
                </w:tcPr>
                <w:p w14:paraId="0D6E0B91">
                  <w:pPr>
                    <w:spacing w:line="240" w:lineRule="auto"/>
                    <w:jc w:val="center"/>
                    <w:rPr>
                      <w:sz w:val="21"/>
                      <w:szCs w:val="21"/>
                    </w:rPr>
                  </w:pPr>
                </w:p>
              </w:tc>
              <w:tc>
                <w:tcPr>
                  <w:tcW w:w="290" w:type="pct"/>
                  <w:vMerge w:val="continue"/>
                  <w:vAlign w:val="center"/>
                </w:tcPr>
                <w:p w14:paraId="083530CE">
                  <w:pPr>
                    <w:spacing w:line="240" w:lineRule="auto"/>
                    <w:jc w:val="center"/>
                    <w:rPr>
                      <w:sz w:val="21"/>
                      <w:szCs w:val="21"/>
                    </w:rPr>
                  </w:pPr>
                </w:p>
              </w:tc>
              <w:tc>
                <w:tcPr>
                  <w:tcW w:w="520" w:type="pct"/>
                  <w:vMerge w:val="continue"/>
                  <w:vAlign w:val="center"/>
                </w:tcPr>
                <w:p w14:paraId="6CD02D27">
                  <w:pPr>
                    <w:spacing w:line="240" w:lineRule="auto"/>
                    <w:jc w:val="center"/>
                    <w:rPr>
                      <w:sz w:val="21"/>
                      <w:szCs w:val="21"/>
                    </w:rPr>
                  </w:pPr>
                </w:p>
              </w:tc>
              <w:tc>
                <w:tcPr>
                  <w:tcW w:w="427" w:type="pct"/>
                  <w:vMerge w:val="continue"/>
                  <w:vAlign w:val="center"/>
                </w:tcPr>
                <w:p w14:paraId="7D4F57F4">
                  <w:pPr>
                    <w:spacing w:line="240" w:lineRule="auto"/>
                    <w:jc w:val="center"/>
                    <w:rPr>
                      <w:sz w:val="21"/>
                      <w:szCs w:val="21"/>
                    </w:rPr>
                  </w:pPr>
                </w:p>
              </w:tc>
              <w:tc>
                <w:tcPr>
                  <w:tcW w:w="446" w:type="pct"/>
                  <w:vAlign w:val="center"/>
                </w:tcPr>
                <w:p w14:paraId="7D9C9977">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781" w:type="pct"/>
                  <w:vAlign w:val="center"/>
                </w:tcPr>
                <w:p w14:paraId="0ADD8ADC">
                  <w:pPr>
                    <w:spacing w:line="240" w:lineRule="auto"/>
                    <w:jc w:val="center"/>
                    <w:rPr>
                      <w:rFonts w:hint="default" w:eastAsia="仿宋"/>
                      <w:sz w:val="21"/>
                      <w:szCs w:val="21"/>
                      <w:lang w:val="en-US" w:eastAsia="zh-CN"/>
                    </w:rPr>
                  </w:pPr>
                  <w:r>
                    <w:rPr>
                      <w:sz w:val="21"/>
                      <w:szCs w:val="21"/>
                    </w:rPr>
                    <w:t>4</w:t>
                  </w:r>
                  <w:r>
                    <w:rPr>
                      <w:rFonts w:hint="eastAsia"/>
                      <w:sz w:val="21"/>
                      <w:szCs w:val="21"/>
                      <w:lang w:val="en-US" w:eastAsia="zh-CN"/>
                    </w:rPr>
                    <w:t>（6）</w:t>
                  </w:r>
                </w:p>
              </w:tc>
            </w:tr>
            <w:tr w14:paraId="55BAA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 w:type="pct"/>
                  <w:vMerge w:val="continue"/>
                  <w:vAlign w:val="center"/>
                </w:tcPr>
                <w:p w14:paraId="059B459D">
                  <w:pPr>
                    <w:spacing w:line="240" w:lineRule="auto"/>
                    <w:jc w:val="center"/>
                    <w:rPr>
                      <w:sz w:val="21"/>
                      <w:szCs w:val="21"/>
                    </w:rPr>
                  </w:pPr>
                </w:p>
              </w:tc>
              <w:tc>
                <w:tcPr>
                  <w:tcW w:w="415" w:type="pct"/>
                  <w:vMerge w:val="continue"/>
                  <w:vAlign w:val="center"/>
                </w:tcPr>
                <w:p w14:paraId="3CFCBD56">
                  <w:pPr>
                    <w:spacing w:line="240" w:lineRule="auto"/>
                    <w:jc w:val="center"/>
                    <w:rPr>
                      <w:sz w:val="21"/>
                      <w:szCs w:val="21"/>
                    </w:rPr>
                  </w:pPr>
                </w:p>
              </w:tc>
              <w:tc>
                <w:tcPr>
                  <w:tcW w:w="367" w:type="pct"/>
                  <w:vMerge w:val="continue"/>
                  <w:vAlign w:val="center"/>
                </w:tcPr>
                <w:p w14:paraId="7437E320">
                  <w:pPr>
                    <w:spacing w:line="240" w:lineRule="auto"/>
                    <w:jc w:val="center"/>
                    <w:rPr>
                      <w:sz w:val="21"/>
                      <w:szCs w:val="21"/>
                    </w:rPr>
                  </w:pPr>
                </w:p>
              </w:tc>
              <w:tc>
                <w:tcPr>
                  <w:tcW w:w="356" w:type="pct"/>
                  <w:vMerge w:val="continue"/>
                  <w:vAlign w:val="center"/>
                </w:tcPr>
                <w:p w14:paraId="4ACF56ED">
                  <w:pPr>
                    <w:spacing w:line="240" w:lineRule="auto"/>
                    <w:jc w:val="center"/>
                    <w:rPr>
                      <w:sz w:val="21"/>
                      <w:szCs w:val="21"/>
                    </w:rPr>
                  </w:pPr>
                </w:p>
              </w:tc>
              <w:tc>
                <w:tcPr>
                  <w:tcW w:w="526" w:type="pct"/>
                  <w:vMerge w:val="continue"/>
                  <w:vAlign w:val="center"/>
                </w:tcPr>
                <w:p w14:paraId="540BE4AE">
                  <w:pPr>
                    <w:spacing w:line="240" w:lineRule="auto"/>
                    <w:jc w:val="center"/>
                    <w:rPr>
                      <w:sz w:val="21"/>
                      <w:szCs w:val="21"/>
                    </w:rPr>
                  </w:pPr>
                </w:p>
              </w:tc>
              <w:tc>
                <w:tcPr>
                  <w:tcW w:w="663" w:type="pct"/>
                  <w:vMerge w:val="continue"/>
                  <w:vAlign w:val="center"/>
                </w:tcPr>
                <w:p w14:paraId="3B48941A">
                  <w:pPr>
                    <w:spacing w:line="240" w:lineRule="auto"/>
                    <w:jc w:val="center"/>
                    <w:rPr>
                      <w:sz w:val="21"/>
                      <w:szCs w:val="21"/>
                    </w:rPr>
                  </w:pPr>
                </w:p>
              </w:tc>
              <w:tc>
                <w:tcPr>
                  <w:tcW w:w="290" w:type="pct"/>
                  <w:vMerge w:val="continue"/>
                  <w:vAlign w:val="center"/>
                </w:tcPr>
                <w:p w14:paraId="68C63687">
                  <w:pPr>
                    <w:spacing w:line="240" w:lineRule="auto"/>
                    <w:jc w:val="center"/>
                    <w:rPr>
                      <w:sz w:val="21"/>
                      <w:szCs w:val="21"/>
                    </w:rPr>
                  </w:pPr>
                </w:p>
              </w:tc>
              <w:tc>
                <w:tcPr>
                  <w:tcW w:w="520" w:type="pct"/>
                  <w:vMerge w:val="continue"/>
                  <w:vAlign w:val="center"/>
                </w:tcPr>
                <w:p w14:paraId="391A8003">
                  <w:pPr>
                    <w:spacing w:line="240" w:lineRule="auto"/>
                    <w:jc w:val="center"/>
                    <w:rPr>
                      <w:sz w:val="21"/>
                      <w:szCs w:val="21"/>
                    </w:rPr>
                  </w:pPr>
                </w:p>
              </w:tc>
              <w:tc>
                <w:tcPr>
                  <w:tcW w:w="427" w:type="pct"/>
                  <w:vMerge w:val="continue"/>
                  <w:vAlign w:val="center"/>
                </w:tcPr>
                <w:p w14:paraId="758ADB85">
                  <w:pPr>
                    <w:spacing w:line="240" w:lineRule="auto"/>
                    <w:jc w:val="center"/>
                    <w:rPr>
                      <w:sz w:val="21"/>
                      <w:szCs w:val="21"/>
                    </w:rPr>
                  </w:pPr>
                </w:p>
              </w:tc>
              <w:tc>
                <w:tcPr>
                  <w:tcW w:w="446" w:type="pct"/>
                  <w:vAlign w:val="center"/>
                </w:tcPr>
                <w:p w14:paraId="011C6F53">
                  <w:pPr>
                    <w:spacing w:line="240" w:lineRule="auto"/>
                    <w:jc w:val="center"/>
                    <w:rPr>
                      <w:sz w:val="21"/>
                      <w:szCs w:val="21"/>
                    </w:rPr>
                  </w:pPr>
                  <w:r>
                    <w:rPr>
                      <w:sz w:val="21"/>
                      <w:szCs w:val="21"/>
                    </w:rPr>
                    <w:t>TN</w:t>
                  </w:r>
                </w:p>
              </w:tc>
              <w:tc>
                <w:tcPr>
                  <w:tcW w:w="781" w:type="pct"/>
                  <w:vAlign w:val="center"/>
                </w:tcPr>
                <w:p w14:paraId="0EEF8725">
                  <w:pPr>
                    <w:spacing w:line="240" w:lineRule="auto"/>
                    <w:jc w:val="center"/>
                    <w:rPr>
                      <w:rFonts w:hint="eastAsia" w:eastAsia="仿宋"/>
                      <w:sz w:val="21"/>
                      <w:szCs w:val="21"/>
                      <w:lang w:eastAsia="zh-CN"/>
                    </w:rPr>
                  </w:pPr>
                  <w:r>
                    <w:rPr>
                      <w:sz w:val="21"/>
                      <w:szCs w:val="21"/>
                    </w:rPr>
                    <w:t>12</w:t>
                  </w:r>
                  <w:r>
                    <w:rPr>
                      <w:rFonts w:hint="eastAsia"/>
                      <w:sz w:val="21"/>
                      <w:szCs w:val="21"/>
                      <w:lang w:eastAsia="zh-CN"/>
                    </w:rPr>
                    <w:t>（</w:t>
                  </w:r>
                  <w:r>
                    <w:rPr>
                      <w:rFonts w:hint="eastAsia"/>
                      <w:sz w:val="21"/>
                      <w:szCs w:val="21"/>
                      <w:lang w:val="en-US" w:eastAsia="zh-CN"/>
                    </w:rPr>
                    <w:t>15</w:t>
                  </w:r>
                  <w:r>
                    <w:rPr>
                      <w:rFonts w:hint="eastAsia"/>
                      <w:sz w:val="21"/>
                      <w:szCs w:val="21"/>
                      <w:lang w:eastAsia="zh-CN"/>
                    </w:rPr>
                    <w:t>）</w:t>
                  </w:r>
                </w:p>
              </w:tc>
            </w:tr>
            <w:tr w14:paraId="2CE89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 w:type="pct"/>
                  <w:vMerge w:val="continue"/>
                  <w:vAlign w:val="center"/>
                </w:tcPr>
                <w:p w14:paraId="35A1F19D">
                  <w:pPr>
                    <w:spacing w:line="240" w:lineRule="auto"/>
                    <w:jc w:val="center"/>
                    <w:rPr>
                      <w:sz w:val="21"/>
                      <w:szCs w:val="21"/>
                    </w:rPr>
                  </w:pPr>
                </w:p>
              </w:tc>
              <w:tc>
                <w:tcPr>
                  <w:tcW w:w="415" w:type="pct"/>
                  <w:vMerge w:val="continue"/>
                  <w:vAlign w:val="center"/>
                </w:tcPr>
                <w:p w14:paraId="3102D386">
                  <w:pPr>
                    <w:spacing w:line="240" w:lineRule="auto"/>
                    <w:jc w:val="center"/>
                    <w:rPr>
                      <w:sz w:val="21"/>
                      <w:szCs w:val="21"/>
                    </w:rPr>
                  </w:pPr>
                </w:p>
              </w:tc>
              <w:tc>
                <w:tcPr>
                  <w:tcW w:w="367" w:type="pct"/>
                  <w:vMerge w:val="continue"/>
                  <w:vAlign w:val="center"/>
                </w:tcPr>
                <w:p w14:paraId="6CFBBDD8">
                  <w:pPr>
                    <w:spacing w:line="240" w:lineRule="auto"/>
                    <w:jc w:val="center"/>
                    <w:rPr>
                      <w:sz w:val="21"/>
                      <w:szCs w:val="21"/>
                    </w:rPr>
                  </w:pPr>
                </w:p>
              </w:tc>
              <w:tc>
                <w:tcPr>
                  <w:tcW w:w="356" w:type="pct"/>
                  <w:vMerge w:val="continue"/>
                  <w:vAlign w:val="center"/>
                </w:tcPr>
                <w:p w14:paraId="60A5D4E4">
                  <w:pPr>
                    <w:spacing w:line="240" w:lineRule="auto"/>
                    <w:jc w:val="center"/>
                    <w:rPr>
                      <w:sz w:val="21"/>
                      <w:szCs w:val="21"/>
                    </w:rPr>
                  </w:pPr>
                </w:p>
              </w:tc>
              <w:tc>
                <w:tcPr>
                  <w:tcW w:w="526" w:type="pct"/>
                  <w:vMerge w:val="continue"/>
                  <w:vAlign w:val="center"/>
                </w:tcPr>
                <w:p w14:paraId="1FAD1CFD">
                  <w:pPr>
                    <w:spacing w:line="240" w:lineRule="auto"/>
                    <w:jc w:val="center"/>
                    <w:rPr>
                      <w:sz w:val="21"/>
                      <w:szCs w:val="21"/>
                    </w:rPr>
                  </w:pPr>
                </w:p>
              </w:tc>
              <w:tc>
                <w:tcPr>
                  <w:tcW w:w="663" w:type="pct"/>
                  <w:vMerge w:val="continue"/>
                  <w:vAlign w:val="center"/>
                </w:tcPr>
                <w:p w14:paraId="1FB2EAD8">
                  <w:pPr>
                    <w:spacing w:line="240" w:lineRule="auto"/>
                    <w:jc w:val="center"/>
                    <w:rPr>
                      <w:sz w:val="21"/>
                      <w:szCs w:val="21"/>
                    </w:rPr>
                  </w:pPr>
                </w:p>
              </w:tc>
              <w:tc>
                <w:tcPr>
                  <w:tcW w:w="290" w:type="pct"/>
                  <w:vMerge w:val="continue"/>
                  <w:vAlign w:val="center"/>
                </w:tcPr>
                <w:p w14:paraId="24D736C2">
                  <w:pPr>
                    <w:spacing w:line="240" w:lineRule="auto"/>
                    <w:jc w:val="center"/>
                    <w:rPr>
                      <w:sz w:val="21"/>
                      <w:szCs w:val="21"/>
                    </w:rPr>
                  </w:pPr>
                </w:p>
              </w:tc>
              <w:tc>
                <w:tcPr>
                  <w:tcW w:w="520" w:type="pct"/>
                  <w:vMerge w:val="continue"/>
                  <w:vAlign w:val="center"/>
                </w:tcPr>
                <w:p w14:paraId="40D97BF0">
                  <w:pPr>
                    <w:spacing w:line="240" w:lineRule="auto"/>
                    <w:jc w:val="center"/>
                    <w:rPr>
                      <w:sz w:val="21"/>
                      <w:szCs w:val="21"/>
                    </w:rPr>
                  </w:pPr>
                </w:p>
              </w:tc>
              <w:tc>
                <w:tcPr>
                  <w:tcW w:w="427" w:type="pct"/>
                  <w:vMerge w:val="continue"/>
                  <w:vAlign w:val="center"/>
                </w:tcPr>
                <w:p w14:paraId="2F6AB7D5">
                  <w:pPr>
                    <w:spacing w:line="240" w:lineRule="auto"/>
                    <w:jc w:val="center"/>
                    <w:rPr>
                      <w:sz w:val="21"/>
                      <w:szCs w:val="21"/>
                    </w:rPr>
                  </w:pPr>
                </w:p>
              </w:tc>
              <w:tc>
                <w:tcPr>
                  <w:tcW w:w="446" w:type="pct"/>
                  <w:vAlign w:val="center"/>
                </w:tcPr>
                <w:p w14:paraId="55599A06">
                  <w:pPr>
                    <w:spacing w:line="240" w:lineRule="auto"/>
                    <w:jc w:val="center"/>
                    <w:rPr>
                      <w:sz w:val="21"/>
                      <w:szCs w:val="21"/>
                    </w:rPr>
                  </w:pPr>
                  <w:r>
                    <w:rPr>
                      <w:sz w:val="21"/>
                      <w:szCs w:val="21"/>
                    </w:rPr>
                    <w:t>TP</w:t>
                  </w:r>
                </w:p>
              </w:tc>
              <w:tc>
                <w:tcPr>
                  <w:tcW w:w="781" w:type="pct"/>
                  <w:vAlign w:val="center"/>
                </w:tcPr>
                <w:p w14:paraId="2BCD987A">
                  <w:pPr>
                    <w:spacing w:line="240" w:lineRule="auto"/>
                    <w:jc w:val="center"/>
                    <w:rPr>
                      <w:sz w:val="21"/>
                      <w:szCs w:val="21"/>
                    </w:rPr>
                  </w:pPr>
                  <w:r>
                    <w:rPr>
                      <w:sz w:val="21"/>
                      <w:szCs w:val="21"/>
                    </w:rPr>
                    <w:t>0.5</w:t>
                  </w:r>
                </w:p>
              </w:tc>
            </w:tr>
          </w:tbl>
          <w:p w14:paraId="0B5084BE">
            <w:pPr>
              <w:spacing w:line="240" w:lineRule="auto"/>
              <w:jc w:val="left"/>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注：每年11月1日至次年3月31日执行括号内排放限值。</w:t>
            </w:r>
          </w:p>
          <w:p w14:paraId="7EBAEA0F">
            <w:pPr>
              <w:pStyle w:val="2"/>
              <w:spacing w:before="0" w:after="0" w:line="240" w:lineRule="auto"/>
              <w:ind w:right="0" w:firstLine="422" w:firstLineChars="200"/>
              <w:jc w:val="center"/>
              <w:rPr>
                <w:rFonts w:hint="default" w:ascii="Times New Roman" w:hAnsi="Times New Roman" w:eastAsia="仿宋" w:cs="Times New Roman"/>
                <w:b/>
                <w:bCs/>
                <w:color w:val="auto"/>
                <w:sz w:val="21"/>
                <w:szCs w:val="21"/>
                <w:lang w:val="en-US" w:eastAsia="zh-CN"/>
              </w:rPr>
            </w:pPr>
            <w:r>
              <w:rPr>
                <w:b/>
                <w:bCs/>
                <w:sz w:val="21"/>
                <w:szCs w:val="21"/>
              </w:rPr>
              <w:t>表</w:t>
            </w:r>
            <w:r>
              <w:rPr>
                <w:rFonts w:hint="eastAsia"/>
                <w:b/>
                <w:bCs/>
                <w:sz w:val="21"/>
                <w:szCs w:val="21"/>
              </w:rPr>
              <w:t>4-</w:t>
            </w:r>
            <w:r>
              <w:rPr>
                <w:rFonts w:hint="eastAsia"/>
                <w:b/>
                <w:bCs/>
                <w:sz w:val="21"/>
                <w:szCs w:val="21"/>
                <w:lang w:val="en-US" w:eastAsia="zh-CN"/>
              </w:rPr>
              <w:t>16</w:t>
            </w:r>
            <w:r>
              <w:rPr>
                <w:b/>
                <w:bCs/>
                <w:sz w:val="21"/>
                <w:szCs w:val="21"/>
              </w:rPr>
              <w:t xml:space="preserve"> </w:t>
            </w:r>
            <w:r>
              <w:rPr>
                <w:rFonts w:hint="eastAsia"/>
                <w:b/>
                <w:bCs/>
                <w:sz w:val="21"/>
                <w:szCs w:val="21"/>
              </w:rPr>
              <w:t xml:space="preserve"> </w:t>
            </w:r>
            <w:r>
              <w:rPr>
                <w:b/>
                <w:bCs/>
                <w:sz w:val="21"/>
                <w:szCs w:val="21"/>
              </w:rPr>
              <w:t>废水间接排放口基本情况表</w:t>
            </w:r>
            <w:r>
              <w:rPr>
                <w:rFonts w:hint="default" w:ascii="Times New Roman" w:hAnsi="Times New Roman" w:eastAsia="仿宋" w:cs="Times New Roman"/>
                <w:b/>
                <w:bCs/>
                <w:color w:val="auto"/>
                <w:sz w:val="21"/>
                <w:szCs w:val="21"/>
                <w:lang w:val="en-US" w:eastAsia="zh-CN"/>
              </w:rPr>
              <w:t>（2026年3月28日执行标准）</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986"/>
              <w:gridCol w:w="1214"/>
              <w:gridCol w:w="1112"/>
              <w:gridCol w:w="1268"/>
              <w:gridCol w:w="1612"/>
              <w:gridCol w:w="672"/>
              <w:gridCol w:w="1250"/>
              <w:gridCol w:w="1016"/>
              <w:gridCol w:w="1064"/>
              <w:gridCol w:w="1919"/>
            </w:tblGrid>
            <w:tr w14:paraId="306BC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restart"/>
                  <w:vAlign w:val="center"/>
                </w:tcPr>
                <w:p w14:paraId="74A1E9A4">
                  <w:pPr>
                    <w:spacing w:line="240" w:lineRule="auto"/>
                    <w:jc w:val="center"/>
                    <w:rPr>
                      <w:b/>
                      <w:bCs/>
                      <w:sz w:val="21"/>
                      <w:szCs w:val="21"/>
                    </w:rPr>
                  </w:pPr>
                  <w:r>
                    <w:rPr>
                      <w:b/>
                      <w:bCs/>
                      <w:sz w:val="21"/>
                      <w:szCs w:val="21"/>
                    </w:rPr>
                    <w:t>序号</w:t>
                  </w:r>
                </w:p>
              </w:tc>
              <w:tc>
                <w:tcPr>
                  <w:tcW w:w="392" w:type="pct"/>
                  <w:vMerge w:val="restart"/>
                  <w:vAlign w:val="center"/>
                </w:tcPr>
                <w:p w14:paraId="27AAB4F6">
                  <w:pPr>
                    <w:spacing w:line="240" w:lineRule="auto"/>
                    <w:jc w:val="center"/>
                    <w:rPr>
                      <w:b/>
                      <w:bCs/>
                      <w:sz w:val="21"/>
                      <w:szCs w:val="21"/>
                    </w:rPr>
                  </w:pPr>
                  <w:r>
                    <w:rPr>
                      <w:b/>
                      <w:bCs/>
                      <w:sz w:val="21"/>
                      <w:szCs w:val="21"/>
                    </w:rPr>
                    <w:t>排放口编号</w:t>
                  </w:r>
                </w:p>
              </w:tc>
              <w:tc>
                <w:tcPr>
                  <w:tcW w:w="924" w:type="pct"/>
                  <w:gridSpan w:val="2"/>
                  <w:vAlign w:val="center"/>
                </w:tcPr>
                <w:p w14:paraId="07C76B8C">
                  <w:pPr>
                    <w:spacing w:line="240" w:lineRule="auto"/>
                    <w:jc w:val="center"/>
                    <w:rPr>
                      <w:b/>
                      <w:bCs/>
                      <w:sz w:val="21"/>
                      <w:szCs w:val="21"/>
                    </w:rPr>
                  </w:pPr>
                  <w:r>
                    <w:rPr>
                      <w:b/>
                      <w:bCs/>
                      <w:sz w:val="21"/>
                      <w:szCs w:val="21"/>
                    </w:rPr>
                    <w:t>排放口地理坐标</w:t>
                  </w:r>
                </w:p>
              </w:tc>
              <w:tc>
                <w:tcPr>
                  <w:tcW w:w="504" w:type="pct"/>
                  <w:vMerge w:val="restart"/>
                  <w:vAlign w:val="center"/>
                </w:tcPr>
                <w:p w14:paraId="501A4D69">
                  <w:pPr>
                    <w:spacing w:line="240" w:lineRule="auto"/>
                    <w:jc w:val="center"/>
                    <w:rPr>
                      <w:b/>
                      <w:bCs/>
                      <w:sz w:val="21"/>
                      <w:szCs w:val="21"/>
                    </w:rPr>
                  </w:pPr>
                  <w:r>
                    <w:rPr>
                      <w:b/>
                      <w:bCs/>
                      <w:sz w:val="21"/>
                      <w:szCs w:val="21"/>
                    </w:rPr>
                    <w:t>废水排放量（万t/a）</w:t>
                  </w:r>
                </w:p>
              </w:tc>
              <w:tc>
                <w:tcPr>
                  <w:tcW w:w="641" w:type="pct"/>
                  <w:vMerge w:val="restart"/>
                  <w:vAlign w:val="center"/>
                </w:tcPr>
                <w:p w14:paraId="67D5AB0E">
                  <w:pPr>
                    <w:spacing w:line="240" w:lineRule="auto"/>
                    <w:jc w:val="center"/>
                    <w:rPr>
                      <w:b/>
                      <w:bCs/>
                      <w:sz w:val="21"/>
                      <w:szCs w:val="21"/>
                    </w:rPr>
                  </w:pPr>
                  <w:r>
                    <w:rPr>
                      <w:b/>
                      <w:bCs/>
                      <w:sz w:val="21"/>
                      <w:szCs w:val="21"/>
                    </w:rPr>
                    <w:t>排放去向</w:t>
                  </w:r>
                </w:p>
              </w:tc>
              <w:tc>
                <w:tcPr>
                  <w:tcW w:w="267" w:type="pct"/>
                  <w:vMerge w:val="restart"/>
                  <w:vAlign w:val="center"/>
                </w:tcPr>
                <w:p w14:paraId="5DC5A4F9">
                  <w:pPr>
                    <w:spacing w:line="240" w:lineRule="auto"/>
                    <w:jc w:val="center"/>
                    <w:rPr>
                      <w:b/>
                      <w:bCs/>
                      <w:sz w:val="21"/>
                      <w:szCs w:val="21"/>
                    </w:rPr>
                  </w:pPr>
                  <w:r>
                    <w:rPr>
                      <w:b/>
                      <w:bCs/>
                      <w:sz w:val="21"/>
                      <w:szCs w:val="21"/>
                    </w:rPr>
                    <w:t>排放规律</w:t>
                  </w:r>
                </w:p>
              </w:tc>
              <w:tc>
                <w:tcPr>
                  <w:tcW w:w="497" w:type="pct"/>
                  <w:vMerge w:val="restart"/>
                  <w:vAlign w:val="center"/>
                </w:tcPr>
                <w:p w14:paraId="799EA63B">
                  <w:pPr>
                    <w:spacing w:line="240" w:lineRule="auto"/>
                    <w:jc w:val="center"/>
                    <w:rPr>
                      <w:b/>
                      <w:bCs/>
                      <w:sz w:val="21"/>
                      <w:szCs w:val="21"/>
                    </w:rPr>
                  </w:pPr>
                  <w:r>
                    <w:rPr>
                      <w:b/>
                      <w:bCs/>
                      <w:sz w:val="21"/>
                      <w:szCs w:val="21"/>
                    </w:rPr>
                    <w:t>间接排放时段</w:t>
                  </w:r>
                </w:p>
              </w:tc>
              <w:tc>
                <w:tcPr>
                  <w:tcW w:w="1590" w:type="pct"/>
                  <w:gridSpan w:val="3"/>
                  <w:vAlign w:val="center"/>
                </w:tcPr>
                <w:p w14:paraId="770AA63B">
                  <w:pPr>
                    <w:spacing w:line="240" w:lineRule="auto"/>
                    <w:jc w:val="center"/>
                    <w:rPr>
                      <w:b/>
                      <w:bCs/>
                      <w:sz w:val="21"/>
                      <w:szCs w:val="21"/>
                    </w:rPr>
                  </w:pPr>
                  <w:r>
                    <w:rPr>
                      <w:b/>
                      <w:bCs/>
                      <w:sz w:val="21"/>
                      <w:szCs w:val="21"/>
                    </w:rPr>
                    <w:t>受纳污水处理厂信息</w:t>
                  </w:r>
                </w:p>
              </w:tc>
            </w:tr>
            <w:tr w14:paraId="38CC4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continue"/>
                  <w:vAlign w:val="center"/>
                </w:tcPr>
                <w:p w14:paraId="7C88CEA0">
                  <w:pPr>
                    <w:spacing w:line="240" w:lineRule="auto"/>
                    <w:jc w:val="center"/>
                    <w:rPr>
                      <w:b/>
                      <w:bCs/>
                      <w:sz w:val="21"/>
                      <w:szCs w:val="21"/>
                    </w:rPr>
                  </w:pPr>
                </w:p>
              </w:tc>
              <w:tc>
                <w:tcPr>
                  <w:tcW w:w="392" w:type="pct"/>
                  <w:vMerge w:val="continue"/>
                  <w:vAlign w:val="center"/>
                </w:tcPr>
                <w:p w14:paraId="6179AFE3">
                  <w:pPr>
                    <w:spacing w:line="240" w:lineRule="auto"/>
                    <w:jc w:val="center"/>
                    <w:rPr>
                      <w:b/>
                      <w:bCs/>
                      <w:sz w:val="21"/>
                      <w:szCs w:val="21"/>
                    </w:rPr>
                  </w:pPr>
                </w:p>
              </w:tc>
              <w:tc>
                <w:tcPr>
                  <w:tcW w:w="482" w:type="pct"/>
                  <w:vAlign w:val="center"/>
                </w:tcPr>
                <w:p w14:paraId="572A37BC">
                  <w:pPr>
                    <w:spacing w:line="240" w:lineRule="auto"/>
                    <w:jc w:val="center"/>
                    <w:rPr>
                      <w:b/>
                      <w:bCs/>
                      <w:sz w:val="21"/>
                      <w:szCs w:val="21"/>
                    </w:rPr>
                  </w:pPr>
                  <w:r>
                    <w:rPr>
                      <w:b/>
                      <w:bCs/>
                      <w:sz w:val="21"/>
                      <w:szCs w:val="21"/>
                    </w:rPr>
                    <w:t>经度</w:t>
                  </w:r>
                </w:p>
                <w:p w14:paraId="6C0302B0">
                  <w:pPr>
                    <w:spacing w:line="240" w:lineRule="auto"/>
                    <w:jc w:val="center"/>
                    <w:rPr>
                      <w:b/>
                      <w:bCs/>
                      <w:sz w:val="21"/>
                      <w:szCs w:val="21"/>
                    </w:rPr>
                  </w:pPr>
                  <w:r>
                    <w:rPr>
                      <w:b/>
                      <w:bCs/>
                      <w:sz w:val="21"/>
                      <w:szCs w:val="21"/>
                    </w:rPr>
                    <w:t>（°）</w:t>
                  </w:r>
                </w:p>
              </w:tc>
              <w:tc>
                <w:tcPr>
                  <w:tcW w:w="441" w:type="pct"/>
                  <w:vAlign w:val="center"/>
                </w:tcPr>
                <w:p w14:paraId="18C5CDEE">
                  <w:pPr>
                    <w:spacing w:line="240" w:lineRule="auto"/>
                    <w:jc w:val="center"/>
                    <w:rPr>
                      <w:b/>
                      <w:bCs/>
                      <w:sz w:val="21"/>
                      <w:szCs w:val="21"/>
                    </w:rPr>
                  </w:pPr>
                  <w:r>
                    <w:rPr>
                      <w:b/>
                      <w:bCs/>
                      <w:sz w:val="21"/>
                      <w:szCs w:val="21"/>
                    </w:rPr>
                    <w:t>纬度</w:t>
                  </w:r>
                </w:p>
                <w:p w14:paraId="19960301">
                  <w:pPr>
                    <w:spacing w:line="240" w:lineRule="auto"/>
                    <w:jc w:val="center"/>
                    <w:rPr>
                      <w:b/>
                      <w:bCs/>
                      <w:sz w:val="21"/>
                      <w:szCs w:val="21"/>
                    </w:rPr>
                  </w:pPr>
                  <w:r>
                    <w:rPr>
                      <w:b/>
                      <w:bCs/>
                      <w:sz w:val="21"/>
                      <w:szCs w:val="21"/>
                    </w:rPr>
                    <w:t>（°）</w:t>
                  </w:r>
                </w:p>
              </w:tc>
              <w:tc>
                <w:tcPr>
                  <w:tcW w:w="504" w:type="pct"/>
                  <w:vMerge w:val="continue"/>
                  <w:vAlign w:val="center"/>
                </w:tcPr>
                <w:p w14:paraId="1817F103">
                  <w:pPr>
                    <w:spacing w:line="240" w:lineRule="auto"/>
                    <w:jc w:val="center"/>
                    <w:rPr>
                      <w:b/>
                      <w:bCs/>
                      <w:sz w:val="21"/>
                      <w:szCs w:val="21"/>
                    </w:rPr>
                  </w:pPr>
                </w:p>
              </w:tc>
              <w:tc>
                <w:tcPr>
                  <w:tcW w:w="641" w:type="pct"/>
                  <w:vMerge w:val="continue"/>
                  <w:vAlign w:val="center"/>
                </w:tcPr>
                <w:p w14:paraId="22BD8E29">
                  <w:pPr>
                    <w:spacing w:line="240" w:lineRule="auto"/>
                    <w:jc w:val="center"/>
                    <w:rPr>
                      <w:b/>
                      <w:bCs/>
                      <w:sz w:val="21"/>
                      <w:szCs w:val="21"/>
                    </w:rPr>
                  </w:pPr>
                </w:p>
              </w:tc>
              <w:tc>
                <w:tcPr>
                  <w:tcW w:w="267" w:type="pct"/>
                  <w:vMerge w:val="continue"/>
                  <w:vAlign w:val="center"/>
                </w:tcPr>
                <w:p w14:paraId="2482A9A6">
                  <w:pPr>
                    <w:spacing w:line="240" w:lineRule="auto"/>
                    <w:jc w:val="center"/>
                    <w:rPr>
                      <w:b/>
                      <w:bCs/>
                      <w:sz w:val="21"/>
                      <w:szCs w:val="21"/>
                    </w:rPr>
                  </w:pPr>
                </w:p>
              </w:tc>
              <w:tc>
                <w:tcPr>
                  <w:tcW w:w="497" w:type="pct"/>
                  <w:vMerge w:val="continue"/>
                  <w:vAlign w:val="center"/>
                </w:tcPr>
                <w:p w14:paraId="6D54B733">
                  <w:pPr>
                    <w:spacing w:line="240" w:lineRule="auto"/>
                    <w:jc w:val="center"/>
                    <w:rPr>
                      <w:b/>
                      <w:bCs/>
                      <w:sz w:val="21"/>
                      <w:szCs w:val="21"/>
                    </w:rPr>
                  </w:pPr>
                </w:p>
              </w:tc>
              <w:tc>
                <w:tcPr>
                  <w:tcW w:w="404" w:type="pct"/>
                  <w:vAlign w:val="center"/>
                </w:tcPr>
                <w:p w14:paraId="751F7C1B">
                  <w:pPr>
                    <w:spacing w:line="240" w:lineRule="auto"/>
                    <w:jc w:val="center"/>
                    <w:rPr>
                      <w:b/>
                      <w:bCs/>
                      <w:sz w:val="21"/>
                      <w:szCs w:val="21"/>
                    </w:rPr>
                  </w:pPr>
                  <w:r>
                    <w:rPr>
                      <w:b/>
                      <w:bCs/>
                      <w:sz w:val="21"/>
                      <w:szCs w:val="21"/>
                    </w:rPr>
                    <w:t>名称</w:t>
                  </w:r>
                </w:p>
              </w:tc>
              <w:tc>
                <w:tcPr>
                  <w:tcW w:w="423" w:type="pct"/>
                  <w:vAlign w:val="center"/>
                </w:tcPr>
                <w:p w14:paraId="49DEB7C9">
                  <w:pPr>
                    <w:spacing w:line="240" w:lineRule="auto"/>
                    <w:jc w:val="center"/>
                    <w:rPr>
                      <w:b/>
                      <w:bCs/>
                      <w:sz w:val="21"/>
                      <w:szCs w:val="21"/>
                    </w:rPr>
                  </w:pPr>
                  <w:r>
                    <w:rPr>
                      <w:b/>
                      <w:bCs/>
                      <w:sz w:val="21"/>
                      <w:szCs w:val="21"/>
                    </w:rPr>
                    <w:t>污染物种类</w:t>
                  </w:r>
                </w:p>
              </w:tc>
              <w:tc>
                <w:tcPr>
                  <w:tcW w:w="762" w:type="pct"/>
                  <w:vAlign w:val="center"/>
                </w:tcPr>
                <w:p w14:paraId="3B84A1A6">
                  <w:pPr>
                    <w:spacing w:line="240" w:lineRule="auto"/>
                    <w:jc w:val="center"/>
                    <w:rPr>
                      <w:b/>
                      <w:bCs/>
                      <w:sz w:val="21"/>
                      <w:szCs w:val="21"/>
                    </w:rPr>
                  </w:pPr>
                  <w:r>
                    <w:rPr>
                      <w:b/>
                      <w:bCs/>
                      <w:sz w:val="21"/>
                      <w:szCs w:val="21"/>
                    </w:rPr>
                    <w:t>国家或地方污染物排放标准浓度限值/（mg/L）</w:t>
                  </w:r>
                </w:p>
              </w:tc>
            </w:tr>
            <w:tr w14:paraId="36878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restart"/>
                  <w:vAlign w:val="center"/>
                </w:tcPr>
                <w:p w14:paraId="3354BA83">
                  <w:pPr>
                    <w:spacing w:line="240" w:lineRule="auto"/>
                    <w:jc w:val="center"/>
                    <w:rPr>
                      <w:sz w:val="21"/>
                      <w:szCs w:val="21"/>
                    </w:rPr>
                  </w:pPr>
                  <w:r>
                    <w:rPr>
                      <w:sz w:val="21"/>
                      <w:szCs w:val="21"/>
                    </w:rPr>
                    <w:t>1</w:t>
                  </w:r>
                </w:p>
              </w:tc>
              <w:tc>
                <w:tcPr>
                  <w:tcW w:w="392" w:type="pct"/>
                  <w:vMerge w:val="restart"/>
                  <w:vAlign w:val="center"/>
                </w:tcPr>
                <w:p w14:paraId="79645A4F">
                  <w:pPr>
                    <w:spacing w:line="240" w:lineRule="auto"/>
                    <w:jc w:val="center"/>
                    <w:rPr>
                      <w:sz w:val="21"/>
                      <w:szCs w:val="21"/>
                    </w:rPr>
                  </w:pPr>
                  <w:r>
                    <w:rPr>
                      <w:rFonts w:hint="eastAsia"/>
                      <w:sz w:val="21"/>
                      <w:szCs w:val="21"/>
                    </w:rPr>
                    <w:t>DW001</w:t>
                  </w:r>
                </w:p>
              </w:tc>
              <w:tc>
                <w:tcPr>
                  <w:tcW w:w="482" w:type="pct"/>
                  <w:vMerge w:val="restart"/>
                  <w:vAlign w:val="center"/>
                </w:tcPr>
                <w:p w14:paraId="06F97986">
                  <w:pPr>
                    <w:spacing w:line="240" w:lineRule="auto"/>
                    <w:jc w:val="center"/>
                    <w:rPr>
                      <w:rFonts w:hint="eastAsia"/>
                      <w:sz w:val="21"/>
                      <w:szCs w:val="21"/>
                    </w:rPr>
                  </w:pPr>
                  <w:r>
                    <w:rPr>
                      <w:rFonts w:hint="eastAsia"/>
                      <w:sz w:val="21"/>
                      <w:szCs w:val="21"/>
                    </w:rPr>
                    <w:t>120.106412</w:t>
                  </w:r>
                </w:p>
              </w:tc>
              <w:tc>
                <w:tcPr>
                  <w:tcW w:w="441" w:type="pct"/>
                  <w:vMerge w:val="restart"/>
                  <w:vAlign w:val="center"/>
                </w:tcPr>
                <w:p w14:paraId="554E4956">
                  <w:pPr>
                    <w:spacing w:line="240" w:lineRule="auto"/>
                    <w:jc w:val="center"/>
                    <w:rPr>
                      <w:rFonts w:hint="eastAsia"/>
                      <w:sz w:val="21"/>
                      <w:szCs w:val="21"/>
                    </w:rPr>
                  </w:pPr>
                  <w:r>
                    <w:rPr>
                      <w:rFonts w:hint="eastAsia"/>
                      <w:sz w:val="21"/>
                      <w:szCs w:val="21"/>
                    </w:rPr>
                    <w:t>31.787386</w:t>
                  </w:r>
                </w:p>
              </w:tc>
              <w:tc>
                <w:tcPr>
                  <w:tcW w:w="504" w:type="pct"/>
                  <w:vMerge w:val="restart"/>
                  <w:vAlign w:val="center"/>
                </w:tcPr>
                <w:p w14:paraId="0CCC3DBD">
                  <w:pPr>
                    <w:spacing w:line="240" w:lineRule="auto"/>
                    <w:jc w:val="center"/>
                    <w:rPr>
                      <w:rFonts w:hint="default" w:eastAsia="仿宋"/>
                      <w:sz w:val="21"/>
                      <w:szCs w:val="21"/>
                      <w:lang w:val="en-US" w:eastAsia="zh-CN"/>
                    </w:rPr>
                  </w:pPr>
                  <w:r>
                    <w:rPr>
                      <w:sz w:val="21"/>
                      <w:szCs w:val="21"/>
                    </w:rPr>
                    <w:t>0.</w:t>
                  </w:r>
                  <w:r>
                    <w:rPr>
                      <w:rFonts w:hint="eastAsia"/>
                      <w:sz w:val="21"/>
                      <w:szCs w:val="21"/>
                      <w:lang w:val="en-US" w:eastAsia="zh-CN"/>
                    </w:rPr>
                    <w:t>0672</w:t>
                  </w:r>
                </w:p>
              </w:tc>
              <w:tc>
                <w:tcPr>
                  <w:tcW w:w="641" w:type="pct"/>
                  <w:vMerge w:val="restart"/>
                  <w:vAlign w:val="center"/>
                </w:tcPr>
                <w:p w14:paraId="41A37F9A">
                  <w:pPr>
                    <w:spacing w:line="240" w:lineRule="auto"/>
                    <w:jc w:val="center"/>
                    <w:rPr>
                      <w:sz w:val="21"/>
                      <w:szCs w:val="21"/>
                    </w:rPr>
                  </w:pPr>
                  <w:r>
                    <w:rPr>
                      <w:sz w:val="21"/>
                      <w:szCs w:val="21"/>
                    </w:rPr>
                    <w:t>接入常州东方</w:t>
                  </w:r>
                  <w:r>
                    <w:rPr>
                      <w:rFonts w:hint="eastAsia"/>
                      <w:sz w:val="21"/>
                      <w:szCs w:val="21"/>
                    </w:rPr>
                    <w:t>横山水</w:t>
                  </w:r>
                  <w:r>
                    <w:rPr>
                      <w:sz w:val="21"/>
                      <w:szCs w:val="21"/>
                    </w:rPr>
                    <w:t>处理有限公司处理，尾水排入</w:t>
                  </w:r>
                  <w:r>
                    <w:rPr>
                      <w:rFonts w:hint="eastAsia"/>
                      <w:sz w:val="21"/>
                      <w:szCs w:val="21"/>
                    </w:rPr>
                    <w:t>三山港</w:t>
                  </w:r>
                </w:p>
              </w:tc>
              <w:tc>
                <w:tcPr>
                  <w:tcW w:w="267" w:type="pct"/>
                  <w:vMerge w:val="restart"/>
                  <w:vAlign w:val="center"/>
                </w:tcPr>
                <w:p w14:paraId="784B5E02">
                  <w:pPr>
                    <w:spacing w:line="240" w:lineRule="auto"/>
                    <w:jc w:val="center"/>
                    <w:rPr>
                      <w:sz w:val="21"/>
                      <w:szCs w:val="21"/>
                    </w:rPr>
                  </w:pPr>
                  <w:r>
                    <w:rPr>
                      <w:sz w:val="21"/>
                      <w:szCs w:val="21"/>
                    </w:rPr>
                    <w:t>间断</w:t>
                  </w:r>
                </w:p>
              </w:tc>
              <w:tc>
                <w:tcPr>
                  <w:tcW w:w="497" w:type="pct"/>
                  <w:vMerge w:val="restart"/>
                  <w:vAlign w:val="center"/>
                </w:tcPr>
                <w:p w14:paraId="155E999A">
                  <w:pPr>
                    <w:spacing w:line="240" w:lineRule="auto"/>
                    <w:jc w:val="center"/>
                    <w:rPr>
                      <w:sz w:val="21"/>
                      <w:szCs w:val="21"/>
                    </w:rPr>
                  </w:pPr>
                  <w:r>
                    <w:rPr>
                      <w:rFonts w:hint="eastAsia"/>
                      <w:sz w:val="21"/>
                      <w:szCs w:val="21"/>
                      <w:lang w:val="en-US" w:eastAsia="zh-CN"/>
                    </w:rPr>
                    <w:t>0</w:t>
                  </w:r>
                  <w:r>
                    <w:rPr>
                      <w:sz w:val="21"/>
                      <w:szCs w:val="21"/>
                    </w:rPr>
                    <w:t>：00~</w:t>
                  </w:r>
                  <w:r>
                    <w:rPr>
                      <w:rFonts w:hint="eastAsia"/>
                      <w:sz w:val="21"/>
                      <w:szCs w:val="21"/>
                      <w:lang w:val="en-US" w:eastAsia="zh-CN"/>
                    </w:rPr>
                    <w:t>24</w:t>
                  </w:r>
                  <w:r>
                    <w:rPr>
                      <w:sz w:val="21"/>
                      <w:szCs w:val="21"/>
                    </w:rPr>
                    <w:t>：00</w:t>
                  </w:r>
                </w:p>
              </w:tc>
              <w:tc>
                <w:tcPr>
                  <w:tcW w:w="404" w:type="pct"/>
                  <w:vMerge w:val="restart"/>
                  <w:vAlign w:val="center"/>
                </w:tcPr>
                <w:p w14:paraId="4A4DB7C6">
                  <w:pPr>
                    <w:spacing w:line="240" w:lineRule="auto"/>
                    <w:jc w:val="center"/>
                    <w:rPr>
                      <w:sz w:val="21"/>
                      <w:szCs w:val="21"/>
                    </w:rPr>
                  </w:pPr>
                  <w:r>
                    <w:rPr>
                      <w:sz w:val="21"/>
                      <w:szCs w:val="21"/>
                    </w:rPr>
                    <w:t>常州东方</w:t>
                  </w:r>
                  <w:r>
                    <w:rPr>
                      <w:rFonts w:hint="eastAsia"/>
                      <w:sz w:val="21"/>
                      <w:szCs w:val="21"/>
                    </w:rPr>
                    <w:t>横山水</w:t>
                  </w:r>
                  <w:r>
                    <w:rPr>
                      <w:sz w:val="21"/>
                      <w:szCs w:val="21"/>
                    </w:rPr>
                    <w:t>处理有限公司</w:t>
                  </w:r>
                </w:p>
              </w:tc>
              <w:tc>
                <w:tcPr>
                  <w:tcW w:w="423" w:type="pct"/>
                  <w:vAlign w:val="center"/>
                </w:tcPr>
                <w:p w14:paraId="62CE594D">
                  <w:pPr>
                    <w:spacing w:line="240" w:lineRule="auto"/>
                    <w:jc w:val="center"/>
                    <w:rPr>
                      <w:sz w:val="21"/>
                      <w:szCs w:val="21"/>
                    </w:rPr>
                  </w:pPr>
                  <w:r>
                    <w:rPr>
                      <w:sz w:val="21"/>
                      <w:szCs w:val="21"/>
                    </w:rPr>
                    <w:t>COD</w:t>
                  </w:r>
                </w:p>
              </w:tc>
              <w:tc>
                <w:tcPr>
                  <w:tcW w:w="762" w:type="pct"/>
                  <w:vAlign w:val="center"/>
                </w:tcPr>
                <w:p w14:paraId="7E36B51D">
                  <w:pPr>
                    <w:spacing w:line="280" w:lineRule="exact"/>
                    <w:jc w:val="center"/>
                    <w:rPr>
                      <w:sz w:val="21"/>
                      <w:szCs w:val="21"/>
                    </w:rPr>
                  </w:pPr>
                  <w:r>
                    <w:rPr>
                      <w:rFonts w:hint="default" w:ascii="Times New Roman" w:hAnsi="Times New Roman" w:eastAsia="仿宋" w:cs="Times New Roman"/>
                      <w:color w:val="auto"/>
                      <w:sz w:val="21"/>
                      <w:szCs w:val="21"/>
                    </w:rPr>
                    <w:t>40</w:t>
                  </w:r>
                </w:p>
              </w:tc>
            </w:tr>
            <w:tr w14:paraId="783FA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continue"/>
                  <w:vAlign w:val="center"/>
                </w:tcPr>
                <w:p w14:paraId="3E63D09F">
                  <w:pPr>
                    <w:spacing w:line="240" w:lineRule="auto"/>
                    <w:jc w:val="center"/>
                    <w:rPr>
                      <w:sz w:val="21"/>
                      <w:szCs w:val="21"/>
                    </w:rPr>
                  </w:pPr>
                </w:p>
              </w:tc>
              <w:tc>
                <w:tcPr>
                  <w:tcW w:w="392" w:type="pct"/>
                  <w:vMerge w:val="continue"/>
                  <w:vAlign w:val="center"/>
                </w:tcPr>
                <w:p w14:paraId="57DC155C">
                  <w:pPr>
                    <w:spacing w:line="240" w:lineRule="auto"/>
                    <w:jc w:val="center"/>
                    <w:rPr>
                      <w:sz w:val="21"/>
                      <w:szCs w:val="21"/>
                    </w:rPr>
                  </w:pPr>
                </w:p>
              </w:tc>
              <w:tc>
                <w:tcPr>
                  <w:tcW w:w="482" w:type="pct"/>
                  <w:vMerge w:val="continue"/>
                  <w:vAlign w:val="center"/>
                </w:tcPr>
                <w:p w14:paraId="34E9DF73">
                  <w:pPr>
                    <w:spacing w:line="240" w:lineRule="auto"/>
                    <w:jc w:val="center"/>
                    <w:rPr>
                      <w:sz w:val="21"/>
                      <w:szCs w:val="21"/>
                    </w:rPr>
                  </w:pPr>
                </w:p>
              </w:tc>
              <w:tc>
                <w:tcPr>
                  <w:tcW w:w="441" w:type="pct"/>
                  <w:vMerge w:val="continue"/>
                  <w:vAlign w:val="center"/>
                </w:tcPr>
                <w:p w14:paraId="0D1CDDF6">
                  <w:pPr>
                    <w:spacing w:line="240" w:lineRule="auto"/>
                    <w:jc w:val="center"/>
                    <w:rPr>
                      <w:sz w:val="21"/>
                      <w:szCs w:val="21"/>
                    </w:rPr>
                  </w:pPr>
                </w:p>
              </w:tc>
              <w:tc>
                <w:tcPr>
                  <w:tcW w:w="504" w:type="pct"/>
                  <w:vMerge w:val="continue"/>
                  <w:vAlign w:val="center"/>
                </w:tcPr>
                <w:p w14:paraId="6FFF920C">
                  <w:pPr>
                    <w:spacing w:line="240" w:lineRule="auto"/>
                    <w:jc w:val="center"/>
                    <w:rPr>
                      <w:sz w:val="21"/>
                      <w:szCs w:val="21"/>
                    </w:rPr>
                  </w:pPr>
                </w:p>
              </w:tc>
              <w:tc>
                <w:tcPr>
                  <w:tcW w:w="641" w:type="pct"/>
                  <w:vMerge w:val="continue"/>
                  <w:vAlign w:val="center"/>
                </w:tcPr>
                <w:p w14:paraId="312B948B">
                  <w:pPr>
                    <w:spacing w:line="240" w:lineRule="auto"/>
                    <w:jc w:val="center"/>
                    <w:rPr>
                      <w:sz w:val="21"/>
                      <w:szCs w:val="21"/>
                    </w:rPr>
                  </w:pPr>
                </w:p>
              </w:tc>
              <w:tc>
                <w:tcPr>
                  <w:tcW w:w="267" w:type="pct"/>
                  <w:vMerge w:val="continue"/>
                  <w:vAlign w:val="center"/>
                </w:tcPr>
                <w:p w14:paraId="7DDCDA42">
                  <w:pPr>
                    <w:spacing w:line="240" w:lineRule="auto"/>
                    <w:jc w:val="center"/>
                    <w:rPr>
                      <w:sz w:val="21"/>
                      <w:szCs w:val="21"/>
                    </w:rPr>
                  </w:pPr>
                </w:p>
              </w:tc>
              <w:tc>
                <w:tcPr>
                  <w:tcW w:w="497" w:type="pct"/>
                  <w:vMerge w:val="continue"/>
                  <w:vAlign w:val="center"/>
                </w:tcPr>
                <w:p w14:paraId="69B9E132">
                  <w:pPr>
                    <w:spacing w:line="240" w:lineRule="auto"/>
                    <w:jc w:val="center"/>
                    <w:rPr>
                      <w:sz w:val="21"/>
                      <w:szCs w:val="21"/>
                    </w:rPr>
                  </w:pPr>
                </w:p>
              </w:tc>
              <w:tc>
                <w:tcPr>
                  <w:tcW w:w="404" w:type="pct"/>
                  <w:vMerge w:val="continue"/>
                  <w:vAlign w:val="center"/>
                </w:tcPr>
                <w:p w14:paraId="5E694553">
                  <w:pPr>
                    <w:spacing w:line="240" w:lineRule="auto"/>
                    <w:jc w:val="center"/>
                    <w:rPr>
                      <w:sz w:val="21"/>
                      <w:szCs w:val="21"/>
                    </w:rPr>
                  </w:pPr>
                </w:p>
              </w:tc>
              <w:tc>
                <w:tcPr>
                  <w:tcW w:w="423" w:type="pct"/>
                  <w:vAlign w:val="center"/>
                </w:tcPr>
                <w:p w14:paraId="1E2CE928">
                  <w:pPr>
                    <w:spacing w:line="240" w:lineRule="auto"/>
                    <w:jc w:val="center"/>
                    <w:rPr>
                      <w:sz w:val="21"/>
                      <w:szCs w:val="21"/>
                    </w:rPr>
                  </w:pPr>
                  <w:r>
                    <w:rPr>
                      <w:sz w:val="21"/>
                      <w:szCs w:val="21"/>
                    </w:rPr>
                    <w:t>SS</w:t>
                  </w:r>
                </w:p>
              </w:tc>
              <w:tc>
                <w:tcPr>
                  <w:tcW w:w="762" w:type="pct"/>
                  <w:vAlign w:val="center"/>
                </w:tcPr>
                <w:p w14:paraId="68F9CC15">
                  <w:pPr>
                    <w:spacing w:line="280" w:lineRule="exact"/>
                    <w:jc w:val="center"/>
                    <w:rPr>
                      <w:sz w:val="21"/>
                      <w:szCs w:val="21"/>
                    </w:rPr>
                  </w:pPr>
                  <w:r>
                    <w:rPr>
                      <w:rFonts w:hint="default" w:ascii="Times New Roman" w:hAnsi="Times New Roman" w:eastAsia="仿宋" w:cs="Times New Roman"/>
                      <w:color w:val="auto"/>
                      <w:sz w:val="21"/>
                      <w:szCs w:val="21"/>
                    </w:rPr>
                    <w:t>10</w:t>
                  </w:r>
                </w:p>
              </w:tc>
            </w:tr>
            <w:tr w14:paraId="11D53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continue"/>
                  <w:vAlign w:val="center"/>
                </w:tcPr>
                <w:p w14:paraId="74B807F5">
                  <w:pPr>
                    <w:spacing w:line="240" w:lineRule="auto"/>
                    <w:jc w:val="center"/>
                    <w:rPr>
                      <w:sz w:val="21"/>
                      <w:szCs w:val="21"/>
                    </w:rPr>
                  </w:pPr>
                </w:p>
              </w:tc>
              <w:tc>
                <w:tcPr>
                  <w:tcW w:w="392" w:type="pct"/>
                  <w:vMerge w:val="continue"/>
                  <w:vAlign w:val="center"/>
                </w:tcPr>
                <w:p w14:paraId="3B1E4834">
                  <w:pPr>
                    <w:spacing w:line="240" w:lineRule="auto"/>
                    <w:jc w:val="center"/>
                    <w:rPr>
                      <w:sz w:val="21"/>
                      <w:szCs w:val="21"/>
                    </w:rPr>
                  </w:pPr>
                </w:p>
              </w:tc>
              <w:tc>
                <w:tcPr>
                  <w:tcW w:w="482" w:type="pct"/>
                  <w:vMerge w:val="continue"/>
                  <w:vAlign w:val="center"/>
                </w:tcPr>
                <w:p w14:paraId="4EC30500">
                  <w:pPr>
                    <w:spacing w:line="240" w:lineRule="auto"/>
                    <w:jc w:val="center"/>
                    <w:rPr>
                      <w:sz w:val="21"/>
                      <w:szCs w:val="21"/>
                    </w:rPr>
                  </w:pPr>
                </w:p>
              </w:tc>
              <w:tc>
                <w:tcPr>
                  <w:tcW w:w="441" w:type="pct"/>
                  <w:vMerge w:val="continue"/>
                  <w:vAlign w:val="center"/>
                </w:tcPr>
                <w:p w14:paraId="315CD1DC">
                  <w:pPr>
                    <w:spacing w:line="240" w:lineRule="auto"/>
                    <w:jc w:val="center"/>
                    <w:rPr>
                      <w:sz w:val="21"/>
                      <w:szCs w:val="21"/>
                    </w:rPr>
                  </w:pPr>
                </w:p>
              </w:tc>
              <w:tc>
                <w:tcPr>
                  <w:tcW w:w="504" w:type="pct"/>
                  <w:vMerge w:val="continue"/>
                  <w:vAlign w:val="center"/>
                </w:tcPr>
                <w:p w14:paraId="56D2D490">
                  <w:pPr>
                    <w:spacing w:line="240" w:lineRule="auto"/>
                    <w:jc w:val="center"/>
                    <w:rPr>
                      <w:sz w:val="21"/>
                      <w:szCs w:val="21"/>
                    </w:rPr>
                  </w:pPr>
                </w:p>
              </w:tc>
              <w:tc>
                <w:tcPr>
                  <w:tcW w:w="641" w:type="pct"/>
                  <w:vMerge w:val="continue"/>
                  <w:vAlign w:val="center"/>
                </w:tcPr>
                <w:p w14:paraId="254D3566">
                  <w:pPr>
                    <w:spacing w:line="240" w:lineRule="auto"/>
                    <w:jc w:val="center"/>
                    <w:rPr>
                      <w:sz w:val="21"/>
                      <w:szCs w:val="21"/>
                    </w:rPr>
                  </w:pPr>
                </w:p>
              </w:tc>
              <w:tc>
                <w:tcPr>
                  <w:tcW w:w="267" w:type="pct"/>
                  <w:vMerge w:val="continue"/>
                  <w:vAlign w:val="center"/>
                </w:tcPr>
                <w:p w14:paraId="19C5DABB">
                  <w:pPr>
                    <w:spacing w:line="240" w:lineRule="auto"/>
                    <w:jc w:val="center"/>
                    <w:rPr>
                      <w:sz w:val="21"/>
                      <w:szCs w:val="21"/>
                    </w:rPr>
                  </w:pPr>
                </w:p>
              </w:tc>
              <w:tc>
                <w:tcPr>
                  <w:tcW w:w="497" w:type="pct"/>
                  <w:vMerge w:val="continue"/>
                  <w:vAlign w:val="center"/>
                </w:tcPr>
                <w:p w14:paraId="4293C8A7">
                  <w:pPr>
                    <w:spacing w:line="240" w:lineRule="auto"/>
                    <w:jc w:val="center"/>
                    <w:rPr>
                      <w:sz w:val="21"/>
                      <w:szCs w:val="21"/>
                    </w:rPr>
                  </w:pPr>
                </w:p>
              </w:tc>
              <w:tc>
                <w:tcPr>
                  <w:tcW w:w="404" w:type="pct"/>
                  <w:vMerge w:val="continue"/>
                  <w:vAlign w:val="center"/>
                </w:tcPr>
                <w:p w14:paraId="0860A549">
                  <w:pPr>
                    <w:spacing w:line="240" w:lineRule="auto"/>
                    <w:jc w:val="center"/>
                    <w:rPr>
                      <w:sz w:val="21"/>
                      <w:szCs w:val="21"/>
                    </w:rPr>
                  </w:pPr>
                </w:p>
              </w:tc>
              <w:tc>
                <w:tcPr>
                  <w:tcW w:w="423" w:type="pct"/>
                  <w:vAlign w:val="center"/>
                </w:tcPr>
                <w:p w14:paraId="3ECB0C96">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762" w:type="pct"/>
                  <w:vAlign w:val="center"/>
                </w:tcPr>
                <w:p w14:paraId="6FD35A37">
                  <w:pPr>
                    <w:spacing w:line="280" w:lineRule="exact"/>
                    <w:jc w:val="center"/>
                    <w:rPr>
                      <w:rFonts w:hint="default" w:eastAsia="仿宋"/>
                      <w:sz w:val="21"/>
                      <w:szCs w:val="21"/>
                      <w:lang w:val="en-US" w:eastAsia="zh-CN"/>
                    </w:rPr>
                  </w:pPr>
                  <w:r>
                    <w:rPr>
                      <w:rFonts w:hint="default" w:ascii="Times New Roman" w:hAnsi="Times New Roman" w:eastAsia="仿宋" w:cs="Times New Roman"/>
                      <w:color w:val="auto"/>
                      <w:sz w:val="21"/>
                      <w:szCs w:val="21"/>
                    </w:rPr>
                    <w:t>3（5）</w:t>
                  </w:r>
                </w:p>
              </w:tc>
            </w:tr>
            <w:tr w14:paraId="1555C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continue"/>
                  <w:vAlign w:val="center"/>
                </w:tcPr>
                <w:p w14:paraId="0D1D678F">
                  <w:pPr>
                    <w:spacing w:line="240" w:lineRule="auto"/>
                    <w:jc w:val="center"/>
                    <w:rPr>
                      <w:sz w:val="21"/>
                      <w:szCs w:val="21"/>
                    </w:rPr>
                  </w:pPr>
                </w:p>
              </w:tc>
              <w:tc>
                <w:tcPr>
                  <w:tcW w:w="392" w:type="pct"/>
                  <w:vMerge w:val="continue"/>
                  <w:vAlign w:val="center"/>
                </w:tcPr>
                <w:p w14:paraId="00F613EE">
                  <w:pPr>
                    <w:spacing w:line="240" w:lineRule="auto"/>
                    <w:jc w:val="center"/>
                    <w:rPr>
                      <w:sz w:val="21"/>
                      <w:szCs w:val="21"/>
                    </w:rPr>
                  </w:pPr>
                </w:p>
              </w:tc>
              <w:tc>
                <w:tcPr>
                  <w:tcW w:w="482" w:type="pct"/>
                  <w:vMerge w:val="continue"/>
                  <w:vAlign w:val="center"/>
                </w:tcPr>
                <w:p w14:paraId="4F6D58B0">
                  <w:pPr>
                    <w:spacing w:line="240" w:lineRule="auto"/>
                    <w:jc w:val="center"/>
                    <w:rPr>
                      <w:sz w:val="21"/>
                      <w:szCs w:val="21"/>
                    </w:rPr>
                  </w:pPr>
                </w:p>
              </w:tc>
              <w:tc>
                <w:tcPr>
                  <w:tcW w:w="441" w:type="pct"/>
                  <w:vMerge w:val="continue"/>
                  <w:vAlign w:val="center"/>
                </w:tcPr>
                <w:p w14:paraId="510AC455">
                  <w:pPr>
                    <w:spacing w:line="240" w:lineRule="auto"/>
                    <w:jc w:val="center"/>
                    <w:rPr>
                      <w:sz w:val="21"/>
                      <w:szCs w:val="21"/>
                    </w:rPr>
                  </w:pPr>
                </w:p>
              </w:tc>
              <w:tc>
                <w:tcPr>
                  <w:tcW w:w="504" w:type="pct"/>
                  <w:vMerge w:val="continue"/>
                  <w:vAlign w:val="center"/>
                </w:tcPr>
                <w:p w14:paraId="5C69F32F">
                  <w:pPr>
                    <w:spacing w:line="240" w:lineRule="auto"/>
                    <w:jc w:val="center"/>
                    <w:rPr>
                      <w:sz w:val="21"/>
                      <w:szCs w:val="21"/>
                    </w:rPr>
                  </w:pPr>
                </w:p>
              </w:tc>
              <w:tc>
                <w:tcPr>
                  <w:tcW w:w="641" w:type="pct"/>
                  <w:vMerge w:val="continue"/>
                  <w:vAlign w:val="center"/>
                </w:tcPr>
                <w:p w14:paraId="49F7B888">
                  <w:pPr>
                    <w:spacing w:line="240" w:lineRule="auto"/>
                    <w:jc w:val="center"/>
                    <w:rPr>
                      <w:sz w:val="21"/>
                      <w:szCs w:val="21"/>
                    </w:rPr>
                  </w:pPr>
                </w:p>
              </w:tc>
              <w:tc>
                <w:tcPr>
                  <w:tcW w:w="267" w:type="pct"/>
                  <w:vMerge w:val="continue"/>
                  <w:vAlign w:val="center"/>
                </w:tcPr>
                <w:p w14:paraId="2362AD71">
                  <w:pPr>
                    <w:spacing w:line="240" w:lineRule="auto"/>
                    <w:jc w:val="center"/>
                    <w:rPr>
                      <w:sz w:val="21"/>
                      <w:szCs w:val="21"/>
                    </w:rPr>
                  </w:pPr>
                </w:p>
              </w:tc>
              <w:tc>
                <w:tcPr>
                  <w:tcW w:w="497" w:type="pct"/>
                  <w:vMerge w:val="continue"/>
                  <w:vAlign w:val="center"/>
                </w:tcPr>
                <w:p w14:paraId="446CB9EC">
                  <w:pPr>
                    <w:spacing w:line="240" w:lineRule="auto"/>
                    <w:jc w:val="center"/>
                    <w:rPr>
                      <w:sz w:val="21"/>
                      <w:szCs w:val="21"/>
                    </w:rPr>
                  </w:pPr>
                </w:p>
              </w:tc>
              <w:tc>
                <w:tcPr>
                  <w:tcW w:w="404" w:type="pct"/>
                  <w:vMerge w:val="continue"/>
                  <w:vAlign w:val="center"/>
                </w:tcPr>
                <w:p w14:paraId="08DA2646">
                  <w:pPr>
                    <w:spacing w:line="240" w:lineRule="auto"/>
                    <w:jc w:val="center"/>
                    <w:rPr>
                      <w:sz w:val="21"/>
                      <w:szCs w:val="21"/>
                    </w:rPr>
                  </w:pPr>
                </w:p>
              </w:tc>
              <w:tc>
                <w:tcPr>
                  <w:tcW w:w="423" w:type="pct"/>
                  <w:vAlign w:val="center"/>
                </w:tcPr>
                <w:p w14:paraId="6668E1C8">
                  <w:pPr>
                    <w:spacing w:line="240" w:lineRule="auto"/>
                    <w:jc w:val="center"/>
                    <w:rPr>
                      <w:sz w:val="21"/>
                      <w:szCs w:val="21"/>
                    </w:rPr>
                  </w:pPr>
                  <w:r>
                    <w:rPr>
                      <w:sz w:val="21"/>
                      <w:szCs w:val="21"/>
                    </w:rPr>
                    <w:t>TN</w:t>
                  </w:r>
                </w:p>
              </w:tc>
              <w:tc>
                <w:tcPr>
                  <w:tcW w:w="762" w:type="pct"/>
                  <w:vAlign w:val="center"/>
                </w:tcPr>
                <w:p w14:paraId="084A5B6B">
                  <w:pPr>
                    <w:spacing w:line="240" w:lineRule="auto"/>
                    <w:jc w:val="center"/>
                    <w:rPr>
                      <w:rFonts w:hint="eastAsia" w:eastAsia="仿宋"/>
                      <w:sz w:val="21"/>
                      <w:szCs w:val="21"/>
                      <w:lang w:eastAsia="zh-CN"/>
                    </w:rPr>
                  </w:pPr>
                  <w:r>
                    <w:rPr>
                      <w:rFonts w:hint="default" w:ascii="Times New Roman" w:hAnsi="Times New Roman" w:eastAsia="仿宋" w:cs="Times New Roman"/>
                      <w:color w:val="auto"/>
                      <w:sz w:val="21"/>
                      <w:szCs w:val="21"/>
                    </w:rPr>
                    <w:t>10（12）</w:t>
                  </w:r>
                </w:p>
              </w:tc>
            </w:tr>
            <w:tr w14:paraId="39C33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 w:type="pct"/>
                  <w:vMerge w:val="continue"/>
                  <w:vAlign w:val="center"/>
                </w:tcPr>
                <w:p w14:paraId="73E1BAB5">
                  <w:pPr>
                    <w:spacing w:line="240" w:lineRule="auto"/>
                    <w:jc w:val="center"/>
                    <w:rPr>
                      <w:sz w:val="21"/>
                      <w:szCs w:val="21"/>
                    </w:rPr>
                  </w:pPr>
                </w:p>
              </w:tc>
              <w:tc>
                <w:tcPr>
                  <w:tcW w:w="392" w:type="pct"/>
                  <w:vMerge w:val="continue"/>
                  <w:vAlign w:val="center"/>
                </w:tcPr>
                <w:p w14:paraId="031948DE">
                  <w:pPr>
                    <w:spacing w:line="240" w:lineRule="auto"/>
                    <w:jc w:val="center"/>
                    <w:rPr>
                      <w:sz w:val="21"/>
                      <w:szCs w:val="21"/>
                    </w:rPr>
                  </w:pPr>
                </w:p>
              </w:tc>
              <w:tc>
                <w:tcPr>
                  <w:tcW w:w="482" w:type="pct"/>
                  <w:vMerge w:val="continue"/>
                  <w:vAlign w:val="center"/>
                </w:tcPr>
                <w:p w14:paraId="4369578E">
                  <w:pPr>
                    <w:spacing w:line="240" w:lineRule="auto"/>
                    <w:jc w:val="center"/>
                    <w:rPr>
                      <w:sz w:val="21"/>
                      <w:szCs w:val="21"/>
                    </w:rPr>
                  </w:pPr>
                </w:p>
              </w:tc>
              <w:tc>
                <w:tcPr>
                  <w:tcW w:w="441" w:type="pct"/>
                  <w:vMerge w:val="continue"/>
                  <w:vAlign w:val="center"/>
                </w:tcPr>
                <w:p w14:paraId="43E913CC">
                  <w:pPr>
                    <w:spacing w:line="240" w:lineRule="auto"/>
                    <w:jc w:val="center"/>
                    <w:rPr>
                      <w:sz w:val="21"/>
                      <w:szCs w:val="21"/>
                    </w:rPr>
                  </w:pPr>
                </w:p>
              </w:tc>
              <w:tc>
                <w:tcPr>
                  <w:tcW w:w="504" w:type="pct"/>
                  <w:vMerge w:val="continue"/>
                  <w:vAlign w:val="center"/>
                </w:tcPr>
                <w:p w14:paraId="79B24912">
                  <w:pPr>
                    <w:spacing w:line="240" w:lineRule="auto"/>
                    <w:jc w:val="center"/>
                    <w:rPr>
                      <w:sz w:val="21"/>
                      <w:szCs w:val="21"/>
                    </w:rPr>
                  </w:pPr>
                </w:p>
              </w:tc>
              <w:tc>
                <w:tcPr>
                  <w:tcW w:w="641" w:type="pct"/>
                  <w:vMerge w:val="continue"/>
                  <w:vAlign w:val="center"/>
                </w:tcPr>
                <w:p w14:paraId="331E93FA">
                  <w:pPr>
                    <w:spacing w:line="240" w:lineRule="auto"/>
                    <w:jc w:val="center"/>
                    <w:rPr>
                      <w:sz w:val="21"/>
                      <w:szCs w:val="21"/>
                    </w:rPr>
                  </w:pPr>
                </w:p>
              </w:tc>
              <w:tc>
                <w:tcPr>
                  <w:tcW w:w="267" w:type="pct"/>
                  <w:vMerge w:val="continue"/>
                  <w:vAlign w:val="center"/>
                </w:tcPr>
                <w:p w14:paraId="1C09FFC2">
                  <w:pPr>
                    <w:spacing w:line="240" w:lineRule="auto"/>
                    <w:jc w:val="center"/>
                    <w:rPr>
                      <w:sz w:val="21"/>
                      <w:szCs w:val="21"/>
                    </w:rPr>
                  </w:pPr>
                </w:p>
              </w:tc>
              <w:tc>
                <w:tcPr>
                  <w:tcW w:w="497" w:type="pct"/>
                  <w:vMerge w:val="continue"/>
                  <w:vAlign w:val="center"/>
                </w:tcPr>
                <w:p w14:paraId="6118C17B">
                  <w:pPr>
                    <w:spacing w:line="240" w:lineRule="auto"/>
                    <w:jc w:val="center"/>
                    <w:rPr>
                      <w:sz w:val="21"/>
                      <w:szCs w:val="21"/>
                    </w:rPr>
                  </w:pPr>
                </w:p>
              </w:tc>
              <w:tc>
                <w:tcPr>
                  <w:tcW w:w="404" w:type="pct"/>
                  <w:vMerge w:val="continue"/>
                  <w:vAlign w:val="center"/>
                </w:tcPr>
                <w:p w14:paraId="1F107A26">
                  <w:pPr>
                    <w:spacing w:line="240" w:lineRule="auto"/>
                    <w:jc w:val="center"/>
                    <w:rPr>
                      <w:sz w:val="21"/>
                      <w:szCs w:val="21"/>
                    </w:rPr>
                  </w:pPr>
                </w:p>
              </w:tc>
              <w:tc>
                <w:tcPr>
                  <w:tcW w:w="423" w:type="pct"/>
                  <w:vAlign w:val="center"/>
                </w:tcPr>
                <w:p w14:paraId="59675388">
                  <w:pPr>
                    <w:spacing w:line="240" w:lineRule="auto"/>
                    <w:jc w:val="center"/>
                    <w:rPr>
                      <w:sz w:val="21"/>
                      <w:szCs w:val="21"/>
                    </w:rPr>
                  </w:pPr>
                  <w:r>
                    <w:rPr>
                      <w:sz w:val="21"/>
                      <w:szCs w:val="21"/>
                    </w:rPr>
                    <w:t>TP</w:t>
                  </w:r>
                </w:p>
              </w:tc>
              <w:tc>
                <w:tcPr>
                  <w:tcW w:w="762" w:type="pct"/>
                  <w:vAlign w:val="center"/>
                </w:tcPr>
                <w:p w14:paraId="708841CE">
                  <w:pPr>
                    <w:spacing w:line="240" w:lineRule="auto"/>
                    <w:jc w:val="center"/>
                    <w:rPr>
                      <w:rFonts w:hint="eastAsia" w:eastAsia="仿宋"/>
                      <w:sz w:val="21"/>
                      <w:szCs w:val="21"/>
                      <w:lang w:eastAsia="zh-CN"/>
                    </w:rPr>
                  </w:pPr>
                  <w:r>
                    <w:rPr>
                      <w:sz w:val="21"/>
                      <w:szCs w:val="21"/>
                    </w:rPr>
                    <w:t>0.</w:t>
                  </w:r>
                  <w:r>
                    <w:rPr>
                      <w:rFonts w:hint="eastAsia"/>
                      <w:sz w:val="21"/>
                      <w:szCs w:val="21"/>
                      <w:lang w:val="en-US" w:eastAsia="zh-CN"/>
                    </w:rPr>
                    <w:t>3</w:t>
                  </w:r>
                </w:p>
              </w:tc>
            </w:tr>
          </w:tbl>
          <w:p w14:paraId="4BC74C53">
            <w:pPr>
              <w:spacing w:line="240" w:lineRule="auto"/>
              <w:jc w:val="left"/>
              <w:rPr>
                <w:b/>
                <w:bCs/>
                <w:sz w:val="21"/>
                <w:szCs w:val="21"/>
              </w:rPr>
            </w:pPr>
            <w:r>
              <w:rPr>
                <w:rFonts w:hint="default" w:ascii="Times New Roman" w:hAnsi="Times New Roman" w:eastAsia="仿宋" w:cs="Times New Roman"/>
                <w:b/>
                <w:bCs/>
                <w:color w:val="auto"/>
                <w:sz w:val="21"/>
                <w:szCs w:val="21"/>
              </w:rPr>
              <w:t>注：每年11月1日至次年3月31日执行括号内排放限值。</w:t>
            </w:r>
          </w:p>
          <w:p w14:paraId="3CC5DCCD">
            <w:pPr>
              <w:spacing w:line="240" w:lineRule="auto"/>
              <w:jc w:val="center"/>
              <w:rPr>
                <w:b/>
                <w:bCs/>
                <w:sz w:val="21"/>
                <w:szCs w:val="21"/>
              </w:rPr>
            </w:pPr>
          </w:p>
          <w:p w14:paraId="1EF71C2C">
            <w:pPr>
              <w:spacing w:line="240" w:lineRule="auto"/>
              <w:jc w:val="center"/>
              <w:rPr>
                <w:b/>
                <w:bCs/>
                <w:sz w:val="21"/>
                <w:szCs w:val="21"/>
              </w:rPr>
            </w:pPr>
          </w:p>
          <w:p w14:paraId="181119B5">
            <w:pPr>
              <w:spacing w:line="240" w:lineRule="auto"/>
              <w:jc w:val="center"/>
              <w:rPr>
                <w:b/>
                <w:bCs/>
                <w:sz w:val="21"/>
                <w:szCs w:val="21"/>
              </w:rPr>
            </w:pPr>
          </w:p>
          <w:p w14:paraId="0F9120E0">
            <w:pPr>
              <w:spacing w:line="240" w:lineRule="auto"/>
              <w:jc w:val="center"/>
              <w:rPr>
                <w:b/>
                <w:bCs/>
                <w:sz w:val="21"/>
                <w:szCs w:val="21"/>
              </w:rPr>
            </w:pPr>
          </w:p>
          <w:p w14:paraId="536C8DA4">
            <w:pPr>
              <w:spacing w:line="240" w:lineRule="auto"/>
              <w:jc w:val="center"/>
              <w:rPr>
                <w:b/>
                <w:bCs/>
                <w:sz w:val="21"/>
                <w:szCs w:val="21"/>
              </w:rPr>
            </w:pPr>
          </w:p>
          <w:p w14:paraId="22A3A2BB">
            <w:pPr>
              <w:spacing w:line="240" w:lineRule="auto"/>
              <w:jc w:val="center"/>
              <w:rPr>
                <w:b/>
                <w:bCs/>
                <w:sz w:val="21"/>
                <w:szCs w:val="21"/>
              </w:rPr>
            </w:pPr>
          </w:p>
          <w:p w14:paraId="6C56FC26">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-17</w:t>
            </w:r>
            <w:r>
              <w:rPr>
                <w:rFonts w:hint="eastAsia"/>
                <w:b/>
                <w:bCs/>
                <w:sz w:val="21"/>
                <w:szCs w:val="21"/>
              </w:rPr>
              <w:t xml:space="preserve"> </w:t>
            </w:r>
            <w:r>
              <w:rPr>
                <w:b/>
                <w:bCs/>
                <w:sz w:val="21"/>
                <w:szCs w:val="21"/>
              </w:rPr>
              <w:t xml:space="preserve"> 废水污染物排放执行标准表</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2354"/>
              <w:gridCol w:w="2422"/>
              <w:gridCol w:w="3415"/>
              <w:gridCol w:w="2490"/>
            </w:tblGrid>
            <w:tr w14:paraId="6E05B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restart"/>
                  <w:vAlign w:val="center"/>
                </w:tcPr>
                <w:p w14:paraId="58E86C1C">
                  <w:pPr>
                    <w:spacing w:line="320" w:lineRule="exact"/>
                    <w:jc w:val="center"/>
                    <w:rPr>
                      <w:b/>
                      <w:bCs/>
                      <w:sz w:val="21"/>
                      <w:szCs w:val="21"/>
                    </w:rPr>
                  </w:pPr>
                  <w:r>
                    <w:rPr>
                      <w:b/>
                      <w:bCs/>
                      <w:sz w:val="21"/>
                      <w:szCs w:val="21"/>
                    </w:rPr>
                    <w:t>序号</w:t>
                  </w:r>
                </w:p>
              </w:tc>
              <w:tc>
                <w:tcPr>
                  <w:tcW w:w="936" w:type="pct"/>
                  <w:vMerge w:val="restart"/>
                  <w:vAlign w:val="center"/>
                </w:tcPr>
                <w:p w14:paraId="237BC3FF">
                  <w:pPr>
                    <w:spacing w:line="320" w:lineRule="exact"/>
                    <w:jc w:val="center"/>
                    <w:rPr>
                      <w:b/>
                      <w:bCs/>
                      <w:sz w:val="21"/>
                      <w:szCs w:val="21"/>
                    </w:rPr>
                  </w:pPr>
                  <w:r>
                    <w:rPr>
                      <w:b/>
                      <w:bCs/>
                      <w:sz w:val="21"/>
                      <w:szCs w:val="21"/>
                    </w:rPr>
                    <w:t>排放口编号</w:t>
                  </w:r>
                </w:p>
              </w:tc>
              <w:tc>
                <w:tcPr>
                  <w:tcW w:w="963" w:type="pct"/>
                  <w:vMerge w:val="restart"/>
                  <w:vAlign w:val="center"/>
                </w:tcPr>
                <w:p w14:paraId="0EECA80A">
                  <w:pPr>
                    <w:spacing w:line="320" w:lineRule="exact"/>
                    <w:jc w:val="center"/>
                    <w:rPr>
                      <w:b/>
                      <w:bCs/>
                      <w:sz w:val="21"/>
                      <w:szCs w:val="21"/>
                    </w:rPr>
                  </w:pPr>
                  <w:r>
                    <w:rPr>
                      <w:b/>
                      <w:bCs/>
                      <w:sz w:val="21"/>
                      <w:szCs w:val="21"/>
                    </w:rPr>
                    <w:t>污染物种类</w:t>
                  </w:r>
                </w:p>
              </w:tc>
              <w:tc>
                <w:tcPr>
                  <w:tcW w:w="2348" w:type="pct"/>
                  <w:gridSpan w:val="2"/>
                </w:tcPr>
                <w:p w14:paraId="02A540AA">
                  <w:pPr>
                    <w:spacing w:line="320" w:lineRule="exact"/>
                    <w:jc w:val="center"/>
                    <w:rPr>
                      <w:b/>
                      <w:bCs/>
                      <w:sz w:val="21"/>
                      <w:szCs w:val="21"/>
                    </w:rPr>
                  </w:pPr>
                  <w:r>
                    <w:rPr>
                      <w:b/>
                      <w:bCs/>
                      <w:sz w:val="21"/>
                      <w:szCs w:val="21"/>
                    </w:rPr>
                    <w:t>国家或地方污染物排放标准及其他按规定商定的排放协议</w:t>
                  </w:r>
                </w:p>
              </w:tc>
            </w:tr>
            <w:tr w14:paraId="2416D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continue"/>
                </w:tcPr>
                <w:p w14:paraId="66F7FE40">
                  <w:pPr>
                    <w:spacing w:line="320" w:lineRule="exact"/>
                    <w:jc w:val="center"/>
                    <w:rPr>
                      <w:b/>
                      <w:bCs/>
                      <w:sz w:val="21"/>
                      <w:szCs w:val="21"/>
                    </w:rPr>
                  </w:pPr>
                </w:p>
              </w:tc>
              <w:tc>
                <w:tcPr>
                  <w:tcW w:w="936" w:type="pct"/>
                  <w:vMerge w:val="continue"/>
                </w:tcPr>
                <w:p w14:paraId="10BA1330">
                  <w:pPr>
                    <w:spacing w:line="320" w:lineRule="exact"/>
                    <w:jc w:val="center"/>
                    <w:rPr>
                      <w:b/>
                      <w:bCs/>
                      <w:sz w:val="21"/>
                      <w:szCs w:val="21"/>
                    </w:rPr>
                  </w:pPr>
                </w:p>
              </w:tc>
              <w:tc>
                <w:tcPr>
                  <w:tcW w:w="963" w:type="pct"/>
                  <w:vMerge w:val="continue"/>
                </w:tcPr>
                <w:p w14:paraId="1592F005">
                  <w:pPr>
                    <w:spacing w:line="320" w:lineRule="exact"/>
                    <w:jc w:val="center"/>
                    <w:rPr>
                      <w:b/>
                      <w:bCs/>
                      <w:sz w:val="21"/>
                      <w:szCs w:val="21"/>
                    </w:rPr>
                  </w:pPr>
                </w:p>
              </w:tc>
              <w:tc>
                <w:tcPr>
                  <w:tcW w:w="1358" w:type="pct"/>
                </w:tcPr>
                <w:p w14:paraId="0084E2C5">
                  <w:pPr>
                    <w:spacing w:line="320" w:lineRule="exact"/>
                    <w:jc w:val="center"/>
                    <w:rPr>
                      <w:b/>
                      <w:bCs/>
                      <w:sz w:val="21"/>
                      <w:szCs w:val="21"/>
                    </w:rPr>
                  </w:pPr>
                  <w:r>
                    <w:rPr>
                      <w:b/>
                      <w:bCs/>
                      <w:sz w:val="21"/>
                      <w:szCs w:val="21"/>
                    </w:rPr>
                    <w:t>名称</w:t>
                  </w:r>
                </w:p>
              </w:tc>
              <w:tc>
                <w:tcPr>
                  <w:tcW w:w="990" w:type="pct"/>
                </w:tcPr>
                <w:p w14:paraId="4425512D">
                  <w:pPr>
                    <w:spacing w:line="320" w:lineRule="exact"/>
                    <w:jc w:val="center"/>
                    <w:rPr>
                      <w:b/>
                      <w:bCs/>
                      <w:sz w:val="21"/>
                      <w:szCs w:val="21"/>
                    </w:rPr>
                  </w:pPr>
                  <w:r>
                    <w:rPr>
                      <w:b/>
                      <w:bCs/>
                      <w:sz w:val="21"/>
                      <w:szCs w:val="21"/>
                    </w:rPr>
                    <w:t>浓度限值/（mg/L）</w:t>
                  </w:r>
                </w:p>
              </w:tc>
            </w:tr>
            <w:tr w14:paraId="23D9F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restart"/>
                  <w:vAlign w:val="center"/>
                </w:tcPr>
                <w:p w14:paraId="6667CA73">
                  <w:pPr>
                    <w:spacing w:line="320" w:lineRule="exact"/>
                    <w:jc w:val="center"/>
                    <w:rPr>
                      <w:sz w:val="21"/>
                      <w:szCs w:val="21"/>
                    </w:rPr>
                  </w:pPr>
                  <w:r>
                    <w:rPr>
                      <w:sz w:val="21"/>
                      <w:szCs w:val="21"/>
                    </w:rPr>
                    <w:t>1</w:t>
                  </w:r>
                </w:p>
              </w:tc>
              <w:tc>
                <w:tcPr>
                  <w:tcW w:w="2436" w:type="dxa"/>
                  <w:vMerge w:val="restart"/>
                  <w:vAlign w:val="center"/>
                </w:tcPr>
                <w:p w14:paraId="32E0BB30">
                  <w:pPr>
                    <w:spacing w:line="240" w:lineRule="auto"/>
                    <w:jc w:val="center"/>
                    <w:rPr>
                      <w:sz w:val="21"/>
                      <w:szCs w:val="21"/>
                    </w:rPr>
                  </w:pPr>
                  <w:r>
                    <w:rPr>
                      <w:sz w:val="21"/>
                      <w:szCs w:val="21"/>
                    </w:rPr>
                    <w:t>DW001</w:t>
                  </w:r>
                </w:p>
              </w:tc>
              <w:tc>
                <w:tcPr>
                  <w:tcW w:w="963" w:type="pct"/>
                  <w:vAlign w:val="center"/>
                </w:tcPr>
                <w:p w14:paraId="267DFF79">
                  <w:pPr>
                    <w:spacing w:line="320" w:lineRule="exact"/>
                    <w:jc w:val="center"/>
                    <w:rPr>
                      <w:sz w:val="21"/>
                      <w:szCs w:val="21"/>
                    </w:rPr>
                  </w:pPr>
                  <w:r>
                    <w:rPr>
                      <w:sz w:val="21"/>
                      <w:szCs w:val="21"/>
                    </w:rPr>
                    <w:t>COD</w:t>
                  </w:r>
                </w:p>
              </w:tc>
              <w:tc>
                <w:tcPr>
                  <w:tcW w:w="1358" w:type="pct"/>
                  <w:vMerge w:val="restart"/>
                  <w:vAlign w:val="center"/>
                </w:tcPr>
                <w:p w14:paraId="5B99F4AF">
                  <w:pPr>
                    <w:spacing w:line="320" w:lineRule="exact"/>
                    <w:jc w:val="center"/>
                    <w:rPr>
                      <w:sz w:val="21"/>
                      <w:szCs w:val="21"/>
                    </w:rPr>
                  </w:pPr>
                  <w:r>
                    <w:rPr>
                      <w:sz w:val="21"/>
                      <w:szCs w:val="21"/>
                    </w:rPr>
                    <w:t>《污水排入城镇下水道水质标准》（GB/T31962-2015）表1B等级</w:t>
                  </w:r>
                </w:p>
              </w:tc>
              <w:tc>
                <w:tcPr>
                  <w:tcW w:w="990" w:type="pct"/>
                  <w:vAlign w:val="center"/>
                </w:tcPr>
                <w:p w14:paraId="2149B9D9">
                  <w:pPr>
                    <w:pStyle w:val="53"/>
                    <w:spacing w:line="320" w:lineRule="exact"/>
                    <w:jc w:val="center"/>
                    <w:rPr>
                      <w:rFonts w:cs="Times New Roman"/>
                      <w:sz w:val="21"/>
                      <w:szCs w:val="21"/>
                    </w:rPr>
                  </w:pPr>
                  <w:r>
                    <w:rPr>
                      <w:rFonts w:cs="Times New Roman"/>
                      <w:sz w:val="21"/>
                      <w:szCs w:val="21"/>
                    </w:rPr>
                    <w:t>500</w:t>
                  </w:r>
                </w:p>
              </w:tc>
            </w:tr>
            <w:tr w14:paraId="6C331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continue"/>
                  <w:vAlign w:val="center"/>
                </w:tcPr>
                <w:p w14:paraId="6E233E09">
                  <w:pPr>
                    <w:spacing w:line="320" w:lineRule="exact"/>
                    <w:jc w:val="center"/>
                    <w:rPr>
                      <w:sz w:val="21"/>
                      <w:szCs w:val="21"/>
                    </w:rPr>
                  </w:pPr>
                </w:p>
              </w:tc>
              <w:tc>
                <w:tcPr>
                  <w:tcW w:w="936" w:type="pct"/>
                  <w:vMerge w:val="continue"/>
                  <w:vAlign w:val="center"/>
                </w:tcPr>
                <w:p w14:paraId="50FBE0DF">
                  <w:pPr>
                    <w:spacing w:line="320" w:lineRule="exact"/>
                    <w:jc w:val="center"/>
                    <w:rPr>
                      <w:sz w:val="21"/>
                      <w:szCs w:val="21"/>
                    </w:rPr>
                  </w:pPr>
                </w:p>
              </w:tc>
              <w:tc>
                <w:tcPr>
                  <w:tcW w:w="963" w:type="pct"/>
                  <w:vAlign w:val="center"/>
                </w:tcPr>
                <w:p w14:paraId="32C5AB0C">
                  <w:pPr>
                    <w:spacing w:line="320" w:lineRule="exact"/>
                    <w:jc w:val="center"/>
                    <w:rPr>
                      <w:sz w:val="21"/>
                      <w:szCs w:val="21"/>
                    </w:rPr>
                  </w:pPr>
                  <w:r>
                    <w:rPr>
                      <w:sz w:val="21"/>
                      <w:szCs w:val="21"/>
                    </w:rPr>
                    <w:t>SS</w:t>
                  </w:r>
                </w:p>
              </w:tc>
              <w:tc>
                <w:tcPr>
                  <w:tcW w:w="1358" w:type="pct"/>
                  <w:vMerge w:val="continue"/>
                  <w:vAlign w:val="center"/>
                </w:tcPr>
                <w:p w14:paraId="2DEF52ED">
                  <w:pPr>
                    <w:spacing w:line="320" w:lineRule="exact"/>
                    <w:jc w:val="center"/>
                    <w:rPr>
                      <w:sz w:val="21"/>
                      <w:szCs w:val="21"/>
                    </w:rPr>
                  </w:pPr>
                </w:p>
              </w:tc>
              <w:tc>
                <w:tcPr>
                  <w:tcW w:w="990" w:type="pct"/>
                  <w:vAlign w:val="center"/>
                </w:tcPr>
                <w:p w14:paraId="45DB0F3E">
                  <w:pPr>
                    <w:spacing w:line="320" w:lineRule="exact"/>
                    <w:jc w:val="center"/>
                    <w:rPr>
                      <w:sz w:val="21"/>
                      <w:szCs w:val="21"/>
                    </w:rPr>
                  </w:pPr>
                  <w:r>
                    <w:rPr>
                      <w:sz w:val="21"/>
                      <w:szCs w:val="21"/>
                    </w:rPr>
                    <w:t>400</w:t>
                  </w:r>
                </w:p>
              </w:tc>
            </w:tr>
            <w:tr w14:paraId="7BDBE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continue"/>
                  <w:vAlign w:val="center"/>
                </w:tcPr>
                <w:p w14:paraId="70F7E022">
                  <w:pPr>
                    <w:spacing w:line="320" w:lineRule="exact"/>
                    <w:jc w:val="center"/>
                    <w:rPr>
                      <w:sz w:val="21"/>
                      <w:szCs w:val="21"/>
                    </w:rPr>
                  </w:pPr>
                </w:p>
              </w:tc>
              <w:tc>
                <w:tcPr>
                  <w:tcW w:w="936" w:type="pct"/>
                  <w:vMerge w:val="continue"/>
                  <w:vAlign w:val="center"/>
                </w:tcPr>
                <w:p w14:paraId="3E4B1C16">
                  <w:pPr>
                    <w:spacing w:line="320" w:lineRule="exact"/>
                    <w:jc w:val="center"/>
                    <w:rPr>
                      <w:sz w:val="21"/>
                      <w:szCs w:val="21"/>
                    </w:rPr>
                  </w:pPr>
                </w:p>
              </w:tc>
              <w:tc>
                <w:tcPr>
                  <w:tcW w:w="963" w:type="pct"/>
                  <w:vAlign w:val="center"/>
                </w:tcPr>
                <w:p w14:paraId="0A5C6DEE">
                  <w:pPr>
                    <w:spacing w:line="320" w:lineRule="exact"/>
                    <w:jc w:val="center"/>
                    <w:rPr>
                      <w:sz w:val="21"/>
                      <w:szCs w:val="21"/>
                    </w:rPr>
                  </w:pPr>
                  <w:r>
                    <w:rPr>
                      <w:sz w:val="21"/>
                      <w:szCs w:val="21"/>
                    </w:rPr>
                    <w:t>NH</w:t>
                  </w:r>
                  <w:r>
                    <w:rPr>
                      <w:sz w:val="21"/>
                      <w:szCs w:val="21"/>
                      <w:vertAlign w:val="subscript"/>
                    </w:rPr>
                    <w:t>3</w:t>
                  </w:r>
                  <w:r>
                    <w:rPr>
                      <w:sz w:val="21"/>
                      <w:szCs w:val="21"/>
                    </w:rPr>
                    <w:t>-N</w:t>
                  </w:r>
                </w:p>
              </w:tc>
              <w:tc>
                <w:tcPr>
                  <w:tcW w:w="1358" w:type="pct"/>
                  <w:vMerge w:val="continue"/>
                  <w:vAlign w:val="center"/>
                </w:tcPr>
                <w:p w14:paraId="456F7C34">
                  <w:pPr>
                    <w:spacing w:line="320" w:lineRule="exact"/>
                    <w:jc w:val="center"/>
                    <w:rPr>
                      <w:sz w:val="21"/>
                      <w:szCs w:val="21"/>
                    </w:rPr>
                  </w:pPr>
                </w:p>
              </w:tc>
              <w:tc>
                <w:tcPr>
                  <w:tcW w:w="990" w:type="pct"/>
                  <w:vAlign w:val="center"/>
                </w:tcPr>
                <w:p w14:paraId="5E552271">
                  <w:pPr>
                    <w:spacing w:line="320" w:lineRule="exact"/>
                    <w:jc w:val="center"/>
                    <w:rPr>
                      <w:sz w:val="21"/>
                      <w:szCs w:val="21"/>
                    </w:rPr>
                  </w:pPr>
                  <w:r>
                    <w:rPr>
                      <w:sz w:val="21"/>
                      <w:szCs w:val="21"/>
                    </w:rPr>
                    <w:t>45</w:t>
                  </w:r>
                </w:p>
              </w:tc>
            </w:tr>
            <w:tr w14:paraId="27223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continue"/>
                  <w:vAlign w:val="center"/>
                </w:tcPr>
                <w:p w14:paraId="473B95DB">
                  <w:pPr>
                    <w:spacing w:line="320" w:lineRule="exact"/>
                    <w:jc w:val="center"/>
                    <w:rPr>
                      <w:sz w:val="21"/>
                      <w:szCs w:val="21"/>
                    </w:rPr>
                  </w:pPr>
                </w:p>
              </w:tc>
              <w:tc>
                <w:tcPr>
                  <w:tcW w:w="936" w:type="pct"/>
                  <w:vMerge w:val="continue"/>
                  <w:vAlign w:val="center"/>
                </w:tcPr>
                <w:p w14:paraId="3C405B71">
                  <w:pPr>
                    <w:spacing w:line="320" w:lineRule="exact"/>
                    <w:jc w:val="center"/>
                    <w:rPr>
                      <w:sz w:val="21"/>
                      <w:szCs w:val="21"/>
                    </w:rPr>
                  </w:pPr>
                </w:p>
              </w:tc>
              <w:tc>
                <w:tcPr>
                  <w:tcW w:w="963" w:type="pct"/>
                  <w:vAlign w:val="center"/>
                </w:tcPr>
                <w:p w14:paraId="0775C051">
                  <w:pPr>
                    <w:spacing w:line="320" w:lineRule="exact"/>
                    <w:jc w:val="center"/>
                    <w:rPr>
                      <w:sz w:val="21"/>
                      <w:szCs w:val="21"/>
                    </w:rPr>
                  </w:pPr>
                  <w:r>
                    <w:rPr>
                      <w:sz w:val="21"/>
                      <w:szCs w:val="21"/>
                    </w:rPr>
                    <w:t>TN</w:t>
                  </w:r>
                </w:p>
              </w:tc>
              <w:tc>
                <w:tcPr>
                  <w:tcW w:w="1358" w:type="pct"/>
                  <w:vMerge w:val="continue"/>
                  <w:vAlign w:val="center"/>
                </w:tcPr>
                <w:p w14:paraId="56FEF887">
                  <w:pPr>
                    <w:spacing w:line="320" w:lineRule="exact"/>
                    <w:jc w:val="center"/>
                    <w:rPr>
                      <w:sz w:val="21"/>
                      <w:szCs w:val="21"/>
                    </w:rPr>
                  </w:pPr>
                </w:p>
              </w:tc>
              <w:tc>
                <w:tcPr>
                  <w:tcW w:w="990" w:type="pct"/>
                  <w:vAlign w:val="center"/>
                </w:tcPr>
                <w:p w14:paraId="6A82F4A6">
                  <w:pPr>
                    <w:spacing w:line="320" w:lineRule="exact"/>
                    <w:jc w:val="center"/>
                    <w:rPr>
                      <w:sz w:val="21"/>
                      <w:szCs w:val="21"/>
                    </w:rPr>
                  </w:pPr>
                  <w:r>
                    <w:rPr>
                      <w:sz w:val="21"/>
                      <w:szCs w:val="21"/>
                    </w:rPr>
                    <w:t>70</w:t>
                  </w:r>
                </w:p>
              </w:tc>
            </w:tr>
            <w:tr w14:paraId="17B9C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1" w:type="pct"/>
                  <w:vMerge w:val="continue"/>
                  <w:vAlign w:val="center"/>
                </w:tcPr>
                <w:p w14:paraId="38EA4B7B">
                  <w:pPr>
                    <w:spacing w:line="320" w:lineRule="exact"/>
                    <w:jc w:val="center"/>
                    <w:rPr>
                      <w:sz w:val="21"/>
                      <w:szCs w:val="21"/>
                    </w:rPr>
                  </w:pPr>
                </w:p>
              </w:tc>
              <w:tc>
                <w:tcPr>
                  <w:tcW w:w="936" w:type="pct"/>
                  <w:vMerge w:val="continue"/>
                  <w:vAlign w:val="center"/>
                </w:tcPr>
                <w:p w14:paraId="5C5CAB07">
                  <w:pPr>
                    <w:spacing w:line="320" w:lineRule="exact"/>
                    <w:jc w:val="center"/>
                    <w:rPr>
                      <w:sz w:val="21"/>
                      <w:szCs w:val="21"/>
                    </w:rPr>
                  </w:pPr>
                </w:p>
              </w:tc>
              <w:tc>
                <w:tcPr>
                  <w:tcW w:w="963" w:type="pct"/>
                  <w:vAlign w:val="center"/>
                </w:tcPr>
                <w:p w14:paraId="10591CC2">
                  <w:pPr>
                    <w:spacing w:line="320" w:lineRule="exact"/>
                    <w:jc w:val="center"/>
                    <w:rPr>
                      <w:sz w:val="21"/>
                      <w:szCs w:val="21"/>
                    </w:rPr>
                  </w:pPr>
                  <w:r>
                    <w:rPr>
                      <w:sz w:val="21"/>
                      <w:szCs w:val="21"/>
                    </w:rPr>
                    <w:t>TP</w:t>
                  </w:r>
                </w:p>
              </w:tc>
              <w:tc>
                <w:tcPr>
                  <w:tcW w:w="1358" w:type="pct"/>
                  <w:vMerge w:val="continue"/>
                  <w:vAlign w:val="center"/>
                </w:tcPr>
                <w:p w14:paraId="3B370A8B">
                  <w:pPr>
                    <w:spacing w:line="320" w:lineRule="exact"/>
                    <w:jc w:val="center"/>
                    <w:rPr>
                      <w:sz w:val="21"/>
                      <w:szCs w:val="21"/>
                    </w:rPr>
                  </w:pPr>
                </w:p>
              </w:tc>
              <w:tc>
                <w:tcPr>
                  <w:tcW w:w="990" w:type="pct"/>
                  <w:vAlign w:val="center"/>
                </w:tcPr>
                <w:p w14:paraId="5741BFDD">
                  <w:pPr>
                    <w:spacing w:line="320" w:lineRule="exact"/>
                    <w:jc w:val="center"/>
                    <w:rPr>
                      <w:sz w:val="21"/>
                      <w:szCs w:val="21"/>
                    </w:rPr>
                  </w:pPr>
                  <w:r>
                    <w:rPr>
                      <w:sz w:val="21"/>
                      <w:szCs w:val="21"/>
                    </w:rPr>
                    <w:t>8</w:t>
                  </w:r>
                </w:p>
              </w:tc>
            </w:tr>
          </w:tbl>
          <w:p w14:paraId="31E3C28E">
            <w:pPr>
              <w:spacing w:line="480" w:lineRule="exact"/>
              <w:ind w:firstLine="482" w:firstLineChars="200"/>
              <w:rPr>
                <w:b/>
                <w:bCs/>
              </w:rPr>
            </w:pPr>
            <w:r>
              <w:rPr>
                <w:b/>
                <w:bCs/>
              </w:rPr>
              <w:t>达标情况分析</w:t>
            </w:r>
          </w:p>
          <w:p w14:paraId="4F343725">
            <w:pPr>
              <w:spacing w:line="480" w:lineRule="exact"/>
              <w:ind w:firstLine="480" w:firstLineChars="200"/>
            </w:pPr>
            <w:r>
              <w:t>本项目仅有生活污水排放，水质简单，污染物浓度低，能够稳定达到常州东方</w:t>
            </w:r>
            <w:r>
              <w:rPr>
                <w:rFonts w:hint="eastAsia"/>
              </w:rPr>
              <w:t>横山水</w:t>
            </w:r>
            <w:r>
              <w:t>处理有限公司的接管标准。</w:t>
            </w:r>
          </w:p>
          <w:p w14:paraId="5124FEDF">
            <w:pPr>
              <w:spacing w:line="480" w:lineRule="exact"/>
              <w:ind w:firstLine="480" w:firstLineChars="200"/>
            </w:pPr>
            <w:r>
              <w:rPr>
                <w:rFonts w:ascii="仿宋" w:hAnsi="仿宋" w:cs="仿宋"/>
              </w:rPr>
              <w:t>③</w:t>
            </w:r>
            <w:r>
              <w:t>污水处理厂概况</w:t>
            </w:r>
          </w:p>
          <w:p w14:paraId="1E4420BB">
            <w:pPr>
              <w:spacing w:line="480" w:lineRule="exact"/>
              <w:ind w:firstLine="480" w:firstLineChars="200"/>
            </w:pPr>
            <w:r>
              <w:t>常州东方横山水处理有限公司位于常州经济开发区横山桥镇，设计规模为2.5万m</w:t>
            </w:r>
            <w:r>
              <w:rPr>
                <w:vertAlign w:val="superscript"/>
              </w:rPr>
              <w:t>3</w:t>
            </w:r>
            <w:r>
              <w:t>/d，采用A</w:t>
            </w:r>
            <w:r>
              <w:rPr>
                <w:vertAlign w:val="superscript"/>
              </w:rPr>
              <w:t>2</w:t>
            </w:r>
            <w:r>
              <w:t>/O处理工艺，常州东方横山水处理有限公司于2007年5月正式投入运行，目前实际日处理规模已达到2.5万m</w:t>
            </w:r>
            <w:r>
              <w:rPr>
                <w:vertAlign w:val="superscript"/>
              </w:rPr>
              <w:t>3</w:t>
            </w:r>
            <w:r>
              <w:t>/d，处理设备运转良好。该污水处理</w:t>
            </w:r>
            <w:r>
              <w:rPr>
                <w:rFonts w:hint="eastAsia"/>
              </w:rPr>
              <w:t>厂</w:t>
            </w:r>
            <w:r>
              <w:t>尾水中各污染因子达到《太湖地区城镇污水处理厂及重点工业行业水污染物排放限值》</w:t>
            </w:r>
            <w:r>
              <w:rPr>
                <w:rFonts w:hint="eastAsia"/>
              </w:rPr>
              <w:t>（</w:t>
            </w:r>
            <w:r>
              <w:t>DB32/1072-2018）表2中标准和《城镇污水处理厂污染物排放标准》（GB18918-2002）中一级A标准后就近排入三山港。A</w:t>
            </w:r>
            <w:r>
              <w:rPr>
                <w:vertAlign w:val="superscript"/>
              </w:rPr>
              <w:t>2</w:t>
            </w:r>
            <w:r>
              <w:t>/O工艺作为A/O工艺的发展和补充，在技术上沿袭了A/O工艺的特点，具有卓越的除磷脱氮能力，A</w:t>
            </w:r>
            <w:r>
              <w:rPr>
                <w:vertAlign w:val="superscript"/>
              </w:rPr>
              <w:t>2</w:t>
            </w:r>
            <w:r>
              <w:t>/O法的同步除磷脱氮机制由两部分组成：一是除磷，污水中的磷在厌氧状态下（DO&lt;0.3mg/L），释放出聚磷菌，在好氧状况下又将其更多吸收，以剩余污泥的形式排出系统。二是脱氮，缺氧段要控制DO&lt;0.7mgL，由于兼氧脱氮菌的作用，利用水中BOD作为氢供给体（有机碳源），将来自好氧池混合液中的硝酸盐还原成氮气逸入大气，达到脱氮的目的。</w:t>
            </w:r>
          </w:p>
          <w:p w14:paraId="49507107">
            <w:pPr>
              <w:spacing w:line="460" w:lineRule="exact"/>
              <w:ind w:firstLine="482" w:firstLineChars="200"/>
              <w:rPr>
                <w:b/>
                <w:bCs/>
              </w:rPr>
            </w:pPr>
            <w:r>
              <w:rPr>
                <w:rFonts w:hint="eastAsia"/>
                <w:b/>
                <w:bCs/>
                <w:lang w:val="en-US" w:eastAsia="zh-CN"/>
              </w:rPr>
              <w:t>2.5</w:t>
            </w:r>
            <w:r>
              <w:rPr>
                <w:b/>
                <w:bCs/>
              </w:rPr>
              <w:t>接管可行性分析</w:t>
            </w:r>
          </w:p>
          <w:p w14:paraId="3EDA0CE8">
            <w:pPr>
              <w:spacing w:line="480" w:lineRule="exact"/>
              <w:ind w:firstLine="480" w:firstLineChars="200"/>
            </w:pPr>
            <w:r>
              <w:t>（1）污水接管空间可行性分析</w:t>
            </w:r>
          </w:p>
          <w:p w14:paraId="68255B27">
            <w:pPr>
              <w:spacing w:line="480" w:lineRule="exact"/>
              <w:ind w:firstLine="480" w:firstLineChars="200"/>
            </w:pPr>
            <w:r>
              <w:t>本项目所在地属于常州东方横山水处理有限公司的服务范围内。目前项目附近已铺设污水干管，能保证项目建成后污水接入常州东方横山水处理有限公司。因此，从接管空间上，项目生活污水接入常州东方横山水处理有限公司是可行的。</w:t>
            </w:r>
          </w:p>
          <w:p w14:paraId="1BE7C1A9">
            <w:pPr>
              <w:spacing w:line="480" w:lineRule="exact"/>
              <w:ind w:firstLine="480" w:firstLineChars="200"/>
            </w:pPr>
            <w:r>
              <w:t>（2）废水量可行性分析</w:t>
            </w:r>
          </w:p>
          <w:p w14:paraId="4B4EE633">
            <w:pPr>
              <w:spacing w:line="480" w:lineRule="exact"/>
              <w:ind w:firstLine="480" w:firstLineChars="200"/>
            </w:pPr>
            <w:r>
              <w:t>本项目废水主要为生活污水（</w:t>
            </w:r>
            <w:r>
              <w:rPr>
                <w:rFonts w:hint="eastAsia"/>
                <w:lang w:val="en-US" w:eastAsia="zh-CN"/>
              </w:rPr>
              <w:t>672</w:t>
            </w:r>
            <w:r>
              <w:t>m</w:t>
            </w:r>
            <w:r>
              <w:rPr>
                <w:vertAlign w:val="superscript"/>
              </w:rPr>
              <w:t>3</w:t>
            </w:r>
            <w:r>
              <w:t>/a即</w:t>
            </w:r>
            <w:r>
              <w:rPr>
                <w:rFonts w:hint="eastAsia"/>
                <w:lang w:val="en-US" w:eastAsia="zh-CN"/>
              </w:rPr>
              <w:t>2.24</w:t>
            </w:r>
            <w:r>
              <w:t>m</w:t>
            </w:r>
            <w:r>
              <w:rPr>
                <w:vertAlign w:val="superscript"/>
              </w:rPr>
              <w:t>3</w:t>
            </w:r>
            <w:r>
              <w:t>/d）接管至常州东方横山水处理有限公司集中处理，尾水排入三山港。</w:t>
            </w:r>
          </w:p>
          <w:p w14:paraId="0BD9405E">
            <w:pPr>
              <w:spacing w:line="480" w:lineRule="exact"/>
              <w:ind w:firstLine="480" w:firstLineChars="200"/>
            </w:pPr>
            <w:r>
              <w:t>常州东方横山水处理有限公司规划日处理能力为2.5万吨/天，目前该处理厂实际处理水量约2.4万m</w:t>
            </w:r>
            <w:r>
              <w:rPr>
                <w:vertAlign w:val="superscript"/>
              </w:rPr>
              <w:t>3</w:t>
            </w:r>
            <w:r>
              <w:t>/d，尚有0.1万m</w:t>
            </w:r>
            <w:r>
              <w:rPr>
                <w:vertAlign w:val="superscript"/>
              </w:rPr>
              <w:t>3</w:t>
            </w:r>
            <w:r>
              <w:t>/d的处理余量，而本项目污水接管量占剩余处理量</w:t>
            </w:r>
            <w:r>
              <w:rPr>
                <w:rFonts w:hint="eastAsia"/>
              </w:rPr>
              <w:t>较低</w:t>
            </w:r>
            <w:r>
              <w:t>，表明该污水处理厂有能力和余量接纳本项目污水。</w:t>
            </w:r>
          </w:p>
          <w:p w14:paraId="50071D3F">
            <w:pPr>
              <w:spacing w:line="480" w:lineRule="exact"/>
              <w:ind w:firstLine="480" w:firstLineChars="200"/>
            </w:pPr>
            <w:r>
              <w:t>（3）水质可行性分析</w:t>
            </w:r>
          </w:p>
          <w:p w14:paraId="1A944DD2">
            <w:pPr>
              <w:spacing w:line="480" w:lineRule="exact"/>
              <w:ind w:firstLine="480" w:firstLineChars="200"/>
            </w:pPr>
            <w:r>
              <w:t>本项目仅有生活污水排放，水质简单，污染物浓度均低于《污水排入城镇下水道水质标准》，表明该污水处理厂接纳本项目污水是可行的。</w:t>
            </w:r>
          </w:p>
          <w:p w14:paraId="52FF92EE">
            <w:pPr>
              <w:spacing w:line="480" w:lineRule="exact"/>
              <w:ind w:firstLine="480" w:firstLineChars="200"/>
            </w:pPr>
            <w:r>
              <w:t>排污口规范化设置要求：按《江苏省排污口设置及规范化整治管理办法》（</w:t>
            </w:r>
            <w:r>
              <w:fldChar w:fldCharType="begin"/>
            </w:r>
            <w:r>
              <w:instrText xml:space="preserve"> HYPERLINK "http://www.csrshe.com/info/2586-1.htm" \t "_blank" </w:instrText>
            </w:r>
            <w:r>
              <w:fldChar w:fldCharType="separate"/>
            </w:r>
            <w:r>
              <w:t>苏环控</w:t>
            </w:r>
            <w:r>
              <w:rPr>
                <w:rFonts w:hint="eastAsia"/>
                <w:lang w:eastAsia="zh-CN"/>
              </w:rPr>
              <w:t>〔1997〕122号</w:t>
            </w:r>
            <w:r>
              <w:fldChar w:fldCharType="end"/>
            </w:r>
            <w:r>
              <w:t>）规定，建设单位需如实向环境保护行政主管部门申报登记排污口数量、位置以及所排放的主要污染物或产生的公害的种类、数量、浓度、排放去向等情况。排污口应符合</w:t>
            </w:r>
            <w:r>
              <w:rPr>
                <w:rFonts w:hint="eastAsia"/>
                <w:lang w:eastAsia="zh-CN"/>
              </w:rPr>
              <w:t>“</w:t>
            </w:r>
            <w:r>
              <w:t>一明显，二合理，三便于</w:t>
            </w:r>
            <w:r>
              <w:rPr>
                <w:rFonts w:hint="eastAsia"/>
                <w:lang w:eastAsia="zh-CN"/>
              </w:rPr>
              <w:t>”</w:t>
            </w:r>
            <w:r>
              <w:t>的要求，即环保标志明显；排污口设置合理，排污去向合理；便于采集样品、便于监测计量、便于公众参与监督管理。按照原国家环保总局制定的《〈环境保护图形标志〉实施细则（试行）》（环监</w:t>
            </w:r>
            <w:r>
              <w:rPr>
                <w:rFonts w:hint="eastAsia"/>
                <w:lang w:eastAsia="zh-CN"/>
              </w:rPr>
              <w:t>〔1996〕463号</w:t>
            </w:r>
            <w:r>
              <w:t>）的规定，设置与排污口相应的环境保护图形标志牌。根据《江苏省排污口设置及规范化整治管理办法》第十二条规定，对排污口进行规范化整治，以满足江苏省和常州市的环保管理要求。</w:t>
            </w:r>
          </w:p>
          <w:p w14:paraId="06D18139">
            <w:pPr>
              <w:spacing w:line="480" w:lineRule="exact"/>
              <w:ind w:firstLine="480" w:firstLineChars="200"/>
            </w:pPr>
            <w:r>
              <w:t>本项目实行雨污分流，在接管/排放口（污水和雨水）设立环保图形标志牌，标明废水排放总量、主要污染物名称等；污水管网应标识污水来源，在排放口设置标志牌；雨、污水排水管网图分别在雨、污排放口附近予以上墙明示。</w:t>
            </w:r>
          </w:p>
          <w:p w14:paraId="112ABE86">
            <w:pPr>
              <w:spacing w:line="460" w:lineRule="exact"/>
              <w:ind w:firstLine="482" w:firstLineChars="200"/>
              <w:rPr>
                <w:b/>
                <w:bCs/>
              </w:rPr>
            </w:pPr>
            <w:r>
              <w:rPr>
                <w:rFonts w:hint="eastAsia"/>
                <w:b/>
                <w:bCs/>
              </w:rPr>
              <w:t>2.</w:t>
            </w:r>
            <w:r>
              <w:rPr>
                <w:rFonts w:hint="eastAsia"/>
                <w:b/>
                <w:bCs/>
                <w:lang w:val="en-US" w:eastAsia="zh-CN"/>
              </w:rPr>
              <w:t>6</w:t>
            </w:r>
            <w:r>
              <w:rPr>
                <w:b/>
                <w:bCs/>
              </w:rPr>
              <w:t>监测要求</w:t>
            </w:r>
          </w:p>
          <w:p w14:paraId="28308B6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监测点位：</w:t>
            </w:r>
            <w:r>
              <w:rPr>
                <w:rFonts w:hint="eastAsia" w:ascii="Times New Roman" w:hAnsi="Times New Roman" w:eastAsia="仿宋" w:cs="Times New Roman"/>
                <w:color w:val="auto"/>
                <w:sz w:val="24"/>
                <w:szCs w:val="24"/>
                <w:lang w:val="en-US" w:eastAsia="zh-CN"/>
              </w:rPr>
              <w:t>生活</w:t>
            </w:r>
            <w:r>
              <w:rPr>
                <w:rFonts w:hint="default" w:ascii="Times New Roman" w:hAnsi="Times New Roman" w:eastAsia="仿宋" w:cs="Times New Roman"/>
                <w:color w:val="auto"/>
                <w:sz w:val="24"/>
                <w:szCs w:val="24"/>
              </w:rPr>
              <w:t>污水接管口。</w:t>
            </w:r>
          </w:p>
          <w:p w14:paraId="2B94D0D3">
            <w:pPr>
              <w:spacing w:line="460" w:lineRule="exact"/>
              <w:ind w:firstLine="480" w:firstLineChars="200"/>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z w:val="24"/>
                <w:szCs w:val="24"/>
              </w:rPr>
              <w:t>监测频次：按《排污单位自行监测技术指南 金属铸造工业》（HJ1251-2022）</w:t>
            </w:r>
            <w:r>
              <w:rPr>
                <w:rFonts w:hint="default" w:ascii="Times New Roman" w:hAnsi="Times New Roman" w:eastAsia="仿宋" w:cs="Times New Roman"/>
                <w:color w:val="auto"/>
                <w:spacing w:val="-2"/>
                <w:sz w:val="24"/>
                <w:szCs w:val="24"/>
              </w:rPr>
              <w:t>要求每年监测一次</w:t>
            </w:r>
            <w:r>
              <w:rPr>
                <w:rFonts w:hint="default" w:ascii="Times New Roman" w:hAnsi="Times New Roman" w:eastAsia="仿宋" w:cs="Times New Roman"/>
                <w:color w:val="auto"/>
                <w:spacing w:val="-6"/>
                <w:sz w:val="24"/>
                <w:szCs w:val="24"/>
              </w:rPr>
              <w:t>。</w:t>
            </w:r>
          </w:p>
          <w:p w14:paraId="49534C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监测因子：</w:t>
            </w:r>
            <w:r>
              <w:rPr>
                <w:rFonts w:hint="eastAsia" w:ascii="Times New Roman" w:hAnsi="Times New Roman" w:eastAsia="仿宋" w:cs="Times New Roman"/>
                <w:color w:val="auto"/>
                <w:sz w:val="24"/>
                <w:szCs w:val="24"/>
                <w:lang w:val="en-US" w:eastAsia="zh-CN"/>
              </w:rPr>
              <w:t>生活污水：</w:t>
            </w:r>
            <w:r>
              <w:rPr>
                <w:rFonts w:hint="default" w:ascii="Times New Roman" w:hAnsi="Times New Roman" w:eastAsia="仿宋" w:cs="Times New Roman"/>
                <w:color w:val="auto"/>
                <w:sz w:val="24"/>
                <w:szCs w:val="24"/>
              </w:rPr>
              <w:t>pH、COD、SS、NH</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-N、TP、TN。</w:t>
            </w:r>
          </w:p>
          <w:p w14:paraId="718CBAFF">
            <w:pPr>
              <w:spacing w:line="460" w:lineRule="exact"/>
              <w:ind w:firstLine="480" w:firstLineChars="200"/>
              <w:rPr>
                <w:rFonts w:hint="default" w:eastAsia="仿宋"/>
                <w:b/>
                <w:bCs/>
                <w:lang w:val="en-US" w:eastAsia="zh-CN"/>
              </w:rPr>
            </w:pPr>
            <w:r>
              <w:rPr>
                <w:rFonts w:hint="default" w:ascii="Times New Roman" w:hAnsi="Times New Roman" w:eastAsia="仿宋" w:cs="Times New Roman"/>
                <w:color w:val="auto"/>
                <w:sz w:val="24"/>
                <w:szCs w:val="24"/>
              </w:rPr>
              <w:t>废水监测位置、监测因子、频率等详见表4-</w:t>
            </w:r>
            <w:r>
              <w:rPr>
                <w:rFonts w:hint="eastAsia" w:cs="Times New Roman"/>
                <w:color w:val="auto"/>
                <w:sz w:val="24"/>
                <w:szCs w:val="24"/>
                <w:lang w:val="en-US" w:eastAsia="zh-CN"/>
              </w:rPr>
              <w:t>18。</w:t>
            </w:r>
          </w:p>
          <w:p w14:paraId="03F90F14">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18</w:t>
            </w:r>
            <w:r>
              <w:rPr>
                <w:rFonts w:hint="eastAsia"/>
                <w:b/>
                <w:bCs/>
                <w:sz w:val="21"/>
                <w:szCs w:val="21"/>
              </w:rPr>
              <w:t xml:space="preserve">  废水监测计划</w:t>
            </w:r>
            <w:r>
              <w:rPr>
                <w:b/>
                <w:bCs/>
                <w:sz w:val="21"/>
                <w:szCs w:val="21"/>
              </w:rPr>
              <w:t>表</w:t>
            </w:r>
          </w:p>
          <w:tbl>
            <w:tblPr>
              <w:tblStyle w:val="20"/>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894"/>
              <w:gridCol w:w="849"/>
              <w:gridCol w:w="1025"/>
              <w:gridCol w:w="1066"/>
              <w:gridCol w:w="1815"/>
              <w:gridCol w:w="915"/>
              <w:gridCol w:w="809"/>
              <w:gridCol w:w="1081"/>
              <w:gridCol w:w="794"/>
              <w:gridCol w:w="2893"/>
            </w:tblGrid>
            <w:tr w14:paraId="4919B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6" w:type="pct"/>
                  <w:tcBorders>
                    <w:tl2br w:val="nil"/>
                    <w:tr2bl w:val="nil"/>
                  </w:tcBorders>
                  <w:vAlign w:val="center"/>
                </w:tcPr>
                <w:p w14:paraId="20CF09A0">
                  <w:pPr>
                    <w:spacing w:line="240" w:lineRule="auto"/>
                    <w:jc w:val="center"/>
                    <w:rPr>
                      <w:b/>
                      <w:bCs/>
                      <w:sz w:val="20"/>
                      <w:szCs w:val="20"/>
                    </w:rPr>
                  </w:pPr>
                  <w:r>
                    <w:rPr>
                      <w:b/>
                      <w:bCs/>
                      <w:sz w:val="20"/>
                      <w:szCs w:val="20"/>
                    </w:rPr>
                    <w:t>序号</w:t>
                  </w:r>
                </w:p>
              </w:tc>
              <w:tc>
                <w:tcPr>
                  <w:tcW w:w="356" w:type="pct"/>
                  <w:tcBorders>
                    <w:tl2br w:val="nil"/>
                    <w:tr2bl w:val="nil"/>
                  </w:tcBorders>
                  <w:vAlign w:val="center"/>
                </w:tcPr>
                <w:p w14:paraId="44CD7D85">
                  <w:pPr>
                    <w:spacing w:line="240" w:lineRule="auto"/>
                    <w:jc w:val="center"/>
                    <w:rPr>
                      <w:b/>
                      <w:bCs/>
                      <w:sz w:val="20"/>
                      <w:szCs w:val="20"/>
                    </w:rPr>
                  </w:pPr>
                  <w:r>
                    <w:rPr>
                      <w:b/>
                      <w:bCs/>
                      <w:sz w:val="20"/>
                      <w:szCs w:val="20"/>
                    </w:rPr>
                    <w:t>排放口编号</w:t>
                  </w:r>
                </w:p>
              </w:tc>
              <w:tc>
                <w:tcPr>
                  <w:tcW w:w="338" w:type="pct"/>
                  <w:tcBorders>
                    <w:tl2br w:val="nil"/>
                    <w:tr2bl w:val="nil"/>
                  </w:tcBorders>
                  <w:vAlign w:val="center"/>
                </w:tcPr>
                <w:p w14:paraId="1C6F305B">
                  <w:pPr>
                    <w:spacing w:line="240" w:lineRule="auto"/>
                    <w:jc w:val="center"/>
                    <w:rPr>
                      <w:b/>
                      <w:bCs/>
                      <w:sz w:val="20"/>
                      <w:szCs w:val="20"/>
                    </w:rPr>
                  </w:pPr>
                  <w:r>
                    <w:rPr>
                      <w:b/>
                      <w:bCs/>
                      <w:sz w:val="20"/>
                      <w:szCs w:val="20"/>
                    </w:rPr>
                    <w:t>污染物名称</w:t>
                  </w:r>
                </w:p>
              </w:tc>
              <w:tc>
                <w:tcPr>
                  <w:tcW w:w="408" w:type="pct"/>
                  <w:tcBorders>
                    <w:tl2br w:val="nil"/>
                    <w:tr2bl w:val="nil"/>
                  </w:tcBorders>
                  <w:vAlign w:val="center"/>
                </w:tcPr>
                <w:p w14:paraId="51719C5C">
                  <w:pPr>
                    <w:spacing w:line="240" w:lineRule="auto"/>
                    <w:jc w:val="center"/>
                    <w:rPr>
                      <w:b/>
                      <w:bCs/>
                      <w:sz w:val="20"/>
                      <w:szCs w:val="20"/>
                    </w:rPr>
                  </w:pPr>
                  <w:r>
                    <w:rPr>
                      <w:b/>
                      <w:bCs/>
                      <w:sz w:val="20"/>
                      <w:szCs w:val="20"/>
                    </w:rPr>
                    <w:t>监测</w:t>
                  </w:r>
                </w:p>
                <w:p w14:paraId="5E9BD60C">
                  <w:pPr>
                    <w:spacing w:line="240" w:lineRule="auto"/>
                    <w:jc w:val="center"/>
                    <w:rPr>
                      <w:b/>
                      <w:bCs/>
                      <w:sz w:val="20"/>
                      <w:szCs w:val="20"/>
                    </w:rPr>
                  </w:pPr>
                  <w:r>
                    <w:rPr>
                      <w:b/>
                      <w:bCs/>
                      <w:sz w:val="20"/>
                      <w:szCs w:val="20"/>
                    </w:rPr>
                    <w:t>设施</w:t>
                  </w:r>
                </w:p>
              </w:tc>
              <w:tc>
                <w:tcPr>
                  <w:tcW w:w="424" w:type="pct"/>
                  <w:tcBorders>
                    <w:tl2br w:val="nil"/>
                    <w:tr2bl w:val="nil"/>
                  </w:tcBorders>
                  <w:vAlign w:val="center"/>
                </w:tcPr>
                <w:p w14:paraId="5687EF43">
                  <w:pPr>
                    <w:spacing w:line="240" w:lineRule="auto"/>
                    <w:jc w:val="center"/>
                    <w:rPr>
                      <w:b/>
                      <w:bCs/>
                      <w:sz w:val="20"/>
                      <w:szCs w:val="20"/>
                    </w:rPr>
                  </w:pPr>
                  <w:r>
                    <w:rPr>
                      <w:b/>
                      <w:bCs/>
                      <w:sz w:val="20"/>
                      <w:szCs w:val="20"/>
                    </w:rPr>
                    <w:t>自动监测设施安装位置</w:t>
                  </w:r>
                </w:p>
              </w:tc>
              <w:tc>
                <w:tcPr>
                  <w:tcW w:w="722" w:type="pct"/>
                  <w:tcBorders>
                    <w:tl2br w:val="nil"/>
                    <w:tr2bl w:val="nil"/>
                  </w:tcBorders>
                  <w:vAlign w:val="center"/>
                </w:tcPr>
                <w:p w14:paraId="629BAE01">
                  <w:pPr>
                    <w:spacing w:line="240" w:lineRule="auto"/>
                    <w:jc w:val="center"/>
                    <w:rPr>
                      <w:b/>
                      <w:bCs/>
                      <w:sz w:val="20"/>
                      <w:szCs w:val="20"/>
                    </w:rPr>
                  </w:pPr>
                  <w:r>
                    <w:rPr>
                      <w:b/>
                      <w:bCs/>
                      <w:sz w:val="20"/>
                      <w:szCs w:val="20"/>
                    </w:rPr>
                    <w:t>自动监测设施的安装、运行、维护等相关管理要求</w:t>
                  </w:r>
                </w:p>
              </w:tc>
              <w:tc>
                <w:tcPr>
                  <w:tcW w:w="364" w:type="pct"/>
                  <w:tcBorders>
                    <w:tl2br w:val="nil"/>
                    <w:tr2bl w:val="nil"/>
                  </w:tcBorders>
                  <w:vAlign w:val="center"/>
                </w:tcPr>
                <w:p w14:paraId="06ED59EC">
                  <w:pPr>
                    <w:spacing w:line="240" w:lineRule="auto"/>
                    <w:jc w:val="center"/>
                    <w:rPr>
                      <w:b/>
                      <w:bCs/>
                      <w:sz w:val="20"/>
                      <w:szCs w:val="20"/>
                    </w:rPr>
                  </w:pPr>
                  <w:r>
                    <w:rPr>
                      <w:b/>
                      <w:bCs/>
                      <w:sz w:val="20"/>
                      <w:szCs w:val="20"/>
                    </w:rPr>
                    <w:t>自动监测是否联网</w:t>
                  </w:r>
                </w:p>
              </w:tc>
              <w:tc>
                <w:tcPr>
                  <w:tcW w:w="322" w:type="pct"/>
                  <w:tcBorders>
                    <w:tl2br w:val="nil"/>
                    <w:tr2bl w:val="nil"/>
                  </w:tcBorders>
                  <w:vAlign w:val="center"/>
                </w:tcPr>
                <w:p w14:paraId="1D23985C">
                  <w:pPr>
                    <w:spacing w:line="240" w:lineRule="auto"/>
                    <w:jc w:val="center"/>
                    <w:rPr>
                      <w:b/>
                      <w:bCs/>
                      <w:sz w:val="20"/>
                      <w:szCs w:val="20"/>
                    </w:rPr>
                  </w:pPr>
                  <w:r>
                    <w:rPr>
                      <w:b/>
                      <w:bCs/>
                      <w:sz w:val="20"/>
                      <w:szCs w:val="20"/>
                    </w:rPr>
                    <w:t>自动监测仪器名称</w:t>
                  </w:r>
                </w:p>
              </w:tc>
              <w:tc>
                <w:tcPr>
                  <w:tcW w:w="430" w:type="pct"/>
                  <w:tcBorders>
                    <w:tl2br w:val="nil"/>
                    <w:tr2bl w:val="nil"/>
                  </w:tcBorders>
                  <w:vAlign w:val="center"/>
                </w:tcPr>
                <w:p w14:paraId="23819A83">
                  <w:pPr>
                    <w:spacing w:line="240" w:lineRule="auto"/>
                    <w:jc w:val="center"/>
                    <w:rPr>
                      <w:b/>
                      <w:bCs/>
                      <w:sz w:val="20"/>
                      <w:szCs w:val="20"/>
                    </w:rPr>
                  </w:pPr>
                  <w:r>
                    <w:rPr>
                      <w:b/>
                      <w:bCs/>
                      <w:sz w:val="20"/>
                      <w:szCs w:val="20"/>
                    </w:rPr>
                    <w:t>手工监测采样方法及个数</w:t>
                  </w:r>
                </w:p>
              </w:tc>
              <w:tc>
                <w:tcPr>
                  <w:tcW w:w="316" w:type="pct"/>
                  <w:tcBorders>
                    <w:tl2br w:val="nil"/>
                    <w:tr2bl w:val="nil"/>
                  </w:tcBorders>
                  <w:vAlign w:val="center"/>
                </w:tcPr>
                <w:p w14:paraId="35614435">
                  <w:pPr>
                    <w:spacing w:line="240" w:lineRule="auto"/>
                    <w:jc w:val="center"/>
                    <w:rPr>
                      <w:b/>
                      <w:bCs/>
                      <w:sz w:val="20"/>
                      <w:szCs w:val="20"/>
                    </w:rPr>
                  </w:pPr>
                  <w:r>
                    <w:rPr>
                      <w:b/>
                      <w:bCs/>
                      <w:sz w:val="20"/>
                      <w:szCs w:val="20"/>
                    </w:rPr>
                    <w:t>手工监测频次</w:t>
                  </w:r>
                </w:p>
              </w:tc>
              <w:tc>
                <w:tcPr>
                  <w:tcW w:w="1151" w:type="pct"/>
                  <w:tcBorders>
                    <w:tl2br w:val="nil"/>
                    <w:tr2bl w:val="nil"/>
                  </w:tcBorders>
                  <w:vAlign w:val="center"/>
                </w:tcPr>
                <w:p w14:paraId="28B8ED45">
                  <w:pPr>
                    <w:spacing w:line="240" w:lineRule="auto"/>
                    <w:jc w:val="center"/>
                    <w:rPr>
                      <w:b/>
                      <w:bCs/>
                      <w:sz w:val="20"/>
                      <w:szCs w:val="20"/>
                    </w:rPr>
                  </w:pPr>
                  <w:r>
                    <w:rPr>
                      <w:b/>
                      <w:bCs/>
                      <w:sz w:val="20"/>
                      <w:szCs w:val="20"/>
                    </w:rPr>
                    <w:t>手工监测方法</w:t>
                  </w:r>
                </w:p>
              </w:tc>
            </w:tr>
            <w:tr w14:paraId="015D0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66" w:type="pct"/>
                  <w:vMerge w:val="restart"/>
                  <w:tcBorders>
                    <w:tl2br w:val="nil"/>
                    <w:tr2bl w:val="nil"/>
                  </w:tcBorders>
                  <w:vAlign w:val="center"/>
                </w:tcPr>
                <w:p w14:paraId="6D517B2B">
                  <w:pPr>
                    <w:spacing w:line="240" w:lineRule="auto"/>
                    <w:jc w:val="center"/>
                    <w:rPr>
                      <w:sz w:val="21"/>
                      <w:szCs w:val="21"/>
                    </w:rPr>
                  </w:pPr>
                  <w:r>
                    <w:rPr>
                      <w:sz w:val="21"/>
                      <w:szCs w:val="21"/>
                    </w:rPr>
                    <w:t>1</w:t>
                  </w:r>
                </w:p>
              </w:tc>
              <w:tc>
                <w:tcPr>
                  <w:tcW w:w="356" w:type="pct"/>
                  <w:vMerge w:val="restart"/>
                  <w:tcBorders>
                    <w:tl2br w:val="nil"/>
                    <w:tr2bl w:val="nil"/>
                  </w:tcBorders>
                  <w:vAlign w:val="center"/>
                </w:tcPr>
                <w:p w14:paraId="2A69706C">
                  <w:pPr>
                    <w:spacing w:line="240" w:lineRule="auto"/>
                    <w:jc w:val="center"/>
                    <w:rPr>
                      <w:sz w:val="21"/>
                      <w:szCs w:val="21"/>
                    </w:rPr>
                  </w:pPr>
                  <w:r>
                    <w:rPr>
                      <w:rFonts w:hint="eastAsia"/>
                      <w:sz w:val="21"/>
                      <w:szCs w:val="21"/>
                    </w:rPr>
                    <w:t>DW001</w:t>
                  </w:r>
                </w:p>
              </w:tc>
              <w:tc>
                <w:tcPr>
                  <w:tcW w:w="338" w:type="pct"/>
                  <w:tcBorders>
                    <w:tl2br w:val="nil"/>
                    <w:tr2bl w:val="nil"/>
                  </w:tcBorders>
                  <w:vAlign w:val="center"/>
                </w:tcPr>
                <w:p w14:paraId="169AAFA0">
                  <w:pPr>
                    <w:spacing w:line="240" w:lineRule="auto"/>
                    <w:jc w:val="center"/>
                    <w:rPr>
                      <w:sz w:val="21"/>
                      <w:szCs w:val="21"/>
                    </w:rPr>
                  </w:pPr>
                  <w:r>
                    <w:rPr>
                      <w:sz w:val="21"/>
                      <w:szCs w:val="21"/>
                    </w:rPr>
                    <w:t>COD</w:t>
                  </w:r>
                </w:p>
              </w:tc>
              <w:tc>
                <w:tcPr>
                  <w:tcW w:w="408" w:type="pct"/>
                  <w:tcBorders>
                    <w:tl2br w:val="nil"/>
                    <w:tr2bl w:val="nil"/>
                  </w:tcBorders>
                  <w:vAlign w:val="center"/>
                </w:tcPr>
                <w:p w14:paraId="012DA495">
                  <w:pPr>
                    <w:spacing w:line="240" w:lineRule="auto"/>
                    <w:rPr>
                      <w:sz w:val="21"/>
                      <w:szCs w:val="21"/>
                    </w:rPr>
                  </w:pPr>
                  <w:r>
                    <w:rPr>
                      <w:rFonts w:hint="eastAsia"/>
                      <w:sz w:val="21"/>
                      <w:szCs w:val="21"/>
                      <w:lang w:eastAsia="zh-CN"/>
                    </w:rPr>
                    <w:sym w:font="Wingdings 2" w:char="00A3"/>
                  </w:r>
                  <w:r>
                    <w:rPr>
                      <w:sz w:val="21"/>
                      <w:szCs w:val="21"/>
                    </w:rPr>
                    <w:t>自动</w:t>
                  </w:r>
                </w:p>
                <w:p w14:paraId="64D5425F">
                  <w:pPr>
                    <w:spacing w:line="240" w:lineRule="auto"/>
                    <w:rPr>
                      <w:sz w:val="21"/>
                      <w:szCs w:val="21"/>
                    </w:rPr>
                  </w:pPr>
                  <w:r>
                    <w:rPr>
                      <w:rFonts w:hint="eastAsia"/>
                      <w:sz w:val="21"/>
                      <w:szCs w:val="21"/>
                      <w:lang w:eastAsia="zh-CN"/>
                    </w:rPr>
                    <w:sym w:font="Wingdings 2" w:char="0052"/>
                  </w:r>
                  <w:r>
                    <w:rPr>
                      <w:sz w:val="21"/>
                      <w:szCs w:val="21"/>
                    </w:rPr>
                    <w:t>手工</w:t>
                  </w:r>
                </w:p>
              </w:tc>
              <w:tc>
                <w:tcPr>
                  <w:tcW w:w="424" w:type="pct"/>
                  <w:tcBorders>
                    <w:tl2br w:val="nil"/>
                    <w:tr2bl w:val="nil"/>
                  </w:tcBorders>
                  <w:vAlign w:val="center"/>
                </w:tcPr>
                <w:p w14:paraId="2787544E">
                  <w:pPr>
                    <w:spacing w:line="240" w:lineRule="auto"/>
                    <w:jc w:val="center"/>
                    <w:rPr>
                      <w:sz w:val="21"/>
                      <w:szCs w:val="21"/>
                    </w:rPr>
                  </w:pPr>
                  <w:r>
                    <w:rPr>
                      <w:sz w:val="21"/>
                      <w:szCs w:val="21"/>
                    </w:rPr>
                    <w:t>/</w:t>
                  </w:r>
                </w:p>
              </w:tc>
              <w:tc>
                <w:tcPr>
                  <w:tcW w:w="722" w:type="pct"/>
                  <w:tcBorders>
                    <w:tl2br w:val="nil"/>
                    <w:tr2bl w:val="nil"/>
                  </w:tcBorders>
                  <w:vAlign w:val="center"/>
                </w:tcPr>
                <w:p w14:paraId="04CED41D">
                  <w:pPr>
                    <w:spacing w:line="240" w:lineRule="auto"/>
                    <w:jc w:val="center"/>
                    <w:rPr>
                      <w:sz w:val="21"/>
                      <w:szCs w:val="21"/>
                    </w:rPr>
                  </w:pPr>
                  <w:r>
                    <w:rPr>
                      <w:sz w:val="21"/>
                      <w:szCs w:val="21"/>
                    </w:rPr>
                    <w:t>/</w:t>
                  </w:r>
                </w:p>
              </w:tc>
              <w:tc>
                <w:tcPr>
                  <w:tcW w:w="364" w:type="pct"/>
                  <w:tcBorders>
                    <w:tl2br w:val="nil"/>
                    <w:tr2bl w:val="nil"/>
                  </w:tcBorders>
                  <w:vAlign w:val="center"/>
                </w:tcPr>
                <w:p w14:paraId="7B07DF0A">
                  <w:pPr>
                    <w:spacing w:line="240" w:lineRule="auto"/>
                    <w:jc w:val="center"/>
                    <w:rPr>
                      <w:sz w:val="21"/>
                      <w:szCs w:val="21"/>
                    </w:rPr>
                  </w:pPr>
                  <w:r>
                    <w:rPr>
                      <w:sz w:val="21"/>
                      <w:szCs w:val="21"/>
                    </w:rPr>
                    <w:t>/</w:t>
                  </w:r>
                </w:p>
              </w:tc>
              <w:tc>
                <w:tcPr>
                  <w:tcW w:w="322" w:type="pct"/>
                  <w:tcBorders>
                    <w:tl2br w:val="nil"/>
                    <w:tr2bl w:val="nil"/>
                  </w:tcBorders>
                  <w:vAlign w:val="center"/>
                </w:tcPr>
                <w:p w14:paraId="77CCA0EB">
                  <w:pPr>
                    <w:spacing w:line="240" w:lineRule="auto"/>
                    <w:jc w:val="center"/>
                    <w:rPr>
                      <w:sz w:val="21"/>
                      <w:szCs w:val="21"/>
                    </w:rPr>
                  </w:pPr>
                  <w:r>
                    <w:rPr>
                      <w:sz w:val="21"/>
                      <w:szCs w:val="21"/>
                    </w:rPr>
                    <w:t>/</w:t>
                  </w:r>
                </w:p>
              </w:tc>
              <w:tc>
                <w:tcPr>
                  <w:tcW w:w="430" w:type="pct"/>
                  <w:tcBorders>
                    <w:tl2br w:val="nil"/>
                    <w:tr2bl w:val="nil"/>
                  </w:tcBorders>
                  <w:vAlign w:val="center"/>
                </w:tcPr>
                <w:p w14:paraId="01C60FDD">
                  <w:pPr>
                    <w:spacing w:line="240" w:lineRule="auto"/>
                    <w:jc w:val="center"/>
                    <w:rPr>
                      <w:sz w:val="21"/>
                      <w:szCs w:val="21"/>
                    </w:rPr>
                  </w:pPr>
                  <w:r>
                    <w:rPr>
                      <w:sz w:val="21"/>
                      <w:szCs w:val="21"/>
                    </w:rPr>
                    <w:t>混合采样</w:t>
                  </w:r>
                </w:p>
                <w:p w14:paraId="551D6BA5">
                  <w:pPr>
                    <w:spacing w:line="240" w:lineRule="auto"/>
                    <w:jc w:val="center"/>
                    <w:rPr>
                      <w:sz w:val="21"/>
                      <w:szCs w:val="21"/>
                    </w:rPr>
                  </w:pPr>
                  <w:r>
                    <w:rPr>
                      <w:sz w:val="21"/>
                      <w:szCs w:val="21"/>
                    </w:rPr>
                    <w:t>（3个）</w:t>
                  </w:r>
                </w:p>
              </w:tc>
              <w:tc>
                <w:tcPr>
                  <w:tcW w:w="316" w:type="pct"/>
                  <w:vMerge w:val="restart"/>
                  <w:tcBorders>
                    <w:tl2br w:val="nil"/>
                    <w:tr2bl w:val="nil"/>
                  </w:tcBorders>
                  <w:vAlign w:val="center"/>
                </w:tcPr>
                <w:p w14:paraId="4703637A">
                  <w:pPr>
                    <w:spacing w:line="240" w:lineRule="auto"/>
                    <w:jc w:val="center"/>
                    <w:rPr>
                      <w:sz w:val="21"/>
                      <w:szCs w:val="21"/>
                    </w:rPr>
                  </w:pPr>
                  <w:r>
                    <w:rPr>
                      <w:sz w:val="21"/>
                      <w:szCs w:val="21"/>
                    </w:rPr>
                    <w:t>一年/次</w:t>
                  </w:r>
                </w:p>
              </w:tc>
              <w:tc>
                <w:tcPr>
                  <w:tcW w:w="1151" w:type="pct"/>
                  <w:tcBorders>
                    <w:tl2br w:val="nil"/>
                    <w:tr2bl w:val="nil"/>
                  </w:tcBorders>
                  <w:vAlign w:val="center"/>
                </w:tcPr>
                <w:p w14:paraId="436857D4">
                  <w:pPr>
                    <w:spacing w:line="240" w:lineRule="auto"/>
                    <w:jc w:val="center"/>
                    <w:rPr>
                      <w:sz w:val="21"/>
                      <w:szCs w:val="21"/>
                    </w:rPr>
                  </w:pPr>
                  <w:r>
                    <w:rPr>
                      <w:sz w:val="21"/>
                      <w:szCs w:val="21"/>
                    </w:rPr>
                    <w:t>《水质 化学需氧量的测定 重铬酸盐法》HJ828-2017</w:t>
                  </w:r>
                </w:p>
              </w:tc>
            </w:tr>
            <w:tr w14:paraId="6B88B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tcBorders>
                    <w:tl2br w:val="nil"/>
                    <w:tr2bl w:val="nil"/>
                  </w:tcBorders>
                  <w:vAlign w:val="center"/>
                </w:tcPr>
                <w:p w14:paraId="18205B0B">
                  <w:pPr>
                    <w:spacing w:line="240" w:lineRule="auto"/>
                    <w:jc w:val="center"/>
                    <w:rPr>
                      <w:sz w:val="21"/>
                      <w:szCs w:val="21"/>
                    </w:rPr>
                  </w:pPr>
                </w:p>
              </w:tc>
              <w:tc>
                <w:tcPr>
                  <w:tcW w:w="356" w:type="pct"/>
                  <w:vMerge w:val="continue"/>
                  <w:tcBorders>
                    <w:tl2br w:val="nil"/>
                    <w:tr2bl w:val="nil"/>
                  </w:tcBorders>
                  <w:vAlign w:val="center"/>
                </w:tcPr>
                <w:p w14:paraId="1D8F349D">
                  <w:pPr>
                    <w:spacing w:line="240" w:lineRule="auto"/>
                    <w:jc w:val="center"/>
                    <w:rPr>
                      <w:sz w:val="21"/>
                      <w:szCs w:val="21"/>
                    </w:rPr>
                  </w:pPr>
                </w:p>
              </w:tc>
              <w:tc>
                <w:tcPr>
                  <w:tcW w:w="338" w:type="pct"/>
                  <w:tcBorders>
                    <w:tl2br w:val="nil"/>
                    <w:tr2bl w:val="nil"/>
                  </w:tcBorders>
                  <w:vAlign w:val="center"/>
                </w:tcPr>
                <w:p w14:paraId="6859EAE6">
                  <w:pPr>
                    <w:spacing w:line="240" w:lineRule="auto"/>
                    <w:jc w:val="center"/>
                    <w:rPr>
                      <w:sz w:val="21"/>
                      <w:szCs w:val="21"/>
                    </w:rPr>
                  </w:pPr>
                  <w:r>
                    <w:rPr>
                      <w:sz w:val="21"/>
                      <w:szCs w:val="21"/>
                    </w:rPr>
                    <w:t>SS</w:t>
                  </w:r>
                </w:p>
              </w:tc>
              <w:tc>
                <w:tcPr>
                  <w:tcW w:w="408" w:type="pct"/>
                  <w:tcBorders>
                    <w:tl2br w:val="nil"/>
                    <w:tr2bl w:val="nil"/>
                  </w:tcBorders>
                  <w:vAlign w:val="center"/>
                </w:tcPr>
                <w:p w14:paraId="4BD3FE40">
                  <w:pPr>
                    <w:spacing w:line="240" w:lineRule="auto"/>
                    <w:rPr>
                      <w:sz w:val="21"/>
                      <w:szCs w:val="21"/>
                    </w:rPr>
                  </w:pPr>
                  <w:r>
                    <w:rPr>
                      <w:rFonts w:hint="eastAsia"/>
                      <w:sz w:val="21"/>
                      <w:szCs w:val="21"/>
                      <w:lang w:eastAsia="zh-CN"/>
                    </w:rPr>
                    <w:sym w:font="Wingdings 2" w:char="00A3"/>
                  </w:r>
                  <w:r>
                    <w:rPr>
                      <w:sz w:val="21"/>
                      <w:szCs w:val="21"/>
                    </w:rPr>
                    <w:t>自动</w:t>
                  </w:r>
                </w:p>
                <w:p w14:paraId="3A048EEC">
                  <w:pPr>
                    <w:spacing w:line="240" w:lineRule="auto"/>
                    <w:rPr>
                      <w:sz w:val="21"/>
                      <w:szCs w:val="21"/>
                    </w:rPr>
                  </w:pPr>
                  <w:r>
                    <w:rPr>
                      <w:rFonts w:hint="eastAsia"/>
                      <w:sz w:val="21"/>
                      <w:szCs w:val="21"/>
                      <w:lang w:eastAsia="zh-CN"/>
                    </w:rPr>
                    <w:sym w:font="Wingdings 2" w:char="0052"/>
                  </w:r>
                  <w:r>
                    <w:rPr>
                      <w:sz w:val="21"/>
                      <w:szCs w:val="21"/>
                    </w:rPr>
                    <w:t>手工</w:t>
                  </w:r>
                </w:p>
              </w:tc>
              <w:tc>
                <w:tcPr>
                  <w:tcW w:w="424" w:type="pct"/>
                  <w:tcBorders>
                    <w:tl2br w:val="nil"/>
                    <w:tr2bl w:val="nil"/>
                  </w:tcBorders>
                  <w:vAlign w:val="center"/>
                </w:tcPr>
                <w:p w14:paraId="16F6ABB8">
                  <w:pPr>
                    <w:spacing w:line="240" w:lineRule="auto"/>
                    <w:jc w:val="center"/>
                    <w:rPr>
                      <w:sz w:val="21"/>
                      <w:szCs w:val="21"/>
                    </w:rPr>
                  </w:pPr>
                  <w:r>
                    <w:rPr>
                      <w:sz w:val="21"/>
                      <w:szCs w:val="21"/>
                    </w:rPr>
                    <w:t>/</w:t>
                  </w:r>
                </w:p>
              </w:tc>
              <w:tc>
                <w:tcPr>
                  <w:tcW w:w="722" w:type="pct"/>
                  <w:tcBorders>
                    <w:tl2br w:val="nil"/>
                    <w:tr2bl w:val="nil"/>
                  </w:tcBorders>
                  <w:vAlign w:val="center"/>
                </w:tcPr>
                <w:p w14:paraId="4AAE5A69">
                  <w:pPr>
                    <w:spacing w:line="240" w:lineRule="auto"/>
                    <w:jc w:val="center"/>
                    <w:rPr>
                      <w:sz w:val="21"/>
                      <w:szCs w:val="21"/>
                    </w:rPr>
                  </w:pPr>
                  <w:r>
                    <w:rPr>
                      <w:sz w:val="21"/>
                      <w:szCs w:val="21"/>
                    </w:rPr>
                    <w:t>/</w:t>
                  </w:r>
                </w:p>
              </w:tc>
              <w:tc>
                <w:tcPr>
                  <w:tcW w:w="364" w:type="pct"/>
                  <w:tcBorders>
                    <w:tl2br w:val="nil"/>
                    <w:tr2bl w:val="nil"/>
                  </w:tcBorders>
                  <w:vAlign w:val="center"/>
                </w:tcPr>
                <w:p w14:paraId="7CDD7200">
                  <w:pPr>
                    <w:spacing w:line="240" w:lineRule="auto"/>
                    <w:jc w:val="center"/>
                    <w:rPr>
                      <w:sz w:val="21"/>
                      <w:szCs w:val="21"/>
                    </w:rPr>
                  </w:pPr>
                  <w:r>
                    <w:rPr>
                      <w:sz w:val="21"/>
                      <w:szCs w:val="21"/>
                    </w:rPr>
                    <w:t>/</w:t>
                  </w:r>
                </w:p>
              </w:tc>
              <w:tc>
                <w:tcPr>
                  <w:tcW w:w="322" w:type="pct"/>
                  <w:tcBorders>
                    <w:tl2br w:val="nil"/>
                    <w:tr2bl w:val="nil"/>
                  </w:tcBorders>
                  <w:vAlign w:val="center"/>
                </w:tcPr>
                <w:p w14:paraId="4BEC7F29">
                  <w:pPr>
                    <w:spacing w:line="240" w:lineRule="auto"/>
                    <w:jc w:val="center"/>
                    <w:rPr>
                      <w:sz w:val="21"/>
                      <w:szCs w:val="21"/>
                    </w:rPr>
                  </w:pPr>
                  <w:r>
                    <w:rPr>
                      <w:sz w:val="21"/>
                      <w:szCs w:val="21"/>
                    </w:rPr>
                    <w:t>/</w:t>
                  </w:r>
                </w:p>
              </w:tc>
              <w:tc>
                <w:tcPr>
                  <w:tcW w:w="430" w:type="pct"/>
                  <w:tcBorders>
                    <w:tl2br w:val="nil"/>
                    <w:tr2bl w:val="nil"/>
                  </w:tcBorders>
                  <w:vAlign w:val="center"/>
                </w:tcPr>
                <w:p w14:paraId="538F3697">
                  <w:pPr>
                    <w:spacing w:line="240" w:lineRule="auto"/>
                    <w:jc w:val="center"/>
                    <w:rPr>
                      <w:sz w:val="21"/>
                      <w:szCs w:val="21"/>
                    </w:rPr>
                  </w:pPr>
                  <w:r>
                    <w:rPr>
                      <w:sz w:val="21"/>
                      <w:szCs w:val="21"/>
                    </w:rPr>
                    <w:t>混合采样</w:t>
                  </w:r>
                </w:p>
                <w:p w14:paraId="65DBCF58">
                  <w:pPr>
                    <w:spacing w:line="240" w:lineRule="auto"/>
                    <w:jc w:val="center"/>
                    <w:rPr>
                      <w:sz w:val="21"/>
                      <w:szCs w:val="21"/>
                    </w:rPr>
                  </w:pPr>
                  <w:r>
                    <w:rPr>
                      <w:sz w:val="21"/>
                      <w:szCs w:val="21"/>
                    </w:rPr>
                    <w:t>（3个）</w:t>
                  </w:r>
                </w:p>
              </w:tc>
              <w:tc>
                <w:tcPr>
                  <w:tcW w:w="316" w:type="pct"/>
                  <w:vMerge w:val="continue"/>
                  <w:tcBorders>
                    <w:tl2br w:val="nil"/>
                    <w:tr2bl w:val="nil"/>
                  </w:tcBorders>
                  <w:vAlign w:val="center"/>
                </w:tcPr>
                <w:p w14:paraId="14AD5FD3">
                  <w:pPr>
                    <w:spacing w:line="240" w:lineRule="auto"/>
                    <w:jc w:val="center"/>
                    <w:rPr>
                      <w:sz w:val="21"/>
                      <w:szCs w:val="21"/>
                    </w:rPr>
                  </w:pPr>
                </w:p>
              </w:tc>
              <w:tc>
                <w:tcPr>
                  <w:tcW w:w="1151" w:type="pct"/>
                  <w:tcBorders>
                    <w:tl2br w:val="nil"/>
                    <w:tr2bl w:val="nil"/>
                  </w:tcBorders>
                  <w:vAlign w:val="center"/>
                </w:tcPr>
                <w:p w14:paraId="5881F61C">
                  <w:pPr>
                    <w:spacing w:line="240" w:lineRule="auto"/>
                    <w:jc w:val="center"/>
                    <w:rPr>
                      <w:sz w:val="21"/>
                      <w:szCs w:val="21"/>
                    </w:rPr>
                  </w:pPr>
                  <w:r>
                    <w:rPr>
                      <w:sz w:val="21"/>
                      <w:szCs w:val="21"/>
                    </w:rPr>
                    <w:t>《水质 悬浮物的测定 重量法》 GB/T11901-1989</w:t>
                  </w:r>
                </w:p>
              </w:tc>
            </w:tr>
            <w:tr w14:paraId="1F49C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tcBorders>
                    <w:tl2br w:val="nil"/>
                    <w:tr2bl w:val="nil"/>
                  </w:tcBorders>
                  <w:vAlign w:val="center"/>
                </w:tcPr>
                <w:p w14:paraId="17E4E38F">
                  <w:pPr>
                    <w:spacing w:line="240" w:lineRule="auto"/>
                    <w:jc w:val="center"/>
                    <w:rPr>
                      <w:sz w:val="21"/>
                      <w:szCs w:val="21"/>
                    </w:rPr>
                  </w:pPr>
                </w:p>
              </w:tc>
              <w:tc>
                <w:tcPr>
                  <w:tcW w:w="356" w:type="pct"/>
                  <w:vMerge w:val="continue"/>
                  <w:tcBorders>
                    <w:tl2br w:val="nil"/>
                    <w:tr2bl w:val="nil"/>
                  </w:tcBorders>
                  <w:vAlign w:val="center"/>
                </w:tcPr>
                <w:p w14:paraId="1C549361">
                  <w:pPr>
                    <w:spacing w:line="240" w:lineRule="auto"/>
                    <w:jc w:val="center"/>
                    <w:rPr>
                      <w:sz w:val="21"/>
                      <w:szCs w:val="21"/>
                    </w:rPr>
                  </w:pPr>
                </w:p>
              </w:tc>
              <w:tc>
                <w:tcPr>
                  <w:tcW w:w="338" w:type="pct"/>
                  <w:tcBorders>
                    <w:tl2br w:val="nil"/>
                    <w:tr2bl w:val="nil"/>
                  </w:tcBorders>
                  <w:vAlign w:val="center"/>
                </w:tcPr>
                <w:p w14:paraId="0E2D4812">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408" w:type="pct"/>
                  <w:tcBorders>
                    <w:tl2br w:val="nil"/>
                    <w:tr2bl w:val="nil"/>
                  </w:tcBorders>
                  <w:vAlign w:val="center"/>
                </w:tcPr>
                <w:p w14:paraId="2AED1B58">
                  <w:pPr>
                    <w:spacing w:line="240" w:lineRule="auto"/>
                    <w:rPr>
                      <w:sz w:val="21"/>
                      <w:szCs w:val="21"/>
                    </w:rPr>
                  </w:pPr>
                  <w:r>
                    <w:rPr>
                      <w:rFonts w:hint="eastAsia"/>
                      <w:sz w:val="21"/>
                      <w:szCs w:val="21"/>
                      <w:lang w:eastAsia="zh-CN"/>
                    </w:rPr>
                    <w:sym w:font="Wingdings 2" w:char="00A3"/>
                  </w:r>
                  <w:r>
                    <w:rPr>
                      <w:sz w:val="21"/>
                      <w:szCs w:val="21"/>
                    </w:rPr>
                    <w:t>自动</w:t>
                  </w:r>
                </w:p>
                <w:p w14:paraId="02F8F5CE">
                  <w:pPr>
                    <w:spacing w:line="240" w:lineRule="auto"/>
                    <w:rPr>
                      <w:sz w:val="21"/>
                      <w:szCs w:val="21"/>
                    </w:rPr>
                  </w:pPr>
                  <w:r>
                    <w:rPr>
                      <w:rFonts w:hint="eastAsia"/>
                      <w:sz w:val="21"/>
                      <w:szCs w:val="21"/>
                      <w:lang w:eastAsia="zh-CN"/>
                    </w:rPr>
                    <w:sym w:font="Wingdings 2" w:char="0052"/>
                  </w:r>
                  <w:r>
                    <w:rPr>
                      <w:sz w:val="21"/>
                      <w:szCs w:val="21"/>
                    </w:rPr>
                    <w:t>手工</w:t>
                  </w:r>
                </w:p>
              </w:tc>
              <w:tc>
                <w:tcPr>
                  <w:tcW w:w="424" w:type="pct"/>
                  <w:tcBorders>
                    <w:tl2br w:val="nil"/>
                    <w:tr2bl w:val="nil"/>
                  </w:tcBorders>
                  <w:vAlign w:val="center"/>
                </w:tcPr>
                <w:p w14:paraId="131B72F6">
                  <w:pPr>
                    <w:spacing w:line="240" w:lineRule="auto"/>
                    <w:jc w:val="center"/>
                    <w:rPr>
                      <w:sz w:val="21"/>
                      <w:szCs w:val="21"/>
                    </w:rPr>
                  </w:pPr>
                  <w:r>
                    <w:rPr>
                      <w:sz w:val="21"/>
                      <w:szCs w:val="21"/>
                    </w:rPr>
                    <w:t>/</w:t>
                  </w:r>
                </w:p>
              </w:tc>
              <w:tc>
                <w:tcPr>
                  <w:tcW w:w="722" w:type="pct"/>
                  <w:tcBorders>
                    <w:tl2br w:val="nil"/>
                    <w:tr2bl w:val="nil"/>
                  </w:tcBorders>
                  <w:vAlign w:val="center"/>
                </w:tcPr>
                <w:p w14:paraId="34A17F5D">
                  <w:pPr>
                    <w:spacing w:line="240" w:lineRule="auto"/>
                    <w:jc w:val="center"/>
                    <w:rPr>
                      <w:sz w:val="21"/>
                      <w:szCs w:val="21"/>
                    </w:rPr>
                  </w:pPr>
                  <w:r>
                    <w:rPr>
                      <w:sz w:val="21"/>
                      <w:szCs w:val="21"/>
                    </w:rPr>
                    <w:t>/</w:t>
                  </w:r>
                </w:p>
              </w:tc>
              <w:tc>
                <w:tcPr>
                  <w:tcW w:w="364" w:type="pct"/>
                  <w:tcBorders>
                    <w:tl2br w:val="nil"/>
                    <w:tr2bl w:val="nil"/>
                  </w:tcBorders>
                  <w:vAlign w:val="center"/>
                </w:tcPr>
                <w:p w14:paraId="13948FD4">
                  <w:pPr>
                    <w:spacing w:line="240" w:lineRule="auto"/>
                    <w:jc w:val="center"/>
                    <w:rPr>
                      <w:sz w:val="21"/>
                      <w:szCs w:val="21"/>
                    </w:rPr>
                  </w:pPr>
                  <w:r>
                    <w:rPr>
                      <w:sz w:val="21"/>
                      <w:szCs w:val="21"/>
                    </w:rPr>
                    <w:t>/</w:t>
                  </w:r>
                </w:p>
              </w:tc>
              <w:tc>
                <w:tcPr>
                  <w:tcW w:w="322" w:type="pct"/>
                  <w:tcBorders>
                    <w:tl2br w:val="nil"/>
                    <w:tr2bl w:val="nil"/>
                  </w:tcBorders>
                  <w:vAlign w:val="center"/>
                </w:tcPr>
                <w:p w14:paraId="38E9DB05">
                  <w:pPr>
                    <w:spacing w:line="240" w:lineRule="auto"/>
                    <w:jc w:val="center"/>
                    <w:rPr>
                      <w:sz w:val="21"/>
                      <w:szCs w:val="21"/>
                    </w:rPr>
                  </w:pPr>
                  <w:r>
                    <w:rPr>
                      <w:sz w:val="21"/>
                      <w:szCs w:val="21"/>
                    </w:rPr>
                    <w:t>/</w:t>
                  </w:r>
                </w:p>
              </w:tc>
              <w:tc>
                <w:tcPr>
                  <w:tcW w:w="430" w:type="pct"/>
                  <w:tcBorders>
                    <w:tl2br w:val="nil"/>
                    <w:tr2bl w:val="nil"/>
                  </w:tcBorders>
                  <w:vAlign w:val="center"/>
                </w:tcPr>
                <w:p w14:paraId="63BADAB6">
                  <w:pPr>
                    <w:spacing w:line="240" w:lineRule="auto"/>
                    <w:jc w:val="center"/>
                    <w:rPr>
                      <w:sz w:val="21"/>
                      <w:szCs w:val="21"/>
                    </w:rPr>
                  </w:pPr>
                  <w:r>
                    <w:rPr>
                      <w:sz w:val="21"/>
                      <w:szCs w:val="21"/>
                    </w:rPr>
                    <w:t>混合采样</w:t>
                  </w:r>
                </w:p>
                <w:p w14:paraId="540BD11F">
                  <w:pPr>
                    <w:spacing w:line="240" w:lineRule="auto"/>
                    <w:jc w:val="center"/>
                    <w:rPr>
                      <w:sz w:val="21"/>
                      <w:szCs w:val="21"/>
                    </w:rPr>
                  </w:pPr>
                  <w:r>
                    <w:rPr>
                      <w:sz w:val="21"/>
                      <w:szCs w:val="21"/>
                    </w:rPr>
                    <w:t>（3个）</w:t>
                  </w:r>
                </w:p>
              </w:tc>
              <w:tc>
                <w:tcPr>
                  <w:tcW w:w="316" w:type="pct"/>
                  <w:vMerge w:val="continue"/>
                  <w:tcBorders>
                    <w:tl2br w:val="nil"/>
                    <w:tr2bl w:val="nil"/>
                  </w:tcBorders>
                  <w:vAlign w:val="center"/>
                </w:tcPr>
                <w:p w14:paraId="2764BBBD">
                  <w:pPr>
                    <w:spacing w:line="240" w:lineRule="auto"/>
                    <w:jc w:val="center"/>
                    <w:rPr>
                      <w:sz w:val="21"/>
                      <w:szCs w:val="21"/>
                    </w:rPr>
                  </w:pPr>
                </w:p>
              </w:tc>
              <w:tc>
                <w:tcPr>
                  <w:tcW w:w="1151" w:type="pct"/>
                  <w:tcBorders>
                    <w:tl2br w:val="nil"/>
                    <w:tr2bl w:val="nil"/>
                  </w:tcBorders>
                  <w:vAlign w:val="center"/>
                </w:tcPr>
                <w:p w14:paraId="51676351">
                  <w:pPr>
                    <w:spacing w:line="240" w:lineRule="auto"/>
                    <w:jc w:val="center"/>
                    <w:rPr>
                      <w:sz w:val="21"/>
                      <w:szCs w:val="21"/>
                    </w:rPr>
                  </w:pPr>
                  <w:r>
                    <w:rPr>
                      <w:sz w:val="21"/>
                      <w:szCs w:val="21"/>
                    </w:rPr>
                    <w:t>《水质 氨氮的测定 纳氏试剂分光光度法》HJ535-2009</w:t>
                  </w:r>
                </w:p>
              </w:tc>
            </w:tr>
            <w:tr w14:paraId="72A3F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6" w:type="pct"/>
                  <w:vMerge w:val="continue"/>
                  <w:tcBorders>
                    <w:tl2br w:val="nil"/>
                    <w:tr2bl w:val="nil"/>
                  </w:tcBorders>
                  <w:vAlign w:val="center"/>
                </w:tcPr>
                <w:p w14:paraId="72072A22">
                  <w:pPr>
                    <w:spacing w:line="240" w:lineRule="auto"/>
                    <w:jc w:val="center"/>
                    <w:rPr>
                      <w:sz w:val="21"/>
                      <w:szCs w:val="21"/>
                    </w:rPr>
                  </w:pPr>
                </w:p>
              </w:tc>
              <w:tc>
                <w:tcPr>
                  <w:tcW w:w="356" w:type="pct"/>
                  <w:vMerge w:val="continue"/>
                  <w:tcBorders>
                    <w:tl2br w:val="nil"/>
                    <w:tr2bl w:val="nil"/>
                  </w:tcBorders>
                  <w:vAlign w:val="center"/>
                </w:tcPr>
                <w:p w14:paraId="26A9C802">
                  <w:pPr>
                    <w:spacing w:line="240" w:lineRule="auto"/>
                    <w:jc w:val="center"/>
                    <w:rPr>
                      <w:sz w:val="21"/>
                      <w:szCs w:val="21"/>
                    </w:rPr>
                  </w:pPr>
                </w:p>
              </w:tc>
              <w:tc>
                <w:tcPr>
                  <w:tcW w:w="338" w:type="pct"/>
                  <w:tcBorders>
                    <w:tl2br w:val="nil"/>
                    <w:tr2bl w:val="nil"/>
                  </w:tcBorders>
                  <w:vAlign w:val="center"/>
                </w:tcPr>
                <w:p w14:paraId="4065D480">
                  <w:pPr>
                    <w:spacing w:line="240" w:lineRule="auto"/>
                    <w:jc w:val="center"/>
                    <w:rPr>
                      <w:sz w:val="21"/>
                      <w:szCs w:val="21"/>
                    </w:rPr>
                  </w:pPr>
                  <w:r>
                    <w:rPr>
                      <w:sz w:val="21"/>
                      <w:szCs w:val="21"/>
                    </w:rPr>
                    <w:t>TN</w:t>
                  </w:r>
                </w:p>
              </w:tc>
              <w:tc>
                <w:tcPr>
                  <w:tcW w:w="408" w:type="pct"/>
                  <w:tcBorders>
                    <w:tl2br w:val="nil"/>
                    <w:tr2bl w:val="nil"/>
                  </w:tcBorders>
                  <w:vAlign w:val="center"/>
                </w:tcPr>
                <w:p w14:paraId="5C9B9DA8">
                  <w:pPr>
                    <w:spacing w:line="240" w:lineRule="auto"/>
                    <w:rPr>
                      <w:sz w:val="21"/>
                      <w:szCs w:val="21"/>
                    </w:rPr>
                  </w:pPr>
                  <w:r>
                    <w:rPr>
                      <w:rFonts w:hint="eastAsia"/>
                      <w:sz w:val="21"/>
                      <w:szCs w:val="21"/>
                      <w:lang w:eastAsia="zh-CN"/>
                    </w:rPr>
                    <w:sym w:font="Wingdings 2" w:char="00A3"/>
                  </w:r>
                  <w:r>
                    <w:rPr>
                      <w:sz w:val="21"/>
                      <w:szCs w:val="21"/>
                    </w:rPr>
                    <w:t>自动</w:t>
                  </w:r>
                </w:p>
                <w:p w14:paraId="6E29B407">
                  <w:pPr>
                    <w:spacing w:line="240" w:lineRule="auto"/>
                    <w:rPr>
                      <w:sz w:val="21"/>
                      <w:szCs w:val="21"/>
                    </w:rPr>
                  </w:pPr>
                  <w:r>
                    <w:rPr>
                      <w:rFonts w:hint="eastAsia"/>
                      <w:sz w:val="21"/>
                      <w:szCs w:val="21"/>
                      <w:lang w:eastAsia="zh-CN"/>
                    </w:rPr>
                    <w:sym w:font="Wingdings 2" w:char="0052"/>
                  </w:r>
                  <w:r>
                    <w:rPr>
                      <w:sz w:val="21"/>
                      <w:szCs w:val="21"/>
                    </w:rPr>
                    <w:t>手工</w:t>
                  </w:r>
                </w:p>
              </w:tc>
              <w:tc>
                <w:tcPr>
                  <w:tcW w:w="424" w:type="pct"/>
                  <w:tcBorders>
                    <w:tl2br w:val="nil"/>
                    <w:tr2bl w:val="nil"/>
                  </w:tcBorders>
                  <w:vAlign w:val="center"/>
                </w:tcPr>
                <w:p w14:paraId="534026C1">
                  <w:pPr>
                    <w:spacing w:line="240" w:lineRule="auto"/>
                    <w:jc w:val="center"/>
                    <w:rPr>
                      <w:sz w:val="21"/>
                      <w:szCs w:val="21"/>
                    </w:rPr>
                  </w:pPr>
                  <w:r>
                    <w:rPr>
                      <w:sz w:val="21"/>
                      <w:szCs w:val="21"/>
                    </w:rPr>
                    <w:t>/</w:t>
                  </w:r>
                </w:p>
              </w:tc>
              <w:tc>
                <w:tcPr>
                  <w:tcW w:w="722" w:type="pct"/>
                  <w:tcBorders>
                    <w:tl2br w:val="nil"/>
                    <w:tr2bl w:val="nil"/>
                  </w:tcBorders>
                  <w:vAlign w:val="center"/>
                </w:tcPr>
                <w:p w14:paraId="0BA65A52">
                  <w:pPr>
                    <w:spacing w:line="240" w:lineRule="auto"/>
                    <w:jc w:val="center"/>
                    <w:rPr>
                      <w:sz w:val="21"/>
                      <w:szCs w:val="21"/>
                    </w:rPr>
                  </w:pPr>
                  <w:r>
                    <w:rPr>
                      <w:sz w:val="21"/>
                      <w:szCs w:val="21"/>
                    </w:rPr>
                    <w:t>/</w:t>
                  </w:r>
                </w:p>
              </w:tc>
              <w:tc>
                <w:tcPr>
                  <w:tcW w:w="364" w:type="pct"/>
                  <w:tcBorders>
                    <w:tl2br w:val="nil"/>
                    <w:tr2bl w:val="nil"/>
                  </w:tcBorders>
                  <w:vAlign w:val="center"/>
                </w:tcPr>
                <w:p w14:paraId="515746E1">
                  <w:pPr>
                    <w:spacing w:line="240" w:lineRule="auto"/>
                    <w:jc w:val="center"/>
                    <w:rPr>
                      <w:sz w:val="21"/>
                      <w:szCs w:val="21"/>
                    </w:rPr>
                  </w:pPr>
                  <w:r>
                    <w:rPr>
                      <w:sz w:val="21"/>
                      <w:szCs w:val="21"/>
                    </w:rPr>
                    <w:t>/</w:t>
                  </w:r>
                </w:p>
              </w:tc>
              <w:tc>
                <w:tcPr>
                  <w:tcW w:w="322" w:type="pct"/>
                  <w:tcBorders>
                    <w:tl2br w:val="nil"/>
                    <w:tr2bl w:val="nil"/>
                  </w:tcBorders>
                  <w:vAlign w:val="center"/>
                </w:tcPr>
                <w:p w14:paraId="5FB51558">
                  <w:pPr>
                    <w:spacing w:line="240" w:lineRule="auto"/>
                    <w:jc w:val="center"/>
                    <w:rPr>
                      <w:sz w:val="21"/>
                      <w:szCs w:val="21"/>
                    </w:rPr>
                  </w:pPr>
                  <w:r>
                    <w:rPr>
                      <w:sz w:val="21"/>
                      <w:szCs w:val="21"/>
                    </w:rPr>
                    <w:t>/</w:t>
                  </w:r>
                </w:p>
              </w:tc>
              <w:tc>
                <w:tcPr>
                  <w:tcW w:w="430" w:type="pct"/>
                  <w:tcBorders>
                    <w:tl2br w:val="nil"/>
                    <w:tr2bl w:val="nil"/>
                  </w:tcBorders>
                  <w:vAlign w:val="center"/>
                </w:tcPr>
                <w:p w14:paraId="0C44FD53">
                  <w:pPr>
                    <w:spacing w:line="240" w:lineRule="auto"/>
                    <w:jc w:val="center"/>
                    <w:rPr>
                      <w:sz w:val="21"/>
                      <w:szCs w:val="21"/>
                    </w:rPr>
                  </w:pPr>
                  <w:r>
                    <w:rPr>
                      <w:sz w:val="21"/>
                      <w:szCs w:val="21"/>
                    </w:rPr>
                    <w:t>混合采样</w:t>
                  </w:r>
                </w:p>
                <w:p w14:paraId="647B447D">
                  <w:pPr>
                    <w:spacing w:line="240" w:lineRule="auto"/>
                    <w:jc w:val="center"/>
                    <w:rPr>
                      <w:sz w:val="21"/>
                      <w:szCs w:val="21"/>
                    </w:rPr>
                  </w:pPr>
                  <w:r>
                    <w:rPr>
                      <w:sz w:val="21"/>
                      <w:szCs w:val="21"/>
                    </w:rPr>
                    <w:t>（3个）</w:t>
                  </w:r>
                </w:p>
              </w:tc>
              <w:tc>
                <w:tcPr>
                  <w:tcW w:w="316" w:type="pct"/>
                  <w:vMerge w:val="continue"/>
                  <w:tcBorders>
                    <w:tl2br w:val="nil"/>
                    <w:tr2bl w:val="nil"/>
                  </w:tcBorders>
                  <w:vAlign w:val="center"/>
                </w:tcPr>
                <w:p w14:paraId="29132A5A">
                  <w:pPr>
                    <w:spacing w:line="240" w:lineRule="auto"/>
                    <w:jc w:val="center"/>
                    <w:rPr>
                      <w:sz w:val="21"/>
                      <w:szCs w:val="21"/>
                    </w:rPr>
                  </w:pPr>
                </w:p>
              </w:tc>
              <w:tc>
                <w:tcPr>
                  <w:tcW w:w="1151" w:type="pct"/>
                  <w:tcBorders>
                    <w:tl2br w:val="nil"/>
                    <w:tr2bl w:val="nil"/>
                  </w:tcBorders>
                  <w:vAlign w:val="center"/>
                </w:tcPr>
                <w:p w14:paraId="22A1989C">
                  <w:pPr>
                    <w:spacing w:line="240" w:lineRule="auto"/>
                    <w:jc w:val="center"/>
                    <w:rPr>
                      <w:sz w:val="21"/>
                      <w:szCs w:val="21"/>
                    </w:rPr>
                  </w:pPr>
                  <w:r>
                    <w:rPr>
                      <w:sz w:val="21"/>
                      <w:szCs w:val="21"/>
                    </w:rPr>
                    <w:t>《水质 总氮的测定 碱性过硫酸钾消解紫外分光光度法》HJ636-2012</w:t>
                  </w:r>
                </w:p>
              </w:tc>
            </w:tr>
            <w:tr w14:paraId="0196A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 w:type="pct"/>
                  <w:vMerge w:val="continue"/>
                  <w:tcBorders>
                    <w:tl2br w:val="nil"/>
                    <w:tr2bl w:val="nil"/>
                  </w:tcBorders>
                  <w:vAlign w:val="center"/>
                </w:tcPr>
                <w:p w14:paraId="0FCFECCE">
                  <w:pPr>
                    <w:spacing w:line="240" w:lineRule="auto"/>
                    <w:jc w:val="center"/>
                    <w:rPr>
                      <w:sz w:val="21"/>
                      <w:szCs w:val="21"/>
                    </w:rPr>
                  </w:pPr>
                </w:p>
              </w:tc>
              <w:tc>
                <w:tcPr>
                  <w:tcW w:w="356" w:type="pct"/>
                  <w:vMerge w:val="continue"/>
                  <w:tcBorders>
                    <w:tl2br w:val="nil"/>
                    <w:tr2bl w:val="nil"/>
                  </w:tcBorders>
                  <w:vAlign w:val="center"/>
                </w:tcPr>
                <w:p w14:paraId="6DB9B43A">
                  <w:pPr>
                    <w:spacing w:line="240" w:lineRule="auto"/>
                    <w:jc w:val="center"/>
                    <w:rPr>
                      <w:sz w:val="21"/>
                      <w:szCs w:val="21"/>
                    </w:rPr>
                  </w:pPr>
                </w:p>
              </w:tc>
              <w:tc>
                <w:tcPr>
                  <w:tcW w:w="338" w:type="pct"/>
                  <w:tcBorders>
                    <w:tl2br w:val="nil"/>
                    <w:tr2bl w:val="nil"/>
                  </w:tcBorders>
                  <w:vAlign w:val="center"/>
                </w:tcPr>
                <w:p w14:paraId="7605D1BA">
                  <w:pPr>
                    <w:spacing w:line="240" w:lineRule="auto"/>
                    <w:jc w:val="center"/>
                    <w:rPr>
                      <w:sz w:val="21"/>
                      <w:szCs w:val="21"/>
                    </w:rPr>
                  </w:pPr>
                  <w:r>
                    <w:rPr>
                      <w:sz w:val="21"/>
                      <w:szCs w:val="21"/>
                    </w:rPr>
                    <w:t>TP</w:t>
                  </w:r>
                </w:p>
              </w:tc>
              <w:tc>
                <w:tcPr>
                  <w:tcW w:w="408" w:type="pct"/>
                  <w:tcBorders>
                    <w:tl2br w:val="nil"/>
                    <w:tr2bl w:val="nil"/>
                  </w:tcBorders>
                  <w:vAlign w:val="center"/>
                </w:tcPr>
                <w:p w14:paraId="306D4E2C">
                  <w:pPr>
                    <w:spacing w:line="240" w:lineRule="auto"/>
                    <w:rPr>
                      <w:sz w:val="21"/>
                      <w:szCs w:val="21"/>
                    </w:rPr>
                  </w:pPr>
                  <w:r>
                    <w:rPr>
                      <w:rFonts w:hint="eastAsia"/>
                      <w:sz w:val="21"/>
                      <w:szCs w:val="21"/>
                      <w:lang w:eastAsia="zh-CN"/>
                    </w:rPr>
                    <w:sym w:font="Wingdings 2" w:char="00A3"/>
                  </w:r>
                  <w:r>
                    <w:rPr>
                      <w:sz w:val="21"/>
                      <w:szCs w:val="21"/>
                    </w:rPr>
                    <w:t>自动</w:t>
                  </w:r>
                </w:p>
                <w:p w14:paraId="39B6D6B9">
                  <w:pPr>
                    <w:spacing w:line="240" w:lineRule="auto"/>
                    <w:rPr>
                      <w:sz w:val="21"/>
                      <w:szCs w:val="21"/>
                    </w:rPr>
                  </w:pPr>
                  <w:r>
                    <w:rPr>
                      <w:rFonts w:hint="eastAsia"/>
                      <w:sz w:val="21"/>
                      <w:szCs w:val="21"/>
                      <w:lang w:eastAsia="zh-CN"/>
                    </w:rPr>
                    <w:sym w:font="Wingdings 2" w:char="0052"/>
                  </w:r>
                  <w:r>
                    <w:rPr>
                      <w:sz w:val="21"/>
                      <w:szCs w:val="21"/>
                    </w:rPr>
                    <w:t>手工</w:t>
                  </w:r>
                </w:p>
              </w:tc>
              <w:tc>
                <w:tcPr>
                  <w:tcW w:w="424" w:type="pct"/>
                  <w:tcBorders>
                    <w:tl2br w:val="nil"/>
                    <w:tr2bl w:val="nil"/>
                  </w:tcBorders>
                  <w:vAlign w:val="center"/>
                </w:tcPr>
                <w:p w14:paraId="79996695">
                  <w:pPr>
                    <w:spacing w:line="240" w:lineRule="auto"/>
                    <w:jc w:val="center"/>
                    <w:rPr>
                      <w:sz w:val="21"/>
                      <w:szCs w:val="21"/>
                    </w:rPr>
                  </w:pPr>
                  <w:r>
                    <w:rPr>
                      <w:sz w:val="21"/>
                      <w:szCs w:val="21"/>
                    </w:rPr>
                    <w:t>/</w:t>
                  </w:r>
                </w:p>
              </w:tc>
              <w:tc>
                <w:tcPr>
                  <w:tcW w:w="722" w:type="pct"/>
                  <w:tcBorders>
                    <w:tl2br w:val="nil"/>
                    <w:tr2bl w:val="nil"/>
                  </w:tcBorders>
                  <w:vAlign w:val="center"/>
                </w:tcPr>
                <w:p w14:paraId="78AA4251">
                  <w:pPr>
                    <w:spacing w:line="240" w:lineRule="auto"/>
                    <w:jc w:val="center"/>
                    <w:rPr>
                      <w:sz w:val="21"/>
                      <w:szCs w:val="21"/>
                    </w:rPr>
                  </w:pPr>
                  <w:r>
                    <w:rPr>
                      <w:sz w:val="21"/>
                      <w:szCs w:val="21"/>
                    </w:rPr>
                    <w:t>/</w:t>
                  </w:r>
                </w:p>
              </w:tc>
              <w:tc>
                <w:tcPr>
                  <w:tcW w:w="364" w:type="pct"/>
                  <w:tcBorders>
                    <w:tl2br w:val="nil"/>
                    <w:tr2bl w:val="nil"/>
                  </w:tcBorders>
                  <w:vAlign w:val="center"/>
                </w:tcPr>
                <w:p w14:paraId="0A351151">
                  <w:pPr>
                    <w:spacing w:line="240" w:lineRule="auto"/>
                    <w:jc w:val="center"/>
                    <w:rPr>
                      <w:sz w:val="21"/>
                      <w:szCs w:val="21"/>
                    </w:rPr>
                  </w:pPr>
                  <w:r>
                    <w:rPr>
                      <w:sz w:val="21"/>
                      <w:szCs w:val="21"/>
                    </w:rPr>
                    <w:t>/</w:t>
                  </w:r>
                </w:p>
              </w:tc>
              <w:tc>
                <w:tcPr>
                  <w:tcW w:w="322" w:type="pct"/>
                  <w:tcBorders>
                    <w:tl2br w:val="nil"/>
                    <w:tr2bl w:val="nil"/>
                  </w:tcBorders>
                  <w:vAlign w:val="center"/>
                </w:tcPr>
                <w:p w14:paraId="3D0E0AA8">
                  <w:pPr>
                    <w:spacing w:line="240" w:lineRule="auto"/>
                    <w:jc w:val="center"/>
                    <w:rPr>
                      <w:sz w:val="21"/>
                      <w:szCs w:val="21"/>
                    </w:rPr>
                  </w:pPr>
                  <w:r>
                    <w:rPr>
                      <w:sz w:val="21"/>
                      <w:szCs w:val="21"/>
                    </w:rPr>
                    <w:t>/</w:t>
                  </w:r>
                </w:p>
              </w:tc>
              <w:tc>
                <w:tcPr>
                  <w:tcW w:w="430" w:type="pct"/>
                  <w:tcBorders>
                    <w:tl2br w:val="nil"/>
                    <w:tr2bl w:val="nil"/>
                  </w:tcBorders>
                  <w:vAlign w:val="center"/>
                </w:tcPr>
                <w:p w14:paraId="2F20F8E2">
                  <w:pPr>
                    <w:spacing w:line="240" w:lineRule="auto"/>
                    <w:jc w:val="center"/>
                    <w:rPr>
                      <w:sz w:val="21"/>
                      <w:szCs w:val="21"/>
                    </w:rPr>
                  </w:pPr>
                  <w:r>
                    <w:rPr>
                      <w:sz w:val="21"/>
                      <w:szCs w:val="21"/>
                    </w:rPr>
                    <w:t>混合采样</w:t>
                  </w:r>
                </w:p>
                <w:p w14:paraId="5C5C6C05">
                  <w:pPr>
                    <w:spacing w:line="240" w:lineRule="auto"/>
                    <w:jc w:val="center"/>
                    <w:rPr>
                      <w:sz w:val="21"/>
                      <w:szCs w:val="21"/>
                    </w:rPr>
                  </w:pPr>
                  <w:r>
                    <w:rPr>
                      <w:sz w:val="21"/>
                      <w:szCs w:val="21"/>
                    </w:rPr>
                    <w:t>（3个）</w:t>
                  </w:r>
                </w:p>
              </w:tc>
              <w:tc>
                <w:tcPr>
                  <w:tcW w:w="316" w:type="pct"/>
                  <w:vMerge w:val="continue"/>
                  <w:tcBorders>
                    <w:tl2br w:val="nil"/>
                    <w:tr2bl w:val="nil"/>
                  </w:tcBorders>
                  <w:vAlign w:val="center"/>
                </w:tcPr>
                <w:p w14:paraId="65822020">
                  <w:pPr>
                    <w:spacing w:line="240" w:lineRule="auto"/>
                    <w:jc w:val="center"/>
                    <w:rPr>
                      <w:sz w:val="21"/>
                      <w:szCs w:val="21"/>
                    </w:rPr>
                  </w:pPr>
                </w:p>
              </w:tc>
              <w:tc>
                <w:tcPr>
                  <w:tcW w:w="1151" w:type="pct"/>
                  <w:tcBorders>
                    <w:tl2br w:val="nil"/>
                    <w:tr2bl w:val="nil"/>
                  </w:tcBorders>
                  <w:vAlign w:val="center"/>
                </w:tcPr>
                <w:p w14:paraId="12B83009">
                  <w:pPr>
                    <w:spacing w:line="240" w:lineRule="auto"/>
                    <w:jc w:val="center"/>
                    <w:rPr>
                      <w:sz w:val="21"/>
                      <w:szCs w:val="21"/>
                    </w:rPr>
                  </w:pPr>
                  <w:r>
                    <w:rPr>
                      <w:sz w:val="21"/>
                      <w:szCs w:val="21"/>
                    </w:rPr>
                    <w:t>《水质 总磷的测定 钼酸铵分光光度法》GB/T11893-1989</w:t>
                  </w:r>
                </w:p>
              </w:tc>
            </w:tr>
          </w:tbl>
          <w:p w14:paraId="257AF516">
            <w:pPr>
              <w:spacing w:line="460" w:lineRule="exact"/>
              <w:ind w:firstLine="482" w:firstLineChars="200"/>
              <w:rPr>
                <w:b/>
                <w:bCs/>
              </w:rPr>
            </w:pPr>
            <w:r>
              <w:rPr>
                <w:rFonts w:hint="eastAsia"/>
                <w:b/>
                <w:bCs/>
              </w:rPr>
              <w:t>2.</w:t>
            </w:r>
            <w:r>
              <w:rPr>
                <w:rFonts w:hint="eastAsia"/>
                <w:b/>
                <w:bCs/>
                <w:lang w:val="en-US" w:eastAsia="zh-CN"/>
              </w:rPr>
              <w:t>7</w:t>
            </w:r>
            <w:r>
              <w:rPr>
                <w:b/>
                <w:bCs/>
              </w:rPr>
              <w:t>废水排放影响分析</w:t>
            </w:r>
          </w:p>
          <w:p w14:paraId="6F32C3EC">
            <w:pPr>
              <w:spacing w:line="480" w:lineRule="exact"/>
              <w:ind w:firstLine="480" w:firstLineChars="200"/>
              <w:rPr>
                <w:b/>
              </w:rPr>
            </w:pPr>
            <w:r>
              <w:t>本项目位于受纳水体环境质量达标区域，生活污水接管至常州东方横山水处理有限公司集中处理达标后排入三山港。本项目水量、水质等均符合常州东方横山水处理有限公司接管要求，本项目污水不直接对外排放，因此，不会对当地地表水环境产生不利影响。</w:t>
            </w:r>
          </w:p>
          <w:p w14:paraId="2985105A">
            <w:pPr>
              <w:spacing w:line="480" w:lineRule="exact"/>
              <w:ind w:firstLine="482" w:firstLineChars="200"/>
              <w:rPr>
                <w:b/>
                <w:bCs/>
              </w:rPr>
            </w:pPr>
            <w:r>
              <w:rPr>
                <w:b/>
              </w:rPr>
              <w:t>3、噪声</w:t>
            </w:r>
          </w:p>
          <w:p w14:paraId="72A1467A">
            <w:pPr>
              <w:spacing w:line="480" w:lineRule="exact"/>
              <w:ind w:firstLine="482" w:firstLineChars="200"/>
              <w:rPr>
                <w:b/>
                <w:bCs/>
                <w:highlight w:val="none"/>
              </w:rPr>
            </w:pPr>
            <w:r>
              <w:rPr>
                <w:b/>
                <w:highlight w:val="none"/>
              </w:rPr>
              <w:t>3.1噪声源强分析</w:t>
            </w:r>
          </w:p>
          <w:p w14:paraId="218DAECA">
            <w:pPr>
              <w:spacing w:line="480" w:lineRule="exact"/>
              <w:ind w:firstLine="480" w:firstLineChars="200"/>
              <w:rPr>
                <w:b/>
              </w:rPr>
            </w:pPr>
            <w:r>
              <w:t>本项目噪声主要来自</w:t>
            </w:r>
            <w:r>
              <w:rPr>
                <w:rFonts w:hint="eastAsia"/>
                <w:lang w:val="en-US" w:eastAsia="zh-CN"/>
              </w:rPr>
              <w:t>天然气熔化炉、压铸机、数控车床、加工中心、自动攻钻两用机、环保砂轮机、螺杆空压机</w:t>
            </w:r>
            <w:r>
              <w:t>等设备运行时产生的噪声。本项目使用的设备均为低噪声设备，噪声源强分析见下表。</w:t>
            </w:r>
          </w:p>
          <w:p w14:paraId="7D7A92EE">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19</w:t>
            </w:r>
            <w:r>
              <w:rPr>
                <w:rFonts w:hint="eastAsia"/>
                <w:b/>
                <w:bCs/>
                <w:sz w:val="21"/>
                <w:szCs w:val="21"/>
              </w:rPr>
              <w:t xml:space="preserve">  </w:t>
            </w:r>
            <w:r>
              <w:rPr>
                <w:b/>
                <w:bCs/>
                <w:sz w:val="21"/>
                <w:szCs w:val="21"/>
              </w:rPr>
              <w:t>本项目噪声源强</w:t>
            </w:r>
            <w:r>
              <w:rPr>
                <w:rFonts w:hint="eastAsia"/>
                <w:b/>
                <w:bCs/>
                <w:sz w:val="21"/>
                <w:szCs w:val="21"/>
              </w:rPr>
              <w:t>调查清单（室内声源）</w:t>
            </w:r>
          </w:p>
          <w:tbl>
            <w:tblPr>
              <w:tblStyle w:val="20"/>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06"/>
              <w:gridCol w:w="621"/>
              <w:gridCol w:w="1279"/>
              <w:gridCol w:w="1319"/>
              <w:gridCol w:w="812"/>
              <w:gridCol w:w="663"/>
              <w:gridCol w:w="593"/>
              <w:gridCol w:w="611"/>
              <w:gridCol w:w="827"/>
              <w:gridCol w:w="884"/>
              <w:gridCol w:w="1070"/>
              <w:gridCol w:w="520"/>
              <w:gridCol w:w="1075"/>
              <w:gridCol w:w="839"/>
              <w:gridCol w:w="1234"/>
            </w:tblGrid>
            <w:tr w14:paraId="3D147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7" w:hRule="atLeast"/>
                <w:jc w:val="center"/>
              </w:trPr>
              <w:tc>
                <w:tcPr>
                  <w:tcW w:w="82" w:type="pct"/>
                  <w:vMerge w:val="restart"/>
                  <w:vAlign w:val="center"/>
                </w:tcPr>
                <w:p w14:paraId="0F29D8F4">
                  <w:pPr>
                    <w:spacing w:line="240" w:lineRule="atLeast"/>
                    <w:jc w:val="center"/>
                    <w:rPr>
                      <w:b/>
                      <w:bCs/>
                      <w:sz w:val="20"/>
                      <w:szCs w:val="20"/>
                    </w:rPr>
                  </w:pPr>
                  <w:r>
                    <w:rPr>
                      <w:b/>
                      <w:bCs/>
                      <w:sz w:val="20"/>
                      <w:szCs w:val="20"/>
                    </w:rPr>
                    <w:t>序号</w:t>
                  </w:r>
                </w:p>
              </w:tc>
              <w:tc>
                <w:tcPr>
                  <w:tcW w:w="247" w:type="pct"/>
                  <w:vMerge w:val="restart"/>
                  <w:vAlign w:val="center"/>
                </w:tcPr>
                <w:p w14:paraId="319D1998">
                  <w:pPr>
                    <w:spacing w:line="240" w:lineRule="atLeast"/>
                    <w:jc w:val="center"/>
                    <w:rPr>
                      <w:b/>
                      <w:bCs/>
                      <w:sz w:val="20"/>
                      <w:szCs w:val="20"/>
                    </w:rPr>
                  </w:pPr>
                  <w:r>
                    <w:rPr>
                      <w:b/>
                      <w:bCs/>
                      <w:sz w:val="20"/>
                      <w:szCs w:val="20"/>
                    </w:rPr>
                    <w:t>建筑物名称</w:t>
                  </w:r>
                </w:p>
              </w:tc>
              <w:tc>
                <w:tcPr>
                  <w:tcW w:w="509" w:type="pct"/>
                  <w:vMerge w:val="restart"/>
                  <w:vAlign w:val="center"/>
                </w:tcPr>
                <w:p w14:paraId="02AE723E">
                  <w:pPr>
                    <w:spacing w:line="240" w:lineRule="atLeast"/>
                    <w:jc w:val="center"/>
                    <w:rPr>
                      <w:b/>
                      <w:bCs/>
                      <w:sz w:val="20"/>
                      <w:szCs w:val="20"/>
                    </w:rPr>
                  </w:pPr>
                  <w:r>
                    <w:rPr>
                      <w:b/>
                      <w:bCs/>
                      <w:sz w:val="20"/>
                      <w:szCs w:val="20"/>
                    </w:rPr>
                    <w:t>声源名称</w:t>
                  </w:r>
                </w:p>
              </w:tc>
              <w:tc>
                <w:tcPr>
                  <w:tcW w:w="525" w:type="pct"/>
                  <w:vAlign w:val="center"/>
                </w:tcPr>
                <w:p w14:paraId="7551ADCA">
                  <w:pPr>
                    <w:spacing w:line="240" w:lineRule="atLeast"/>
                    <w:jc w:val="center"/>
                    <w:rPr>
                      <w:b/>
                      <w:bCs/>
                      <w:sz w:val="20"/>
                      <w:szCs w:val="20"/>
                    </w:rPr>
                  </w:pPr>
                  <w:r>
                    <w:rPr>
                      <w:b/>
                      <w:bCs/>
                      <w:sz w:val="20"/>
                      <w:szCs w:val="20"/>
                    </w:rPr>
                    <w:t>声源源强</w:t>
                  </w:r>
                </w:p>
              </w:tc>
              <w:tc>
                <w:tcPr>
                  <w:tcW w:w="323" w:type="pct"/>
                  <w:vMerge w:val="restart"/>
                  <w:vAlign w:val="center"/>
                </w:tcPr>
                <w:p w14:paraId="098E93FF">
                  <w:pPr>
                    <w:spacing w:line="240" w:lineRule="atLeast"/>
                    <w:jc w:val="center"/>
                    <w:rPr>
                      <w:b/>
                      <w:bCs/>
                      <w:sz w:val="20"/>
                      <w:szCs w:val="20"/>
                    </w:rPr>
                  </w:pPr>
                  <w:r>
                    <w:rPr>
                      <w:b/>
                      <w:bCs/>
                      <w:sz w:val="20"/>
                      <w:szCs w:val="20"/>
                    </w:rPr>
                    <w:t>声源控制措施</w:t>
                  </w:r>
                </w:p>
              </w:tc>
              <w:tc>
                <w:tcPr>
                  <w:tcW w:w="743" w:type="pct"/>
                  <w:gridSpan w:val="3"/>
                  <w:vAlign w:val="center"/>
                </w:tcPr>
                <w:p w14:paraId="34F022EB">
                  <w:pPr>
                    <w:spacing w:line="240" w:lineRule="atLeast"/>
                    <w:jc w:val="center"/>
                    <w:rPr>
                      <w:b/>
                      <w:bCs/>
                      <w:sz w:val="20"/>
                      <w:szCs w:val="20"/>
                    </w:rPr>
                  </w:pPr>
                  <w:r>
                    <w:rPr>
                      <w:b/>
                      <w:bCs/>
                      <w:sz w:val="20"/>
                      <w:szCs w:val="20"/>
                    </w:rPr>
                    <w:t>空间相对位置/m</w:t>
                  </w:r>
                </w:p>
              </w:tc>
              <w:tc>
                <w:tcPr>
                  <w:tcW w:w="681" w:type="pct"/>
                  <w:gridSpan w:val="2"/>
                  <w:vAlign w:val="center"/>
                </w:tcPr>
                <w:p w14:paraId="2F936087">
                  <w:pPr>
                    <w:spacing w:line="240" w:lineRule="atLeast"/>
                    <w:jc w:val="center"/>
                    <w:rPr>
                      <w:b/>
                      <w:bCs/>
                      <w:sz w:val="20"/>
                      <w:szCs w:val="20"/>
                    </w:rPr>
                  </w:pPr>
                  <w:r>
                    <w:rPr>
                      <w:b/>
                      <w:bCs/>
                      <w:sz w:val="20"/>
                      <w:szCs w:val="20"/>
                    </w:rPr>
                    <w:t>距室内边界距离</w:t>
                  </w:r>
                </w:p>
              </w:tc>
              <w:tc>
                <w:tcPr>
                  <w:tcW w:w="426" w:type="pct"/>
                  <w:vMerge w:val="restart"/>
                  <w:vAlign w:val="center"/>
                </w:tcPr>
                <w:p w14:paraId="33F5E335">
                  <w:pPr>
                    <w:spacing w:line="240" w:lineRule="atLeast"/>
                    <w:jc w:val="center"/>
                    <w:rPr>
                      <w:b/>
                      <w:bCs/>
                      <w:sz w:val="20"/>
                      <w:szCs w:val="20"/>
                    </w:rPr>
                  </w:pPr>
                  <w:r>
                    <w:rPr>
                      <w:b/>
                      <w:bCs/>
                      <w:sz w:val="20"/>
                      <w:szCs w:val="20"/>
                    </w:rPr>
                    <w:t>室内边界声级/dB（A）</w:t>
                  </w:r>
                </w:p>
              </w:tc>
              <w:tc>
                <w:tcPr>
                  <w:tcW w:w="207" w:type="pct"/>
                  <w:vMerge w:val="restart"/>
                  <w:vAlign w:val="center"/>
                </w:tcPr>
                <w:p w14:paraId="007740A4">
                  <w:pPr>
                    <w:spacing w:line="240" w:lineRule="atLeast"/>
                    <w:jc w:val="center"/>
                    <w:rPr>
                      <w:b/>
                      <w:bCs/>
                      <w:sz w:val="20"/>
                      <w:szCs w:val="20"/>
                    </w:rPr>
                  </w:pPr>
                  <w:r>
                    <w:rPr>
                      <w:b/>
                      <w:bCs/>
                      <w:sz w:val="20"/>
                      <w:szCs w:val="20"/>
                    </w:rPr>
                    <w:t>运行时段</w:t>
                  </w:r>
                </w:p>
              </w:tc>
              <w:tc>
                <w:tcPr>
                  <w:tcW w:w="428" w:type="pct"/>
                  <w:vMerge w:val="restart"/>
                  <w:vAlign w:val="center"/>
                </w:tcPr>
                <w:p w14:paraId="04D80568">
                  <w:pPr>
                    <w:spacing w:line="240" w:lineRule="atLeast"/>
                    <w:jc w:val="center"/>
                    <w:rPr>
                      <w:b/>
                      <w:bCs/>
                      <w:sz w:val="20"/>
                      <w:szCs w:val="20"/>
                    </w:rPr>
                  </w:pPr>
                  <w:r>
                    <w:rPr>
                      <w:b/>
                      <w:bCs/>
                      <w:sz w:val="20"/>
                      <w:szCs w:val="20"/>
                    </w:rPr>
                    <w:t>建筑物插入损失/dB（A）</w:t>
                  </w:r>
                </w:p>
              </w:tc>
              <w:tc>
                <w:tcPr>
                  <w:tcW w:w="825" w:type="pct"/>
                  <w:gridSpan w:val="2"/>
                  <w:vAlign w:val="center"/>
                </w:tcPr>
                <w:p w14:paraId="7E8177D0">
                  <w:pPr>
                    <w:spacing w:line="240" w:lineRule="atLeast"/>
                    <w:jc w:val="center"/>
                    <w:rPr>
                      <w:b/>
                      <w:bCs/>
                      <w:sz w:val="20"/>
                      <w:szCs w:val="20"/>
                    </w:rPr>
                  </w:pPr>
                  <w:r>
                    <w:rPr>
                      <w:b/>
                      <w:bCs/>
                      <w:sz w:val="20"/>
                      <w:szCs w:val="20"/>
                    </w:rPr>
                    <w:t>建筑物外噪声</w:t>
                  </w:r>
                </w:p>
              </w:tc>
            </w:tr>
            <w:tr w14:paraId="741D6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2" w:type="pct"/>
                  <w:vMerge w:val="continue"/>
                  <w:vAlign w:val="center"/>
                </w:tcPr>
                <w:p w14:paraId="29AD18C8">
                  <w:pPr>
                    <w:spacing w:line="240" w:lineRule="atLeast"/>
                    <w:jc w:val="center"/>
                    <w:rPr>
                      <w:b/>
                      <w:bCs/>
                      <w:sz w:val="20"/>
                      <w:szCs w:val="20"/>
                    </w:rPr>
                  </w:pPr>
                </w:p>
              </w:tc>
              <w:tc>
                <w:tcPr>
                  <w:tcW w:w="247" w:type="pct"/>
                  <w:vMerge w:val="continue"/>
                  <w:vAlign w:val="center"/>
                </w:tcPr>
                <w:p w14:paraId="29CD9479">
                  <w:pPr>
                    <w:spacing w:line="240" w:lineRule="atLeast"/>
                    <w:jc w:val="center"/>
                    <w:rPr>
                      <w:b/>
                      <w:bCs/>
                      <w:sz w:val="20"/>
                      <w:szCs w:val="20"/>
                    </w:rPr>
                  </w:pPr>
                </w:p>
              </w:tc>
              <w:tc>
                <w:tcPr>
                  <w:tcW w:w="509" w:type="pct"/>
                  <w:vMerge w:val="continue"/>
                  <w:vAlign w:val="center"/>
                </w:tcPr>
                <w:p w14:paraId="5D0CF25B">
                  <w:pPr>
                    <w:spacing w:line="240" w:lineRule="atLeast"/>
                    <w:jc w:val="center"/>
                    <w:rPr>
                      <w:b/>
                      <w:bCs/>
                      <w:sz w:val="20"/>
                      <w:szCs w:val="20"/>
                    </w:rPr>
                  </w:pPr>
                </w:p>
              </w:tc>
              <w:tc>
                <w:tcPr>
                  <w:tcW w:w="525" w:type="pct"/>
                  <w:vAlign w:val="center"/>
                </w:tcPr>
                <w:p w14:paraId="047DF239">
                  <w:pPr>
                    <w:spacing w:line="240" w:lineRule="atLeast"/>
                    <w:jc w:val="center"/>
                    <w:rPr>
                      <w:b/>
                      <w:bCs/>
                      <w:sz w:val="20"/>
                      <w:szCs w:val="20"/>
                    </w:rPr>
                  </w:pPr>
                  <w:r>
                    <w:rPr>
                      <w:b/>
                      <w:bCs/>
                      <w:sz w:val="20"/>
                      <w:szCs w:val="20"/>
                    </w:rPr>
                    <w:t>声功率级/dB（A）</w:t>
                  </w:r>
                </w:p>
              </w:tc>
              <w:tc>
                <w:tcPr>
                  <w:tcW w:w="323" w:type="pct"/>
                  <w:vMerge w:val="continue"/>
                  <w:vAlign w:val="center"/>
                </w:tcPr>
                <w:p w14:paraId="1B5F65A7">
                  <w:pPr>
                    <w:spacing w:line="240" w:lineRule="atLeast"/>
                    <w:jc w:val="center"/>
                    <w:rPr>
                      <w:b/>
                      <w:bCs/>
                      <w:sz w:val="20"/>
                      <w:szCs w:val="20"/>
                    </w:rPr>
                  </w:pPr>
                </w:p>
              </w:tc>
              <w:tc>
                <w:tcPr>
                  <w:tcW w:w="264" w:type="pct"/>
                  <w:vAlign w:val="center"/>
                </w:tcPr>
                <w:p w14:paraId="74D1AA1E">
                  <w:pPr>
                    <w:spacing w:line="240" w:lineRule="atLeast"/>
                    <w:jc w:val="center"/>
                    <w:rPr>
                      <w:b/>
                      <w:bCs/>
                      <w:sz w:val="20"/>
                      <w:szCs w:val="20"/>
                    </w:rPr>
                  </w:pPr>
                  <w:r>
                    <w:rPr>
                      <w:b/>
                      <w:bCs/>
                      <w:sz w:val="20"/>
                      <w:szCs w:val="20"/>
                    </w:rPr>
                    <w:t>X</w:t>
                  </w:r>
                </w:p>
              </w:tc>
              <w:tc>
                <w:tcPr>
                  <w:tcW w:w="236" w:type="pct"/>
                  <w:vAlign w:val="center"/>
                </w:tcPr>
                <w:p w14:paraId="39FA0ADB">
                  <w:pPr>
                    <w:spacing w:line="240" w:lineRule="atLeast"/>
                    <w:jc w:val="center"/>
                    <w:rPr>
                      <w:b/>
                      <w:bCs/>
                      <w:sz w:val="20"/>
                      <w:szCs w:val="20"/>
                    </w:rPr>
                  </w:pPr>
                  <w:r>
                    <w:rPr>
                      <w:b/>
                      <w:bCs/>
                      <w:sz w:val="20"/>
                      <w:szCs w:val="20"/>
                    </w:rPr>
                    <w:t>Y</w:t>
                  </w:r>
                </w:p>
              </w:tc>
              <w:tc>
                <w:tcPr>
                  <w:tcW w:w="243" w:type="pct"/>
                  <w:vAlign w:val="center"/>
                </w:tcPr>
                <w:p w14:paraId="2909D84F">
                  <w:pPr>
                    <w:spacing w:line="240" w:lineRule="atLeast"/>
                    <w:jc w:val="center"/>
                    <w:rPr>
                      <w:b/>
                      <w:bCs/>
                      <w:sz w:val="20"/>
                      <w:szCs w:val="20"/>
                    </w:rPr>
                  </w:pPr>
                  <w:r>
                    <w:rPr>
                      <w:b/>
                      <w:bCs/>
                      <w:sz w:val="20"/>
                      <w:szCs w:val="20"/>
                    </w:rPr>
                    <w:t>Z</w:t>
                  </w:r>
                </w:p>
              </w:tc>
              <w:tc>
                <w:tcPr>
                  <w:tcW w:w="329" w:type="pct"/>
                  <w:vAlign w:val="center"/>
                </w:tcPr>
                <w:p w14:paraId="51966D53">
                  <w:pPr>
                    <w:spacing w:line="240" w:lineRule="atLeast"/>
                    <w:jc w:val="center"/>
                    <w:rPr>
                      <w:b/>
                      <w:bCs/>
                      <w:sz w:val="20"/>
                      <w:szCs w:val="20"/>
                    </w:rPr>
                  </w:pPr>
                  <w:r>
                    <w:rPr>
                      <w:b/>
                      <w:bCs/>
                      <w:sz w:val="20"/>
                      <w:szCs w:val="20"/>
                    </w:rPr>
                    <w:t>方向</w:t>
                  </w:r>
                </w:p>
              </w:tc>
              <w:tc>
                <w:tcPr>
                  <w:tcW w:w="352" w:type="pct"/>
                  <w:vAlign w:val="center"/>
                </w:tcPr>
                <w:p w14:paraId="18FAE277">
                  <w:pPr>
                    <w:spacing w:line="240" w:lineRule="atLeast"/>
                    <w:jc w:val="center"/>
                    <w:rPr>
                      <w:b/>
                      <w:bCs/>
                      <w:sz w:val="20"/>
                      <w:szCs w:val="20"/>
                    </w:rPr>
                  </w:pPr>
                  <w:r>
                    <w:rPr>
                      <w:b/>
                      <w:bCs/>
                      <w:sz w:val="20"/>
                      <w:szCs w:val="20"/>
                    </w:rPr>
                    <w:t>距离</w:t>
                  </w:r>
                  <w:r>
                    <w:rPr>
                      <w:rFonts w:hint="eastAsia"/>
                      <w:b/>
                      <w:bCs/>
                      <w:sz w:val="20"/>
                      <w:szCs w:val="20"/>
                    </w:rPr>
                    <w:t>（m）</w:t>
                  </w:r>
                </w:p>
              </w:tc>
              <w:tc>
                <w:tcPr>
                  <w:tcW w:w="426" w:type="pct"/>
                  <w:vMerge w:val="continue"/>
                  <w:vAlign w:val="center"/>
                </w:tcPr>
                <w:p w14:paraId="32A49959">
                  <w:pPr>
                    <w:spacing w:line="240" w:lineRule="atLeast"/>
                    <w:jc w:val="center"/>
                    <w:rPr>
                      <w:b/>
                      <w:bCs/>
                      <w:sz w:val="20"/>
                      <w:szCs w:val="20"/>
                    </w:rPr>
                  </w:pPr>
                </w:p>
              </w:tc>
              <w:tc>
                <w:tcPr>
                  <w:tcW w:w="207" w:type="pct"/>
                  <w:vMerge w:val="continue"/>
                  <w:vAlign w:val="center"/>
                </w:tcPr>
                <w:p w14:paraId="4AFBD47F">
                  <w:pPr>
                    <w:spacing w:line="240" w:lineRule="atLeast"/>
                    <w:jc w:val="center"/>
                    <w:rPr>
                      <w:b/>
                      <w:bCs/>
                      <w:sz w:val="20"/>
                      <w:szCs w:val="20"/>
                    </w:rPr>
                  </w:pPr>
                </w:p>
              </w:tc>
              <w:tc>
                <w:tcPr>
                  <w:tcW w:w="428" w:type="pct"/>
                  <w:vMerge w:val="continue"/>
                  <w:vAlign w:val="center"/>
                </w:tcPr>
                <w:p w14:paraId="136AA275">
                  <w:pPr>
                    <w:spacing w:line="240" w:lineRule="atLeast"/>
                    <w:jc w:val="center"/>
                    <w:rPr>
                      <w:b/>
                      <w:bCs/>
                      <w:sz w:val="20"/>
                      <w:szCs w:val="20"/>
                    </w:rPr>
                  </w:pPr>
                </w:p>
              </w:tc>
              <w:tc>
                <w:tcPr>
                  <w:tcW w:w="334" w:type="pct"/>
                  <w:vAlign w:val="center"/>
                </w:tcPr>
                <w:p w14:paraId="1ACD7067">
                  <w:pPr>
                    <w:spacing w:line="240" w:lineRule="atLeast"/>
                    <w:jc w:val="center"/>
                    <w:rPr>
                      <w:b/>
                      <w:bCs/>
                      <w:sz w:val="20"/>
                      <w:szCs w:val="20"/>
                    </w:rPr>
                  </w:pPr>
                  <w:r>
                    <w:rPr>
                      <w:b/>
                      <w:bCs/>
                      <w:sz w:val="20"/>
                      <w:szCs w:val="20"/>
                    </w:rPr>
                    <w:t>声压级/dB（A）</w:t>
                  </w:r>
                </w:p>
              </w:tc>
              <w:tc>
                <w:tcPr>
                  <w:tcW w:w="491" w:type="pct"/>
                  <w:vAlign w:val="center"/>
                </w:tcPr>
                <w:p w14:paraId="319EE041">
                  <w:pPr>
                    <w:spacing w:line="240" w:lineRule="atLeast"/>
                    <w:jc w:val="center"/>
                    <w:rPr>
                      <w:b/>
                      <w:bCs/>
                      <w:sz w:val="20"/>
                      <w:szCs w:val="20"/>
                    </w:rPr>
                  </w:pPr>
                  <w:r>
                    <w:rPr>
                      <w:b/>
                      <w:bCs/>
                      <w:sz w:val="20"/>
                      <w:szCs w:val="20"/>
                    </w:rPr>
                    <w:t>建筑物外距离</w:t>
                  </w:r>
                </w:p>
              </w:tc>
            </w:tr>
            <w:tr w14:paraId="6F4D5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restart"/>
                  <w:vAlign w:val="center"/>
                </w:tcPr>
                <w:p w14:paraId="12809C68">
                  <w:pPr>
                    <w:spacing w:line="240" w:lineRule="atLeast"/>
                    <w:jc w:val="center"/>
                    <w:rPr>
                      <w:sz w:val="20"/>
                      <w:szCs w:val="20"/>
                    </w:rPr>
                  </w:pPr>
                  <w:r>
                    <w:rPr>
                      <w:rFonts w:hint="eastAsia"/>
                      <w:sz w:val="20"/>
                      <w:szCs w:val="20"/>
                    </w:rPr>
                    <w:t>1</w:t>
                  </w:r>
                </w:p>
              </w:tc>
              <w:tc>
                <w:tcPr>
                  <w:tcW w:w="247" w:type="pct"/>
                  <w:vMerge w:val="restart"/>
                  <w:vAlign w:val="center"/>
                </w:tcPr>
                <w:p w14:paraId="21DA46CE">
                  <w:pPr>
                    <w:spacing w:line="240" w:lineRule="atLeast"/>
                    <w:jc w:val="center"/>
                    <w:rPr>
                      <w:sz w:val="20"/>
                      <w:szCs w:val="20"/>
                    </w:rPr>
                  </w:pPr>
                  <w:r>
                    <w:rPr>
                      <w:rFonts w:hint="eastAsia"/>
                      <w:sz w:val="20"/>
                      <w:szCs w:val="20"/>
                    </w:rPr>
                    <w:t>生产车间</w:t>
                  </w:r>
                </w:p>
              </w:tc>
              <w:tc>
                <w:tcPr>
                  <w:tcW w:w="509" w:type="pct"/>
                  <w:vMerge w:val="restart"/>
                  <w:vAlign w:val="center"/>
                </w:tcPr>
                <w:p w14:paraId="23524521">
                  <w:pPr>
                    <w:spacing w:line="240" w:lineRule="atLeast"/>
                    <w:jc w:val="center"/>
                    <w:rPr>
                      <w:rFonts w:hint="default" w:eastAsia="仿宋"/>
                      <w:sz w:val="20"/>
                      <w:szCs w:val="20"/>
                      <w:lang w:val="en-US" w:eastAsia="zh-CN"/>
                    </w:rPr>
                  </w:pPr>
                  <w:r>
                    <w:rPr>
                      <w:rFonts w:hint="eastAsia"/>
                      <w:sz w:val="20"/>
                      <w:szCs w:val="20"/>
                      <w:lang w:val="en-US" w:eastAsia="zh-CN"/>
                    </w:rPr>
                    <w:t>天然气熔化炉</w:t>
                  </w:r>
                </w:p>
                <w:p w14:paraId="65378E68">
                  <w:pPr>
                    <w:spacing w:line="240" w:lineRule="atLeast"/>
                    <w:jc w:val="center"/>
                    <w:rPr>
                      <w:sz w:val="20"/>
                      <w:szCs w:val="20"/>
                    </w:rPr>
                  </w:pPr>
                  <w:r>
                    <w:rPr>
                      <w:rFonts w:hint="eastAsia"/>
                      <w:sz w:val="20"/>
                      <w:szCs w:val="20"/>
                    </w:rPr>
                    <w:t>（</w:t>
                  </w:r>
                  <w:r>
                    <w:rPr>
                      <w:rFonts w:hint="eastAsia"/>
                      <w:sz w:val="20"/>
                      <w:szCs w:val="20"/>
                      <w:lang w:val="en-US" w:eastAsia="zh-CN"/>
                    </w:rPr>
                    <w:t>10</w:t>
                  </w:r>
                  <w:r>
                    <w:rPr>
                      <w:rFonts w:hint="eastAsia"/>
                      <w:sz w:val="20"/>
                      <w:szCs w:val="20"/>
                    </w:rPr>
                    <w:t>台）</w:t>
                  </w:r>
                </w:p>
              </w:tc>
              <w:tc>
                <w:tcPr>
                  <w:tcW w:w="525" w:type="pct"/>
                  <w:vMerge w:val="restart"/>
                  <w:vAlign w:val="center"/>
                </w:tcPr>
                <w:p w14:paraId="669466C2">
                  <w:pPr>
                    <w:spacing w:line="240" w:lineRule="atLeast"/>
                    <w:jc w:val="center"/>
                    <w:rPr>
                      <w:rFonts w:hint="default" w:eastAsia="仿宋"/>
                      <w:sz w:val="20"/>
                      <w:szCs w:val="20"/>
                      <w:lang w:val="en-US" w:eastAsia="zh-CN"/>
                    </w:rPr>
                  </w:pPr>
                  <w:r>
                    <w:rPr>
                      <w:rFonts w:hint="eastAsia"/>
                      <w:sz w:val="20"/>
                      <w:szCs w:val="20"/>
                      <w:lang w:val="en-US" w:eastAsia="zh-CN"/>
                    </w:rPr>
                    <w:t>70</w:t>
                  </w:r>
                </w:p>
              </w:tc>
              <w:tc>
                <w:tcPr>
                  <w:tcW w:w="323" w:type="pct"/>
                  <w:vMerge w:val="restart"/>
                  <w:vAlign w:val="center"/>
                </w:tcPr>
                <w:p w14:paraId="06F88D18">
                  <w:pPr>
                    <w:spacing w:line="240" w:lineRule="atLeast"/>
                    <w:jc w:val="center"/>
                    <w:rPr>
                      <w:sz w:val="20"/>
                      <w:szCs w:val="20"/>
                    </w:rPr>
                  </w:pPr>
                  <w:r>
                    <w:rPr>
                      <w:sz w:val="20"/>
                      <w:szCs w:val="20"/>
                    </w:rPr>
                    <w:t>设备基础减震、软连接、隔声罩</w:t>
                  </w:r>
                </w:p>
              </w:tc>
              <w:tc>
                <w:tcPr>
                  <w:tcW w:w="264" w:type="pct"/>
                  <w:vMerge w:val="restart"/>
                  <w:vAlign w:val="center"/>
                </w:tcPr>
                <w:p w14:paraId="610D23FC">
                  <w:pPr>
                    <w:spacing w:line="240" w:lineRule="atLeast"/>
                    <w:jc w:val="center"/>
                    <w:rPr>
                      <w:sz w:val="20"/>
                      <w:szCs w:val="20"/>
                    </w:rPr>
                  </w:pPr>
                  <w:r>
                    <w:rPr>
                      <w:rFonts w:hint="default"/>
                      <w:sz w:val="20"/>
                      <w:szCs w:val="20"/>
                      <w:lang w:val="en-US" w:eastAsia="zh-CN"/>
                    </w:rPr>
                    <w:t>23.6</w:t>
                  </w:r>
                </w:p>
              </w:tc>
              <w:tc>
                <w:tcPr>
                  <w:tcW w:w="236" w:type="pct"/>
                  <w:vMerge w:val="restart"/>
                  <w:vAlign w:val="center"/>
                </w:tcPr>
                <w:p w14:paraId="7CA5029B">
                  <w:pPr>
                    <w:spacing w:line="240" w:lineRule="atLeast"/>
                    <w:jc w:val="center"/>
                    <w:rPr>
                      <w:sz w:val="20"/>
                      <w:szCs w:val="20"/>
                    </w:rPr>
                  </w:pPr>
                  <w:r>
                    <w:rPr>
                      <w:rFonts w:hint="default"/>
                      <w:sz w:val="20"/>
                      <w:szCs w:val="20"/>
                      <w:lang w:val="en-US" w:eastAsia="zh-CN"/>
                    </w:rPr>
                    <w:t>8.89</w:t>
                  </w:r>
                </w:p>
              </w:tc>
              <w:tc>
                <w:tcPr>
                  <w:tcW w:w="243" w:type="pct"/>
                  <w:vMerge w:val="restart"/>
                  <w:vAlign w:val="center"/>
                </w:tcPr>
                <w:p w14:paraId="70A5EDF7">
                  <w:pPr>
                    <w:spacing w:line="240" w:lineRule="atLeast"/>
                    <w:jc w:val="center"/>
                    <w:rPr>
                      <w:sz w:val="20"/>
                      <w:szCs w:val="20"/>
                    </w:rPr>
                  </w:pPr>
                  <w:r>
                    <w:rPr>
                      <w:rFonts w:hint="eastAsia"/>
                      <w:sz w:val="20"/>
                      <w:szCs w:val="20"/>
                    </w:rPr>
                    <w:t>1.5</w:t>
                  </w:r>
                </w:p>
              </w:tc>
              <w:tc>
                <w:tcPr>
                  <w:tcW w:w="329" w:type="pct"/>
                  <w:vAlign w:val="center"/>
                </w:tcPr>
                <w:p w14:paraId="054E7FD4">
                  <w:pPr>
                    <w:spacing w:line="240" w:lineRule="atLeast"/>
                    <w:jc w:val="center"/>
                    <w:rPr>
                      <w:sz w:val="20"/>
                      <w:szCs w:val="20"/>
                    </w:rPr>
                  </w:pPr>
                  <w:r>
                    <w:rPr>
                      <w:sz w:val="20"/>
                      <w:szCs w:val="20"/>
                    </w:rPr>
                    <w:t>东</w:t>
                  </w:r>
                </w:p>
              </w:tc>
              <w:tc>
                <w:tcPr>
                  <w:tcW w:w="884" w:type="dxa"/>
                  <w:vAlign w:val="center"/>
                </w:tcPr>
                <w:p w14:paraId="70D1E267">
                  <w:pPr>
                    <w:spacing w:line="240" w:lineRule="atLeast"/>
                    <w:jc w:val="center"/>
                    <w:rPr>
                      <w:rFonts w:hint="default"/>
                      <w:sz w:val="20"/>
                      <w:szCs w:val="20"/>
                      <w:lang w:val="en-US" w:eastAsia="zh-CN"/>
                    </w:rPr>
                  </w:pPr>
                  <w:r>
                    <w:rPr>
                      <w:rFonts w:hint="default"/>
                      <w:sz w:val="20"/>
                      <w:szCs w:val="20"/>
                      <w:lang w:val="en-US" w:eastAsia="zh-CN"/>
                    </w:rPr>
                    <w:t>80.4</w:t>
                  </w:r>
                </w:p>
              </w:tc>
              <w:tc>
                <w:tcPr>
                  <w:tcW w:w="1070" w:type="dxa"/>
                  <w:vAlign w:val="center"/>
                </w:tcPr>
                <w:p w14:paraId="1B261C7E">
                  <w:pPr>
                    <w:spacing w:line="240" w:lineRule="atLeast"/>
                    <w:jc w:val="center"/>
                    <w:rPr>
                      <w:rFonts w:hint="default"/>
                      <w:sz w:val="20"/>
                      <w:szCs w:val="20"/>
                      <w:lang w:val="en-US" w:eastAsia="zh-CN"/>
                    </w:rPr>
                  </w:pPr>
                  <w:r>
                    <w:rPr>
                      <w:rFonts w:hint="default"/>
                      <w:sz w:val="20"/>
                      <w:szCs w:val="20"/>
                      <w:lang w:val="en-US" w:eastAsia="zh-CN"/>
                    </w:rPr>
                    <w:t xml:space="preserve">54.3 </w:t>
                  </w:r>
                </w:p>
              </w:tc>
              <w:tc>
                <w:tcPr>
                  <w:tcW w:w="207" w:type="pct"/>
                  <w:vMerge w:val="restart"/>
                  <w:vAlign w:val="center"/>
                </w:tcPr>
                <w:p w14:paraId="15817F89">
                  <w:pPr>
                    <w:spacing w:line="240" w:lineRule="atLeast"/>
                    <w:jc w:val="center"/>
                    <w:rPr>
                      <w:sz w:val="20"/>
                      <w:szCs w:val="20"/>
                    </w:rPr>
                  </w:pPr>
                  <w:r>
                    <w:rPr>
                      <w:rFonts w:hint="eastAsia"/>
                      <w:sz w:val="20"/>
                      <w:szCs w:val="20"/>
                    </w:rPr>
                    <w:t>每天</w:t>
                  </w:r>
                  <w:r>
                    <w:rPr>
                      <w:rFonts w:hint="eastAsia"/>
                      <w:sz w:val="20"/>
                      <w:szCs w:val="20"/>
                      <w:lang w:val="en-US" w:eastAsia="zh-CN"/>
                    </w:rPr>
                    <w:t>24</w:t>
                  </w:r>
                  <w:r>
                    <w:rPr>
                      <w:rFonts w:hint="eastAsia"/>
                      <w:sz w:val="20"/>
                      <w:szCs w:val="20"/>
                    </w:rPr>
                    <w:t>小时</w:t>
                  </w:r>
                </w:p>
              </w:tc>
              <w:tc>
                <w:tcPr>
                  <w:tcW w:w="428" w:type="pct"/>
                  <w:vMerge w:val="restart"/>
                  <w:vAlign w:val="center"/>
                </w:tcPr>
                <w:p w14:paraId="5EB5BB49">
                  <w:pPr>
                    <w:spacing w:line="240" w:lineRule="atLeast"/>
                    <w:jc w:val="center"/>
                    <w:rPr>
                      <w:sz w:val="20"/>
                      <w:szCs w:val="20"/>
                    </w:rPr>
                  </w:pPr>
                  <w:r>
                    <w:rPr>
                      <w:rFonts w:hint="eastAsia"/>
                      <w:sz w:val="20"/>
                      <w:szCs w:val="20"/>
                    </w:rPr>
                    <w:t>20</w:t>
                  </w:r>
                </w:p>
              </w:tc>
              <w:tc>
                <w:tcPr>
                  <w:tcW w:w="839" w:type="dxa"/>
                  <w:vAlign w:val="center"/>
                </w:tcPr>
                <w:p w14:paraId="6F8AD68C">
                  <w:pPr>
                    <w:spacing w:line="240" w:lineRule="atLeast"/>
                    <w:jc w:val="center"/>
                    <w:rPr>
                      <w:rFonts w:hint="default"/>
                      <w:sz w:val="20"/>
                      <w:szCs w:val="20"/>
                      <w:lang w:val="en-US" w:eastAsia="zh-CN"/>
                    </w:rPr>
                  </w:pPr>
                  <w:r>
                    <w:rPr>
                      <w:rFonts w:hint="default"/>
                      <w:sz w:val="20"/>
                      <w:szCs w:val="20"/>
                      <w:lang w:val="en-US" w:eastAsia="zh-CN"/>
                    </w:rPr>
                    <w:t xml:space="preserve">23.3 </w:t>
                  </w:r>
                </w:p>
              </w:tc>
              <w:tc>
                <w:tcPr>
                  <w:tcW w:w="491" w:type="pct"/>
                  <w:vAlign w:val="center"/>
                </w:tcPr>
                <w:p w14:paraId="5ECC6ED1">
                  <w:pPr>
                    <w:spacing w:line="240" w:lineRule="atLeast"/>
                    <w:jc w:val="center"/>
                    <w:rPr>
                      <w:rFonts w:hint="eastAsia" w:eastAsia="仿宋"/>
                      <w:sz w:val="20"/>
                      <w:szCs w:val="20"/>
                      <w:lang w:eastAsia="zh-CN"/>
                    </w:rPr>
                  </w:pPr>
                  <w:r>
                    <w:rPr>
                      <w:rFonts w:hint="eastAsia"/>
                      <w:sz w:val="20"/>
                      <w:szCs w:val="20"/>
                      <w:lang w:val="en-US" w:eastAsia="zh-CN"/>
                    </w:rPr>
                    <w:t>1</w:t>
                  </w:r>
                </w:p>
              </w:tc>
            </w:tr>
            <w:tr w14:paraId="50444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continue"/>
                  <w:vAlign w:val="center"/>
                </w:tcPr>
                <w:p w14:paraId="704EB03B">
                  <w:pPr>
                    <w:spacing w:line="240" w:lineRule="atLeast"/>
                    <w:jc w:val="center"/>
                    <w:rPr>
                      <w:sz w:val="20"/>
                      <w:szCs w:val="20"/>
                    </w:rPr>
                  </w:pPr>
                </w:p>
              </w:tc>
              <w:tc>
                <w:tcPr>
                  <w:tcW w:w="247" w:type="pct"/>
                  <w:vMerge w:val="continue"/>
                  <w:vAlign w:val="center"/>
                </w:tcPr>
                <w:p w14:paraId="2ED5A4B1">
                  <w:pPr>
                    <w:spacing w:line="240" w:lineRule="atLeast"/>
                    <w:jc w:val="center"/>
                    <w:rPr>
                      <w:b/>
                      <w:bCs/>
                      <w:sz w:val="20"/>
                      <w:szCs w:val="20"/>
                    </w:rPr>
                  </w:pPr>
                </w:p>
              </w:tc>
              <w:tc>
                <w:tcPr>
                  <w:tcW w:w="509" w:type="pct"/>
                  <w:vMerge w:val="continue"/>
                  <w:vAlign w:val="center"/>
                </w:tcPr>
                <w:p w14:paraId="1955F432">
                  <w:pPr>
                    <w:spacing w:line="240" w:lineRule="atLeast"/>
                    <w:jc w:val="center"/>
                    <w:rPr>
                      <w:sz w:val="20"/>
                      <w:szCs w:val="20"/>
                    </w:rPr>
                  </w:pPr>
                </w:p>
              </w:tc>
              <w:tc>
                <w:tcPr>
                  <w:tcW w:w="525" w:type="pct"/>
                  <w:vMerge w:val="continue"/>
                  <w:vAlign w:val="center"/>
                </w:tcPr>
                <w:p w14:paraId="14F83C2F">
                  <w:pPr>
                    <w:spacing w:line="240" w:lineRule="atLeast"/>
                    <w:jc w:val="center"/>
                    <w:rPr>
                      <w:sz w:val="20"/>
                      <w:szCs w:val="20"/>
                    </w:rPr>
                  </w:pPr>
                </w:p>
              </w:tc>
              <w:tc>
                <w:tcPr>
                  <w:tcW w:w="323" w:type="pct"/>
                  <w:vMerge w:val="continue"/>
                  <w:vAlign w:val="center"/>
                </w:tcPr>
                <w:p w14:paraId="480B34E8">
                  <w:pPr>
                    <w:spacing w:line="240" w:lineRule="atLeast"/>
                    <w:jc w:val="center"/>
                    <w:rPr>
                      <w:sz w:val="20"/>
                      <w:szCs w:val="20"/>
                    </w:rPr>
                  </w:pPr>
                </w:p>
              </w:tc>
              <w:tc>
                <w:tcPr>
                  <w:tcW w:w="264" w:type="pct"/>
                  <w:vMerge w:val="continue"/>
                  <w:vAlign w:val="center"/>
                </w:tcPr>
                <w:p w14:paraId="226A5AD1">
                  <w:pPr>
                    <w:spacing w:line="240" w:lineRule="atLeast"/>
                    <w:jc w:val="center"/>
                    <w:rPr>
                      <w:sz w:val="20"/>
                      <w:szCs w:val="20"/>
                    </w:rPr>
                  </w:pPr>
                </w:p>
              </w:tc>
              <w:tc>
                <w:tcPr>
                  <w:tcW w:w="236" w:type="pct"/>
                  <w:vMerge w:val="continue"/>
                  <w:vAlign w:val="center"/>
                </w:tcPr>
                <w:p w14:paraId="060F3373">
                  <w:pPr>
                    <w:spacing w:line="240" w:lineRule="atLeast"/>
                    <w:jc w:val="center"/>
                    <w:rPr>
                      <w:sz w:val="20"/>
                      <w:szCs w:val="20"/>
                    </w:rPr>
                  </w:pPr>
                </w:p>
              </w:tc>
              <w:tc>
                <w:tcPr>
                  <w:tcW w:w="243" w:type="pct"/>
                  <w:vMerge w:val="continue"/>
                  <w:vAlign w:val="center"/>
                </w:tcPr>
                <w:p w14:paraId="736DAA1F">
                  <w:pPr>
                    <w:spacing w:line="240" w:lineRule="atLeast"/>
                    <w:jc w:val="center"/>
                    <w:rPr>
                      <w:sz w:val="20"/>
                      <w:szCs w:val="20"/>
                    </w:rPr>
                  </w:pPr>
                </w:p>
              </w:tc>
              <w:tc>
                <w:tcPr>
                  <w:tcW w:w="329" w:type="pct"/>
                  <w:vAlign w:val="center"/>
                </w:tcPr>
                <w:p w14:paraId="264A1146">
                  <w:pPr>
                    <w:spacing w:line="240" w:lineRule="atLeast"/>
                    <w:jc w:val="center"/>
                    <w:rPr>
                      <w:sz w:val="20"/>
                      <w:szCs w:val="20"/>
                    </w:rPr>
                  </w:pPr>
                  <w:r>
                    <w:rPr>
                      <w:sz w:val="20"/>
                      <w:szCs w:val="20"/>
                    </w:rPr>
                    <w:t>南</w:t>
                  </w:r>
                </w:p>
              </w:tc>
              <w:tc>
                <w:tcPr>
                  <w:tcW w:w="884" w:type="dxa"/>
                  <w:vAlign w:val="center"/>
                </w:tcPr>
                <w:p w14:paraId="7B7A7EC4">
                  <w:pPr>
                    <w:spacing w:line="240" w:lineRule="atLeast"/>
                    <w:jc w:val="center"/>
                    <w:rPr>
                      <w:rFonts w:hint="default"/>
                      <w:sz w:val="20"/>
                      <w:szCs w:val="20"/>
                      <w:lang w:val="en-US" w:eastAsia="zh-CN"/>
                    </w:rPr>
                  </w:pPr>
                  <w:r>
                    <w:rPr>
                      <w:rFonts w:hint="default"/>
                      <w:sz w:val="20"/>
                      <w:szCs w:val="20"/>
                      <w:lang w:val="en-US" w:eastAsia="zh-CN"/>
                    </w:rPr>
                    <w:t>8.89</w:t>
                  </w:r>
                </w:p>
              </w:tc>
              <w:tc>
                <w:tcPr>
                  <w:tcW w:w="1070" w:type="dxa"/>
                  <w:vAlign w:val="center"/>
                </w:tcPr>
                <w:p w14:paraId="22740719">
                  <w:pPr>
                    <w:spacing w:line="240" w:lineRule="atLeast"/>
                    <w:jc w:val="center"/>
                    <w:rPr>
                      <w:rFonts w:hint="default"/>
                      <w:sz w:val="20"/>
                      <w:szCs w:val="20"/>
                      <w:lang w:val="en-US" w:eastAsia="zh-CN"/>
                    </w:rPr>
                  </w:pPr>
                  <w:r>
                    <w:rPr>
                      <w:rFonts w:hint="default"/>
                      <w:sz w:val="20"/>
                      <w:szCs w:val="20"/>
                      <w:lang w:val="en-US" w:eastAsia="zh-CN"/>
                    </w:rPr>
                    <w:t xml:space="preserve">60.3 </w:t>
                  </w:r>
                </w:p>
              </w:tc>
              <w:tc>
                <w:tcPr>
                  <w:tcW w:w="207" w:type="pct"/>
                  <w:vMerge w:val="continue"/>
                  <w:vAlign w:val="center"/>
                </w:tcPr>
                <w:p w14:paraId="6C4B6944">
                  <w:pPr>
                    <w:spacing w:line="240" w:lineRule="atLeast"/>
                    <w:jc w:val="center"/>
                    <w:rPr>
                      <w:sz w:val="20"/>
                      <w:szCs w:val="20"/>
                    </w:rPr>
                  </w:pPr>
                </w:p>
              </w:tc>
              <w:tc>
                <w:tcPr>
                  <w:tcW w:w="428" w:type="pct"/>
                  <w:vMerge w:val="continue"/>
                  <w:vAlign w:val="center"/>
                </w:tcPr>
                <w:p w14:paraId="0B8C86EC">
                  <w:pPr>
                    <w:spacing w:line="240" w:lineRule="atLeast"/>
                    <w:jc w:val="center"/>
                    <w:rPr>
                      <w:sz w:val="20"/>
                      <w:szCs w:val="20"/>
                    </w:rPr>
                  </w:pPr>
                </w:p>
              </w:tc>
              <w:tc>
                <w:tcPr>
                  <w:tcW w:w="839" w:type="dxa"/>
                  <w:vAlign w:val="center"/>
                </w:tcPr>
                <w:p w14:paraId="67FA4E64">
                  <w:pPr>
                    <w:spacing w:line="240" w:lineRule="atLeast"/>
                    <w:jc w:val="center"/>
                    <w:rPr>
                      <w:rFonts w:hint="default"/>
                      <w:sz w:val="20"/>
                      <w:szCs w:val="20"/>
                      <w:lang w:val="en-US" w:eastAsia="zh-CN"/>
                    </w:rPr>
                  </w:pPr>
                  <w:r>
                    <w:rPr>
                      <w:rFonts w:hint="default"/>
                      <w:sz w:val="20"/>
                      <w:szCs w:val="20"/>
                      <w:lang w:val="en-US" w:eastAsia="zh-CN"/>
                    </w:rPr>
                    <w:t xml:space="preserve">29.3 </w:t>
                  </w:r>
                </w:p>
              </w:tc>
              <w:tc>
                <w:tcPr>
                  <w:tcW w:w="491" w:type="pct"/>
                  <w:vAlign w:val="center"/>
                </w:tcPr>
                <w:p w14:paraId="0E0EFFB3">
                  <w:pPr>
                    <w:spacing w:line="240" w:lineRule="atLeast"/>
                    <w:jc w:val="center"/>
                    <w:rPr>
                      <w:sz w:val="20"/>
                      <w:szCs w:val="20"/>
                    </w:rPr>
                  </w:pPr>
                  <w:r>
                    <w:rPr>
                      <w:rFonts w:hint="eastAsia"/>
                      <w:sz w:val="20"/>
                      <w:szCs w:val="20"/>
                      <w:lang w:val="en-US" w:eastAsia="zh-CN"/>
                    </w:rPr>
                    <w:t>1</w:t>
                  </w:r>
                </w:p>
              </w:tc>
            </w:tr>
            <w:tr w14:paraId="5B952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continue"/>
                  <w:vAlign w:val="center"/>
                </w:tcPr>
                <w:p w14:paraId="5C81B926">
                  <w:pPr>
                    <w:spacing w:line="240" w:lineRule="atLeast"/>
                    <w:jc w:val="center"/>
                    <w:rPr>
                      <w:sz w:val="20"/>
                      <w:szCs w:val="20"/>
                    </w:rPr>
                  </w:pPr>
                </w:p>
              </w:tc>
              <w:tc>
                <w:tcPr>
                  <w:tcW w:w="247" w:type="pct"/>
                  <w:vMerge w:val="continue"/>
                  <w:vAlign w:val="center"/>
                </w:tcPr>
                <w:p w14:paraId="614443E2">
                  <w:pPr>
                    <w:spacing w:line="240" w:lineRule="atLeast"/>
                    <w:jc w:val="center"/>
                    <w:rPr>
                      <w:b/>
                      <w:bCs/>
                      <w:sz w:val="20"/>
                      <w:szCs w:val="20"/>
                    </w:rPr>
                  </w:pPr>
                </w:p>
              </w:tc>
              <w:tc>
                <w:tcPr>
                  <w:tcW w:w="509" w:type="pct"/>
                  <w:vMerge w:val="continue"/>
                  <w:vAlign w:val="center"/>
                </w:tcPr>
                <w:p w14:paraId="1DC95771">
                  <w:pPr>
                    <w:spacing w:line="240" w:lineRule="atLeast"/>
                    <w:jc w:val="center"/>
                    <w:rPr>
                      <w:sz w:val="20"/>
                      <w:szCs w:val="20"/>
                    </w:rPr>
                  </w:pPr>
                </w:p>
              </w:tc>
              <w:tc>
                <w:tcPr>
                  <w:tcW w:w="525" w:type="pct"/>
                  <w:vMerge w:val="continue"/>
                  <w:vAlign w:val="center"/>
                </w:tcPr>
                <w:p w14:paraId="21F2E846">
                  <w:pPr>
                    <w:spacing w:line="240" w:lineRule="atLeast"/>
                    <w:jc w:val="center"/>
                    <w:rPr>
                      <w:sz w:val="20"/>
                      <w:szCs w:val="20"/>
                    </w:rPr>
                  </w:pPr>
                </w:p>
              </w:tc>
              <w:tc>
                <w:tcPr>
                  <w:tcW w:w="323" w:type="pct"/>
                  <w:vMerge w:val="continue"/>
                  <w:vAlign w:val="center"/>
                </w:tcPr>
                <w:p w14:paraId="7D2B4174">
                  <w:pPr>
                    <w:spacing w:line="240" w:lineRule="atLeast"/>
                    <w:jc w:val="center"/>
                    <w:rPr>
                      <w:sz w:val="20"/>
                      <w:szCs w:val="20"/>
                    </w:rPr>
                  </w:pPr>
                </w:p>
              </w:tc>
              <w:tc>
                <w:tcPr>
                  <w:tcW w:w="264" w:type="pct"/>
                  <w:vMerge w:val="continue"/>
                  <w:vAlign w:val="center"/>
                </w:tcPr>
                <w:p w14:paraId="011A7574">
                  <w:pPr>
                    <w:spacing w:line="240" w:lineRule="atLeast"/>
                    <w:jc w:val="center"/>
                    <w:rPr>
                      <w:sz w:val="20"/>
                      <w:szCs w:val="20"/>
                    </w:rPr>
                  </w:pPr>
                </w:p>
              </w:tc>
              <w:tc>
                <w:tcPr>
                  <w:tcW w:w="236" w:type="pct"/>
                  <w:vMerge w:val="continue"/>
                  <w:vAlign w:val="center"/>
                </w:tcPr>
                <w:p w14:paraId="4C8C1739">
                  <w:pPr>
                    <w:spacing w:line="240" w:lineRule="atLeast"/>
                    <w:jc w:val="center"/>
                    <w:rPr>
                      <w:sz w:val="20"/>
                      <w:szCs w:val="20"/>
                    </w:rPr>
                  </w:pPr>
                </w:p>
              </w:tc>
              <w:tc>
                <w:tcPr>
                  <w:tcW w:w="243" w:type="pct"/>
                  <w:vMerge w:val="continue"/>
                  <w:vAlign w:val="center"/>
                </w:tcPr>
                <w:p w14:paraId="4288F47F">
                  <w:pPr>
                    <w:spacing w:line="240" w:lineRule="atLeast"/>
                    <w:jc w:val="center"/>
                    <w:rPr>
                      <w:sz w:val="20"/>
                      <w:szCs w:val="20"/>
                    </w:rPr>
                  </w:pPr>
                </w:p>
              </w:tc>
              <w:tc>
                <w:tcPr>
                  <w:tcW w:w="329" w:type="pct"/>
                  <w:vAlign w:val="center"/>
                </w:tcPr>
                <w:p w14:paraId="2B656296">
                  <w:pPr>
                    <w:spacing w:line="240" w:lineRule="atLeast"/>
                    <w:jc w:val="center"/>
                    <w:rPr>
                      <w:sz w:val="20"/>
                      <w:szCs w:val="20"/>
                    </w:rPr>
                  </w:pPr>
                  <w:r>
                    <w:rPr>
                      <w:sz w:val="20"/>
                      <w:szCs w:val="20"/>
                    </w:rPr>
                    <w:t>西</w:t>
                  </w:r>
                </w:p>
              </w:tc>
              <w:tc>
                <w:tcPr>
                  <w:tcW w:w="884" w:type="dxa"/>
                  <w:vAlign w:val="center"/>
                </w:tcPr>
                <w:p w14:paraId="023C8ACA">
                  <w:pPr>
                    <w:spacing w:line="240" w:lineRule="atLeast"/>
                    <w:jc w:val="center"/>
                    <w:rPr>
                      <w:rFonts w:hint="default"/>
                      <w:sz w:val="20"/>
                      <w:szCs w:val="20"/>
                      <w:lang w:val="en-US" w:eastAsia="zh-CN"/>
                    </w:rPr>
                  </w:pPr>
                  <w:r>
                    <w:rPr>
                      <w:rFonts w:hint="default"/>
                      <w:sz w:val="20"/>
                      <w:szCs w:val="20"/>
                      <w:lang w:val="en-US" w:eastAsia="zh-CN"/>
                    </w:rPr>
                    <w:t>23.6</w:t>
                  </w:r>
                </w:p>
              </w:tc>
              <w:tc>
                <w:tcPr>
                  <w:tcW w:w="1070" w:type="dxa"/>
                  <w:vAlign w:val="center"/>
                </w:tcPr>
                <w:p w14:paraId="17DECC03">
                  <w:pPr>
                    <w:spacing w:line="240" w:lineRule="atLeast"/>
                    <w:jc w:val="center"/>
                    <w:rPr>
                      <w:rFonts w:hint="default"/>
                      <w:sz w:val="20"/>
                      <w:szCs w:val="20"/>
                      <w:lang w:val="en-US" w:eastAsia="zh-CN"/>
                    </w:rPr>
                  </w:pPr>
                  <w:r>
                    <w:rPr>
                      <w:rFonts w:hint="default"/>
                      <w:sz w:val="20"/>
                      <w:szCs w:val="20"/>
                      <w:lang w:val="en-US" w:eastAsia="zh-CN"/>
                    </w:rPr>
                    <w:t xml:space="preserve">55.7 </w:t>
                  </w:r>
                </w:p>
              </w:tc>
              <w:tc>
                <w:tcPr>
                  <w:tcW w:w="207" w:type="pct"/>
                  <w:vMerge w:val="continue"/>
                  <w:vAlign w:val="center"/>
                </w:tcPr>
                <w:p w14:paraId="6718F2B2">
                  <w:pPr>
                    <w:spacing w:line="240" w:lineRule="atLeast"/>
                    <w:jc w:val="center"/>
                    <w:rPr>
                      <w:sz w:val="20"/>
                      <w:szCs w:val="20"/>
                    </w:rPr>
                  </w:pPr>
                </w:p>
              </w:tc>
              <w:tc>
                <w:tcPr>
                  <w:tcW w:w="428" w:type="pct"/>
                  <w:vMerge w:val="continue"/>
                  <w:vAlign w:val="center"/>
                </w:tcPr>
                <w:p w14:paraId="1562F4B9">
                  <w:pPr>
                    <w:spacing w:line="240" w:lineRule="atLeast"/>
                    <w:jc w:val="center"/>
                    <w:rPr>
                      <w:sz w:val="20"/>
                      <w:szCs w:val="20"/>
                    </w:rPr>
                  </w:pPr>
                </w:p>
              </w:tc>
              <w:tc>
                <w:tcPr>
                  <w:tcW w:w="839" w:type="dxa"/>
                  <w:vAlign w:val="center"/>
                </w:tcPr>
                <w:p w14:paraId="06E4E4B7">
                  <w:pPr>
                    <w:spacing w:line="240" w:lineRule="atLeast"/>
                    <w:jc w:val="center"/>
                    <w:rPr>
                      <w:rFonts w:hint="default"/>
                      <w:sz w:val="20"/>
                      <w:szCs w:val="20"/>
                      <w:lang w:val="en-US" w:eastAsia="zh-CN"/>
                    </w:rPr>
                  </w:pPr>
                  <w:r>
                    <w:rPr>
                      <w:rFonts w:hint="default"/>
                      <w:sz w:val="20"/>
                      <w:szCs w:val="20"/>
                      <w:lang w:val="en-US" w:eastAsia="zh-CN"/>
                    </w:rPr>
                    <w:t xml:space="preserve">24.7 </w:t>
                  </w:r>
                </w:p>
              </w:tc>
              <w:tc>
                <w:tcPr>
                  <w:tcW w:w="491" w:type="pct"/>
                  <w:vAlign w:val="center"/>
                </w:tcPr>
                <w:p w14:paraId="48980DB4">
                  <w:pPr>
                    <w:spacing w:line="240" w:lineRule="atLeast"/>
                    <w:jc w:val="center"/>
                    <w:rPr>
                      <w:sz w:val="20"/>
                      <w:szCs w:val="20"/>
                    </w:rPr>
                  </w:pPr>
                  <w:r>
                    <w:rPr>
                      <w:rFonts w:hint="eastAsia"/>
                      <w:sz w:val="20"/>
                      <w:szCs w:val="20"/>
                      <w:lang w:val="en-US" w:eastAsia="zh-CN"/>
                    </w:rPr>
                    <w:t>1</w:t>
                  </w:r>
                </w:p>
              </w:tc>
            </w:tr>
            <w:tr w14:paraId="4C7F1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continue"/>
                  <w:vAlign w:val="center"/>
                </w:tcPr>
                <w:p w14:paraId="31A50FF2">
                  <w:pPr>
                    <w:spacing w:line="240" w:lineRule="atLeast"/>
                    <w:jc w:val="center"/>
                    <w:rPr>
                      <w:sz w:val="20"/>
                      <w:szCs w:val="20"/>
                    </w:rPr>
                  </w:pPr>
                </w:p>
              </w:tc>
              <w:tc>
                <w:tcPr>
                  <w:tcW w:w="247" w:type="pct"/>
                  <w:vMerge w:val="continue"/>
                  <w:vAlign w:val="center"/>
                </w:tcPr>
                <w:p w14:paraId="4ADBF7BD">
                  <w:pPr>
                    <w:spacing w:line="240" w:lineRule="atLeast"/>
                    <w:jc w:val="center"/>
                    <w:rPr>
                      <w:b/>
                      <w:bCs/>
                      <w:sz w:val="20"/>
                      <w:szCs w:val="20"/>
                    </w:rPr>
                  </w:pPr>
                </w:p>
              </w:tc>
              <w:tc>
                <w:tcPr>
                  <w:tcW w:w="509" w:type="pct"/>
                  <w:vMerge w:val="continue"/>
                  <w:vAlign w:val="center"/>
                </w:tcPr>
                <w:p w14:paraId="36F2528A">
                  <w:pPr>
                    <w:spacing w:line="240" w:lineRule="atLeast"/>
                    <w:jc w:val="center"/>
                    <w:rPr>
                      <w:sz w:val="20"/>
                      <w:szCs w:val="20"/>
                    </w:rPr>
                  </w:pPr>
                </w:p>
              </w:tc>
              <w:tc>
                <w:tcPr>
                  <w:tcW w:w="525" w:type="pct"/>
                  <w:vMerge w:val="continue"/>
                  <w:vAlign w:val="center"/>
                </w:tcPr>
                <w:p w14:paraId="120D8FAB">
                  <w:pPr>
                    <w:spacing w:line="240" w:lineRule="atLeast"/>
                    <w:jc w:val="center"/>
                    <w:rPr>
                      <w:sz w:val="20"/>
                      <w:szCs w:val="20"/>
                    </w:rPr>
                  </w:pPr>
                </w:p>
              </w:tc>
              <w:tc>
                <w:tcPr>
                  <w:tcW w:w="323" w:type="pct"/>
                  <w:vMerge w:val="continue"/>
                  <w:vAlign w:val="center"/>
                </w:tcPr>
                <w:p w14:paraId="618187F3">
                  <w:pPr>
                    <w:spacing w:line="240" w:lineRule="atLeast"/>
                    <w:jc w:val="center"/>
                    <w:rPr>
                      <w:sz w:val="20"/>
                      <w:szCs w:val="20"/>
                    </w:rPr>
                  </w:pPr>
                </w:p>
              </w:tc>
              <w:tc>
                <w:tcPr>
                  <w:tcW w:w="264" w:type="pct"/>
                  <w:vMerge w:val="continue"/>
                  <w:vAlign w:val="center"/>
                </w:tcPr>
                <w:p w14:paraId="66AC19FC">
                  <w:pPr>
                    <w:spacing w:line="240" w:lineRule="atLeast"/>
                    <w:jc w:val="center"/>
                    <w:rPr>
                      <w:sz w:val="20"/>
                      <w:szCs w:val="20"/>
                    </w:rPr>
                  </w:pPr>
                </w:p>
              </w:tc>
              <w:tc>
                <w:tcPr>
                  <w:tcW w:w="236" w:type="pct"/>
                  <w:vMerge w:val="continue"/>
                  <w:vAlign w:val="center"/>
                </w:tcPr>
                <w:p w14:paraId="11E2E7A1">
                  <w:pPr>
                    <w:spacing w:line="240" w:lineRule="atLeast"/>
                    <w:jc w:val="center"/>
                    <w:rPr>
                      <w:sz w:val="20"/>
                      <w:szCs w:val="20"/>
                    </w:rPr>
                  </w:pPr>
                </w:p>
              </w:tc>
              <w:tc>
                <w:tcPr>
                  <w:tcW w:w="243" w:type="pct"/>
                  <w:vMerge w:val="continue"/>
                  <w:vAlign w:val="center"/>
                </w:tcPr>
                <w:p w14:paraId="58334163">
                  <w:pPr>
                    <w:spacing w:line="240" w:lineRule="atLeast"/>
                    <w:jc w:val="center"/>
                    <w:rPr>
                      <w:sz w:val="20"/>
                      <w:szCs w:val="20"/>
                    </w:rPr>
                  </w:pPr>
                </w:p>
              </w:tc>
              <w:tc>
                <w:tcPr>
                  <w:tcW w:w="329" w:type="pct"/>
                  <w:vAlign w:val="center"/>
                </w:tcPr>
                <w:p w14:paraId="57C34C23">
                  <w:pPr>
                    <w:spacing w:line="240" w:lineRule="atLeast"/>
                    <w:jc w:val="center"/>
                    <w:rPr>
                      <w:sz w:val="20"/>
                      <w:szCs w:val="20"/>
                    </w:rPr>
                  </w:pPr>
                  <w:r>
                    <w:rPr>
                      <w:sz w:val="20"/>
                      <w:szCs w:val="20"/>
                    </w:rPr>
                    <w:t>北</w:t>
                  </w:r>
                </w:p>
              </w:tc>
              <w:tc>
                <w:tcPr>
                  <w:tcW w:w="884" w:type="dxa"/>
                  <w:vAlign w:val="center"/>
                </w:tcPr>
                <w:p w14:paraId="53EBF1BA">
                  <w:pPr>
                    <w:spacing w:line="240" w:lineRule="atLeast"/>
                    <w:jc w:val="center"/>
                    <w:rPr>
                      <w:rFonts w:hint="default"/>
                      <w:sz w:val="20"/>
                      <w:szCs w:val="20"/>
                      <w:lang w:val="en-US" w:eastAsia="zh-CN"/>
                    </w:rPr>
                  </w:pPr>
                  <w:r>
                    <w:rPr>
                      <w:rFonts w:hint="default"/>
                      <w:sz w:val="20"/>
                      <w:szCs w:val="20"/>
                      <w:lang w:val="en-US" w:eastAsia="zh-CN"/>
                    </w:rPr>
                    <w:t>9.11</w:t>
                  </w:r>
                </w:p>
              </w:tc>
              <w:tc>
                <w:tcPr>
                  <w:tcW w:w="1070" w:type="dxa"/>
                  <w:vAlign w:val="center"/>
                </w:tcPr>
                <w:p w14:paraId="1C7BAEB9">
                  <w:pPr>
                    <w:spacing w:line="240" w:lineRule="atLeast"/>
                    <w:jc w:val="center"/>
                    <w:rPr>
                      <w:rFonts w:hint="default"/>
                      <w:sz w:val="20"/>
                      <w:szCs w:val="20"/>
                      <w:lang w:val="en-US" w:eastAsia="zh-CN"/>
                    </w:rPr>
                  </w:pPr>
                  <w:r>
                    <w:rPr>
                      <w:rFonts w:hint="default"/>
                      <w:sz w:val="20"/>
                      <w:szCs w:val="20"/>
                      <w:lang w:val="en-US" w:eastAsia="zh-CN"/>
                    </w:rPr>
                    <w:t xml:space="preserve">60.1 </w:t>
                  </w:r>
                </w:p>
              </w:tc>
              <w:tc>
                <w:tcPr>
                  <w:tcW w:w="207" w:type="pct"/>
                  <w:vMerge w:val="continue"/>
                  <w:vAlign w:val="center"/>
                </w:tcPr>
                <w:p w14:paraId="4BD32F5C">
                  <w:pPr>
                    <w:spacing w:line="240" w:lineRule="atLeast"/>
                    <w:jc w:val="center"/>
                    <w:rPr>
                      <w:sz w:val="20"/>
                      <w:szCs w:val="20"/>
                    </w:rPr>
                  </w:pPr>
                </w:p>
              </w:tc>
              <w:tc>
                <w:tcPr>
                  <w:tcW w:w="428" w:type="pct"/>
                  <w:vMerge w:val="continue"/>
                  <w:vAlign w:val="center"/>
                </w:tcPr>
                <w:p w14:paraId="010E4E4F">
                  <w:pPr>
                    <w:spacing w:line="240" w:lineRule="atLeast"/>
                    <w:jc w:val="center"/>
                    <w:rPr>
                      <w:sz w:val="20"/>
                      <w:szCs w:val="20"/>
                    </w:rPr>
                  </w:pPr>
                </w:p>
              </w:tc>
              <w:tc>
                <w:tcPr>
                  <w:tcW w:w="839" w:type="dxa"/>
                  <w:vAlign w:val="center"/>
                </w:tcPr>
                <w:p w14:paraId="7B3BEE9F">
                  <w:pPr>
                    <w:spacing w:line="240" w:lineRule="atLeast"/>
                    <w:jc w:val="center"/>
                    <w:rPr>
                      <w:rFonts w:hint="default"/>
                      <w:sz w:val="20"/>
                      <w:szCs w:val="20"/>
                      <w:lang w:val="en-US" w:eastAsia="zh-CN"/>
                    </w:rPr>
                  </w:pPr>
                  <w:r>
                    <w:rPr>
                      <w:rFonts w:hint="default"/>
                      <w:sz w:val="20"/>
                      <w:szCs w:val="20"/>
                      <w:lang w:val="en-US" w:eastAsia="zh-CN"/>
                    </w:rPr>
                    <w:t xml:space="preserve">29.1 </w:t>
                  </w:r>
                </w:p>
              </w:tc>
              <w:tc>
                <w:tcPr>
                  <w:tcW w:w="491" w:type="pct"/>
                  <w:vAlign w:val="center"/>
                </w:tcPr>
                <w:p w14:paraId="50CD648E">
                  <w:pPr>
                    <w:spacing w:line="240" w:lineRule="atLeast"/>
                    <w:jc w:val="center"/>
                    <w:rPr>
                      <w:sz w:val="20"/>
                      <w:szCs w:val="20"/>
                    </w:rPr>
                  </w:pPr>
                  <w:r>
                    <w:rPr>
                      <w:rFonts w:hint="eastAsia"/>
                      <w:sz w:val="20"/>
                      <w:szCs w:val="20"/>
                      <w:lang w:val="en-US" w:eastAsia="zh-CN"/>
                    </w:rPr>
                    <w:t>1</w:t>
                  </w:r>
                </w:p>
              </w:tc>
            </w:tr>
            <w:tr w14:paraId="326AA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restart"/>
                  <w:vAlign w:val="center"/>
                </w:tcPr>
                <w:p w14:paraId="36F45056">
                  <w:pPr>
                    <w:spacing w:line="240" w:lineRule="atLeast"/>
                    <w:jc w:val="center"/>
                    <w:rPr>
                      <w:sz w:val="20"/>
                      <w:szCs w:val="20"/>
                    </w:rPr>
                  </w:pPr>
                  <w:r>
                    <w:rPr>
                      <w:rFonts w:hint="eastAsia"/>
                      <w:sz w:val="20"/>
                      <w:szCs w:val="20"/>
                    </w:rPr>
                    <w:t>2</w:t>
                  </w:r>
                </w:p>
              </w:tc>
              <w:tc>
                <w:tcPr>
                  <w:tcW w:w="247" w:type="pct"/>
                  <w:vMerge w:val="continue"/>
                  <w:vAlign w:val="center"/>
                </w:tcPr>
                <w:p w14:paraId="6915DC77">
                  <w:pPr>
                    <w:spacing w:line="240" w:lineRule="atLeast"/>
                    <w:jc w:val="center"/>
                    <w:rPr>
                      <w:sz w:val="20"/>
                      <w:szCs w:val="20"/>
                    </w:rPr>
                  </w:pPr>
                </w:p>
              </w:tc>
              <w:tc>
                <w:tcPr>
                  <w:tcW w:w="509" w:type="pct"/>
                  <w:vMerge w:val="restart"/>
                  <w:vAlign w:val="center"/>
                </w:tcPr>
                <w:p w14:paraId="7307A961">
                  <w:pPr>
                    <w:spacing w:line="240" w:lineRule="atLeast"/>
                    <w:jc w:val="center"/>
                    <w:rPr>
                      <w:rFonts w:hint="eastAsia" w:eastAsia="仿宋"/>
                      <w:sz w:val="20"/>
                      <w:szCs w:val="20"/>
                      <w:lang w:eastAsia="zh-CN"/>
                    </w:rPr>
                  </w:pPr>
                  <w:r>
                    <w:rPr>
                      <w:rFonts w:hint="eastAsia"/>
                      <w:sz w:val="20"/>
                      <w:szCs w:val="20"/>
                      <w:lang w:val="en-US" w:eastAsia="zh-CN"/>
                    </w:rPr>
                    <w:t>压铸机</w:t>
                  </w:r>
                </w:p>
                <w:p w14:paraId="742354C9">
                  <w:pPr>
                    <w:spacing w:line="240" w:lineRule="atLeast"/>
                    <w:jc w:val="center"/>
                    <w:rPr>
                      <w:sz w:val="20"/>
                      <w:szCs w:val="20"/>
                    </w:rPr>
                  </w:pPr>
                  <w:r>
                    <w:rPr>
                      <w:rFonts w:hint="eastAsia"/>
                      <w:sz w:val="20"/>
                      <w:szCs w:val="20"/>
                    </w:rPr>
                    <w:t>（</w:t>
                  </w:r>
                  <w:r>
                    <w:rPr>
                      <w:rFonts w:hint="eastAsia"/>
                      <w:sz w:val="20"/>
                      <w:szCs w:val="20"/>
                      <w:lang w:val="en-US" w:eastAsia="zh-CN"/>
                    </w:rPr>
                    <w:t>10</w:t>
                  </w:r>
                  <w:r>
                    <w:rPr>
                      <w:rFonts w:hint="eastAsia"/>
                      <w:sz w:val="20"/>
                      <w:szCs w:val="20"/>
                    </w:rPr>
                    <w:t>台）</w:t>
                  </w:r>
                </w:p>
              </w:tc>
              <w:tc>
                <w:tcPr>
                  <w:tcW w:w="525" w:type="pct"/>
                  <w:vMerge w:val="restart"/>
                  <w:vAlign w:val="center"/>
                </w:tcPr>
                <w:p w14:paraId="4C70B0D1">
                  <w:pPr>
                    <w:spacing w:line="240" w:lineRule="atLeast"/>
                    <w:jc w:val="center"/>
                    <w:rPr>
                      <w:rFonts w:hint="default" w:eastAsia="仿宋"/>
                      <w:sz w:val="20"/>
                      <w:szCs w:val="20"/>
                      <w:lang w:val="en-US" w:eastAsia="zh-CN"/>
                    </w:rPr>
                  </w:pPr>
                  <w:r>
                    <w:rPr>
                      <w:rFonts w:hint="eastAsia"/>
                      <w:sz w:val="20"/>
                      <w:szCs w:val="20"/>
                      <w:lang w:val="en-US" w:eastAsia="zh-CN"/>
                    </w:rPr>
                    <w:t>70</w:t>
                  </w:r>
                </w:p>
              </w:tc>
              <w:tc>
                <w:tcPr>
                  <w:tcW w:w="323" w:type="pct"/>
                  <w:vMerge w:val="continue"/>
                  <w:vAlign w:val="center"/>
                </w:tcPr>
                <w:p w14:paraId="43609079">
                  <w:pPr>
                    <w:spacing w:line="240" w:lineRule="atLeast"/>
                    <w:jc w:val="center"/>
                    <w:rPr>
                      <w:sz w:val="20"/>
                      <w:szCs w:val="20"/>
                    </w:rPr>
                  </w:pPr>
                </w:p>
              </w:tc>
              <w:tc>
                <w:tcPr>
                  <w:tcW w:w="264" w:type="pct"/>
                  <w:vMerge w:val="restart"/>
                  <w:vAlign w:val="center"/>
                </w:tcPr>
                <w:p w14:paraId="150A3828">
                  <w:pPr>
                    <w:spacing w:line="240" w:lineRule="atLeast"/>
                    <w:jc w:val="center"/>
                    <w:rPr>
                      <w:sz w:val="20"/>
                      <w:szCs w:val="20"/>
                    </w:rPr>
                  </w:pPr>
                  <w:r>
                    <w:rPr>
                      <w:rFonts w:hint="default"/>
                      <w:sz w:val="20"/>
                      <w:szCs w:val="20"/>
                      <w:lang w:val="en-US" w:eastAsia="zh-CN"/>
                    </w:rPr>
                    <w:t>23.6</w:t>
                  </w:r>
                </w:p>
              </w:tc>
              <w:tc>
                <w:tcPr>
                  <w:tcW w:w="236" w:type="pct"/>
                  <w:vMerge w:val="restart"/>
                  <w:vAlign w:val="center"/>
                </w:tcPr>
                <w:p w14:paraId="6283B9F6">
                  <w:pPr>
                    <w:spacing w:line="240" w:lineRule="atLeast"/>
                    <w:jc w:val="center"/>
                    <w:rPr>
                      <w:sz w:val="20"/>
                      <w:szCs w:val="20"/>
                    </w:rPr>
                  </w:pPr>
                  <w:r>
                    <w:rPr>
                      <w:rFonts w:hint="default"/>
                      <w:sz w:val="20"/>
                      <w:szCs w:val="20"/>
                      <w:lang w:val="en-US" w:eastAsia="zh-CN"/>
                    </w:rPr>
                    <w:t>8.89</w:t>
                  </w:r>
                </w:p>
              </w:tc>
              <w:tc>
                <w:tcPr>
                  <w:tcW w:w="243" w:type="pct"/>
                  <w:vMerge w:val="restart"/>
                  <w:vAlign w:val="center"/>
                </w:tcPr>
                <w:p w14:paraId="236CC252">
                  <w:pPr>
                    <w:spacing w:line="240" w:lineRule="atLeast"/>
                    <w:jc w:val="center"/>
                    <w:rPr>
                      <w:sz w:val="20"/>
                      <w:szCs w:val="20"/>
                    </w:rPr>
                  </w:pPr>
                  <w:r>
                    <w:rPr>
                      <w:rFonts w:hint="eastAsia"/>
                      <w:sz w:val="20"/>
                      <w:szCs w:val="20"/>
                    </w:rPr>
                    <w:t>1.5</w:t>
                  </w:r>
                </w:p>
              </w:tc>
              <w:tc>
                <w:tcPr>
                  <w:tcW w:w="329" w:type="pct"/>
                  <w:vAlign w:val="center"/>
                </w:tcPr>
                <w:p w14:paraId="7DCB4103">
                  <w:pPr>
                    <w:spacing w:line="240" w:lineRule="atLeast"/>
                    <w:jc w:val="center"/>
                    <w:rPr>
                      <w:sz w:val="20"/>
                      <w:szCs w:val="20"/>
                    </w:rPr>
                  </w:pPr>
                  <w:r>
                    <w:rPr>
                      <w:sz w:val="20"/>
                      <w:szCs w:val="20"/>
                    </w:rPr>
                    <w:t>东</w:t>
                  </w:r>
                </w:p>
              </w:tc>
              <w:tc>
                <w:tcPr>
                  <w:tcW w:w="884" w:type="dxa"/>
                  <w:vAlign w:val="center"/>
                </w:tcPr>
                <w:p w14:paraId="0A1C487C">
                  <w:pPr>
                    <w:spacing w:line="240" w:lineRule="atLeast"/>
                    <w:jc w:val="center"/>
                    <w:rPr>
                      <w:rFonts w:hint="default"/>
                      <w:sz w:val="20"/>
                      <w:szCs w:val="20"/>
                      <w:lang w:val="en-US" w:eastAsia="zh-CN"/>
                    </w:rPr>
                  </w:pPr>
                  <w:r>
                    <w:rPr>
                      <w:rFonts w:hint="default"/>
                      <w:sz w:val="20"/>
                      <w:szCs w:val="20"/>
                      <w:lang w:val="en-US" w:eastAsia="zh-CN"/>
                    </w:rPr>
                    <w:t>80.4</w:t>
                  </w:r>
                </w:p>
              </w:tc>
              <w:tc>
                <w:tcPr>
                  <w:tcW w:w="1070" w:type="dxa"/>
                  <w:vAlign w:val="center"/>
                </w:tcPr>
                <w:p w14:paraId="008B9BAA">
                  <w:pPr>
                    <w:spacing w:line="240" w:lineRule="atLeast"/>
                    <w:jc w:val="center"/>
                    <w:rPr>
                      <w:rFonts w:hint="default"/>
                      <w:sz w:val="20"/>
                      <w:szCs w:val="20"/>
                      <w:lang w:val="en-US" w:eastAsia="zh-CN"/>
                    </w:rPr>
                  </w:pPr>
                  <w:r>
                    <w:rPr>
                      <w:rFonts w:hint="default"/>
                      <w:sz w:val="20"/>
                      <w:szCs w:val="20"/>
                      <w:lang w:val="en-US" w:eastAsia="zh-CN"/>
                    </w:rPr>
                    <w:t xml:space="preserve">54.3 </w:t>
                  </w:r>
                </w:p>
              </w:tc>
              <w:tc>
                <w:tcPr>
                  <w:tcW w:w="207" w:type="pct"/>
                  <w:vMerge w:val="continue"/>
                  <w:vAlign w:val="center"/>
                </w:tcPr>
                <w:p w14:paraId="1EC81E70">
                  <w:pPr>
                    <w:spacing w:line="240" w:lineRule="atLeast"/>
                    <w:jc w:val="center"/>
                    <w:rPr>
                      <w:sz w:val="20"/>
                      <w:szCs w:val="20"/>
                    </w:rPr>
                  </w:pPr>
                </w:p>
              </w:tc>
              <w:tc>
                <w:tcPr>
                  <w:tcW w:w="428" w:type="pct"/>
                  <w:vMerge w:val="continue"/>
                  <w:vAlign w:val="center"/>
                </w:tcPr>
                <w:p w14:paraId="4B356079">
                  <w:pPr>
                    <w:spacing w:line="240" w:lineRule="atLeast"/>
                    <w:jc w:val="center"/>
                    <w:rPr>
                      <w:sz w:val="20"/>
                      <w:szCs w:val="20"/>
                    </w:rPr>
                  </w:pPr>
                </w:p>
              </w:tc>
              <w:tc>
                <w:tcPr>
                  <w:tcW w:w="839" w:type="dxa"/>
                  <w:vAlign w:val="center"/>
                </w:tcPr>
                <w:p w14:paraId="44726FC2">
                  <w:pPr>
                    <w:spacing w:line="240" w:lineRule="atLeast"/>
                    <w:jc w:val="center"/>
                    <w:rPr>
                      <w:rFonts w:hint="default"/>
                      <w:sz w:val="20"/>
                      <w:szCs w:val="20"/>
                      <w:lang w:val="en-US" w:eastAsia="zh-CN"/>
                    </w:rPr>
                  </w:pPr>
                  <w:r>
                    <w:rPr>
                      <w:rFonts w:hint="default"/>
                      <w:sz w:val="20"/>
                      <w:szCs w:val="20"/>
                      <w:lang w:val="en-US" w:eastAsia="zh-CN"/>
                    </w:rPr>
                    <w:t xml:space="preserve">23.3 </w:t>
                  </w:r>
                </w:p>
              </w:tc>
              <w:tc>
                <w:tcPr>
                  <w:tcW w:w="491" w:type="pct"/>
                  <w:vAlign w:val="center"/>
                </w:tcPr>
                <w:p w14:paraId="771BDA7F">
                  <w:pPr>
                    <w:spacing w:line="240" w:lineRule="atLeast"/>
                    <w:jc w:val="center"/>
                    <w:rPr>
                      <w:sz w:val="20"/>
                      <w:szCs w:val="20"/>
                    </w:rPr>
                  </w:pPr>
                  <w:r>
                    <w:rPr>
                      <w:rFonts w:hint="eastAsia"/>
                      <w:sz w:val="20"/>
                      <w:szCs w:val="20"/>
                      <w:lang w:val="en-US" w:eastAsia="zh-CN"/>
                    </w:rPr>
                    <w:t>1</w:t>
                  </w:r>
                </w:p>
              </w:tc>
            </w:tr>
            <w:tr w14:paraId="6470B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continue"/>
                  <w:vAlign w:val="center"/>
                </w:tcPr>
                <w:p w14:paraId="2148B551">
                  <w:pPr>
                    <w:spacing w:line="240" w:lineRule="atLeast"/>
                    <w:jc w:val="center"/>
                    <w:rPr>
                      <w:sz w:val="20"/>
                      <w:szCs w:val="20"/>
                    </w:rPr>
                  </w:pPr>
                </w:p>
              </w:tc>
              <w:tc>
                <w:tcPr>
                  <w:tcW w:w="247" w:type="pct"/>
                  <w:vMerge w:val="continue"/>
                  <w:vAlign w:val="center"/>
                </w:tcPr>
                <w:p w14:paraId="7A7FBDDF">
                  <w:pPr>
                    <w:spacing w:line="240" w:lineRule="atLeast"/>
                    <w:jc w:val="center"/>
                    <w:rPr>
                      <w:sz w:val="20"/>
                      <w:szCs w:val="20"/>
                    </w:rPr>
                  </w:pPr>
                </w:p>
              </w:tc>
              <w:tc>
                <w:tcPr>
                  <w:tcW w:w="509" w:type="pct"/>
                  <w:vMerge w:val="continue"/>
                  <w:vAlign w:val="center"/>
                </w:tcPr>
                <w:p w14:paraId="7AF12E23">
                  <w:pPr>
                    <w:spacing w:line="240" w:lineRule="atLeast"/>
                    <w:jc w:val="center"/>
                    <w:rPr>
                      <w:sz w:val="20"/>
                      <w:szCs w:val="20"/>
                    </w:rPr>
                  </w:pPr>
                </w:p>
              </w:tc>
              <w:tc>
                <w:tcPr>
                  <w:tcW w:w="525" w:type="pct"/>
                  <w:vMerge w:val="continue"/>
                  <w:vAlign w:val="center"/>
                </w:tcPr>
                <w:p w14:paraId="6448F52B">
                  <w:pPr>
                    <w:spacing w:line="240" w:lineRule="atLeast"/>
                    <w:jc w:val="center"/>
                    <w:rPr>
                      <w:sz w:val="20"/>
                      <w:szCs w:val="20"/>
                    </w:rPr>
                  </w:pPr>
                </w:p>
              </w:tc>
              <w:tc>
                <w:tcPr>
                  <w:tcW w:w="323" w:type="pct"/>
                  <w:vMerge w:val="continue"/>
                  <w:vAlign w:val="center"/>
                </w:tcPr>
                <w:p w14:paraId="1434674C">
                  <w:pPr>
                    <w:spacing w:line="240" w:lineRule="atLeast"/>
                    <w:jc w:val="center"/>
                    <w:rPr>
                      <w:sz w:val="20"/>
                      <w:szCs w:val="20"/>
                    </w:rPr>
                  </w:pPr>
                </w:p>
              </w:tc>
              <w:tc>
                <w:tcPr>
                  <w:tcW w:w="264" w:type="pct"/>
                  <w:vMerge w:val="continue"/>
                  <w:vAlign w:val="center"/>
                </w:tcPr>
                <w:p w14:paraId="13F88E8B">
                  <w:pPr>
                    <w:spacing w:line="240" w:lineRule="atLeast"/>
                    <w:jc w:val="center"/>
                    <w:rPr>
                      <w:sz w:val="20"/>
                      <w:szCs w:val="20"/>
                    </w:rPr>
                  </w:pPr>
                </w:p>
              </w:tc>
              <w:tc>
                <w:tcPr>
                  <w:tcW w:w="236" w:type="pct"/>
                  <w:vMerge w:val="continue"/>
                  <w:vAlign w:val="center"/>
                </w:tcPr>
                <w:p w14:paraId="32C914BC">
                  <w:pPr>
                    <w:spacing w:line="240" w:lineRule="atLeast"/>
                    <w:jc w:val="center"/>
                    <w:rPr>
                      <w:sz w:val="20"/>
                      <w:szCs w:val="20"/>
                    </w:rPr>
                  </w:pPr>
                </w:p>
              </w:tc>
              <w:tc>
                <w:tcPr>
                  <w:tcW w:w="243" w:type="pct"/>
                  <w:vMerge w:val="continue"/>
                  <w:vAlign w:val="center"/>
                </w:tcPr>
                <w:p w14:paraId="13EE9976">
                  <w:pPr>
                    <w:spacing w:line="240" w:lineRule="atLeast"/>
                    <w:jc w:val="center"/>
                    <w:rPr>
                      <w:sz w:val="20"/>
                      <w:szCs w:val="20"/>
                    </w:rPr>
                  </w:pPr>
                </w:p>
              </w:tc>
              <w:tc>
                <w:tcPr>
                  <w:tcW w:w="329" w:type="pct"/>
                  <w:vAlign w:val="center"/>
                </w:tcPr>
                <w:p w14:paraId="69D6DAA3">
                  <w:pPr>
                    <w:spacing w:line="240" w:lineRule="atLeast"/>
                    <w:jc w:val="center"/>
                    <w:rPr>
                      <w:sz w:val="20"/>
                      <w:szCs w:val="20"/>
                    </w:rPr>
                  </w:pPr>
                  <w:r>
                    <w:rPr>
                      <w:sz w:val="20"/>
                      <w:szCs w:val="20"/>
                    </w:rPr>
                    <w:t>南</w:t>
                  </w:r>
                </w:p>
              </w:tc>
              <w:tc>
                <w:tcPr>
                  <w:tcW w:w="884" w:type="dxa"/>
                  <w:vAlign w:val="center"/>
                </w:tcPr>
                <w:p w14:paraId="4E11C374">
                  <w:pPr>
                    <w:spacing w:line="240" w:lineRule="atLeast"/>
                    <w:jc w:val="center"/>
                    <w:rPr>
                      <w:rFonts w:hint="default"/>
                      <w:sz w:val="20"/>
                      <w:szCs w:val="20"/>
                      <w:lang w:val="en-US" w:eastAsia="zh-CN"/>
                    </w:rPr>
                  </w:pPr>
                  <w:r>
                    <w:rPr>
                      <w:rFonts w:hint="default"/>
                      <w:sz w:val="20"/>
                      <w:szCs w:val="20"/>
                      <w:lang w:val="en-US" w:eastAsia="zh-CN"/>
                    </w:rPr>
                    <w:t>8.89</w:t>
                  </w:r>
                </w:p>
              </w:tc>
              <w:tc>
                <w:tcPr>
                  <w:tcW w:w="1070" w:type="dxa"/>
                  <w:vAlign w:val="center"/>
                </w:tcPr>
                <w:p w14:paraId="06454B32">
                  <w:pPr>
                    <w:spacing w:line="240" w:lineRule="atLeast"/>
                    <w:jc w:val="center"/>
                    <w:rPr>
                      <w:rFonts w:hint="default"/>
                      <w:sz w:val="20"/>
                      <w:szCs w:val="20"/>
                      <w:lang w:val="en-US" w:eastAsia="zh-CN"/>
                    </w:rPr>
                  </w:pPr>
                  <w:r>
                    <w:rPr>
                      <w:rFonts w:hint="default"/>
                      <w:sz w:val="20"/>
                      <w:szCs w:val="20"/>
                      <w:lang w:val="en-US" w:eastAsia="zh-CN"/>
                    </w:rPr>
                    <w:t xml:space="preserve">60.3 </w:t>
                  </w:r>
                </w:p>
              </w:tc>
              <w:tc>
                <w:tcPr>
                  <w:tcW w:w="207" w:type="pct"/>
                  <w:vMerge w:val="continue"/>
                  <w:vAlign w:val="center"/>
                </w:tcPr>
                <w:p w14:paraId="4234FFA6">
                  <w:pPr>
                    <w:spacing w:line="240" w:lineRule="atLeast"/>
                    <w:jc w:val="center"/>
                    <w:rPr>
                      <w:sz w:val="20"/>
                      <w:szCs w:val="20"/>
                    </w:rPr>
                  </w:pPr>
                </w:p>
              </w:tc>
              <w:tc>
                <w:tcPr>
                  <w:tcW w:w="428" w:type="pct"/>
                  <w:vMerge w:val="continue"/>
                  <w:vAlign w:val="center"/>
                </w:tcPr>
                <w:p w14:paraId="3970465B">
                  <w:pPr>
                    <w:spacing w:line="240" w:lineRule="atLeast"/>
                    <w:jc w:val="center"/>
                    <w:rPr>
                      <w:sz w:val="20"/>
                      <w:szCs w:val="20"/>
                    </w:rPr>
                  </w:pPr>
                </w:p>
              </w:tc>
              <w:tc>
                <w:tcPr>
                  <w:tcW w:w="839" w:type="dxa"/>
                  <w:vAlign w:val="center"/>
                </w:tcPr>
                <w:p w14:paraId="36DA79DB">
                  <w:pPr>
                    <w:spacing w:line="240" w:lineRule="atLeast"/>
                    <w:jc w:val="center"/>
                    <w:rPr>
                      <w:rFonts w:hint="default"/>
                      <w:sz w:val="20"/>
                      <w:szCs w:val="20"/>
                      <w:lang w:val="en-US" w:eastAsia="zh-CN"/>
                    </w:rPr>
                  </w:pPr>
                  <w:r>
                    <w:rPr>
                      <w:rFonts w:hint="default"/>
                      <w:sz w:val="20"/>
                      <w:szCs w:val="20"/>
                      <w:lang w:val="en-US" w:eastAsia="zh-CN"/>
                    </w:rPr>
                    <w:t xml:space="preserve">29.3 </w:t>
                  </w:r>
                </w:p>
              </w:tc>
              <w:tc>
                <w:tcPr>
                  <w:tcW w:w="491" w:type="pct"/>
                  <w:vAlign w:val="center"/>
                </w:tcPr>
                <w:p w14:paraId="559D9290">
                  <w:pPr>
                    <w:spacing w:line="240" w:lineRule="atLeast"/>
                    <w:jc w:val="center"/>
                    <w:rPr>
                      <w:sz w:val="20"/>
                      <w:szCs w:val="20"/>
                    </w:rPr>
                  </w:pPr>
                  <w:r>
                    <w:rPr>
                      <w:rFonts w:hint="eastAsia"/>
                      <w:sz w:val="20"/>
                      <w:szCs w:val="20"/>
                      <w:lang w:val="en-US" w:eastAsia="zh-CN"/>
                    </w:rPr>
                    <w:t>1</w:t>
                  </w:r>
                </w:p>
              </w:tc>
            </w:tr>
            <w:tr w14:paraId="25091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4D6ADF7D">
                  <w:pPr>
                    <w:spacing w:line="240" w:lineRule="atLeast"/>
                    <w:jc w:val="center"/>
                    <w:rPr>
                      <w:sz w:val="20"/>
                      <w:szCs w:val="20"/>
                    </w:rPr>
                  </w:pPr>
                </w:p>
              </w:tc>
              <w:tc>
                <w:tcPr>
                  <w:tcW w:w="247" w:type="pct"/>
                  <w:vMerge w:val="continue"/>
                  <w:vAlign w:val="center"/>
                </w:tcPr>
                <w:p w14:paraId="6F71AEA1">
                  <w:pPr>
                    <w:spacing w:line="240" w:lineRule="atLeast"/>
                    <w:jc w:val="center"/>
                    <w:rPr>
                      <w:sz w:val="20"/>
                      <w:szCs w:val="20"/>
                    </w:rPr>
                  </w:pPr>
                </w:p>
              </w:tc>
              <w:tc>
                <w:tcPr>
                  <w:tcW w:w="509" w:type="pct"/>
                  <w:vMerge w:val="continue"/>
                  <w:vAlign w:val="center"/>
                </w:tcPr>
                <w:p w14:paraId="33B9195D">
                  <w:pPr>
                    <w:spacing w:line="240" w:lineRule="atLeast"/>
                    <w:jc w:val="center"/>
                    <w:rPr>
                      <w:sz w:val="20"/>
                      <w:szCs w:val="20"/>
                    </w:rPr>
                  </w:pPr>
                </w:p>
              </w:tc>
              <w:tc>
                <w:tcPr>
                  <w:tcW w:w="525" w:type="pct"/>
                  <w:vMerge w:val="continue"/>
                  <w:vAlign w:val="center"/>
                </w:tcPr>
                <w:p w14:paraId="624412DF">
                  <w:pPr>
                    <w:spacing w:line="240" w:lineRule="atLeast"/>
                    <w:jc w:val="center"/>
                    <w:rPr>
                      <w:sz w:val="20"/>
                      <w:szCs w:val="20"/>
                    </w:rPr>
                  </w:pPr>
                </w:p>
              </w:tc>
              <w:tc>
                <w:tcPr>
                  <w:tcW w:w="323" w:type="pct"/>
                  <w:vMerge w:val="continue"/>
                  <w:vAlign w:val="center"/>
                </w:tcPr>
                <w:p w14:paraId="1399EB5A">
                  <w:pPr>
                    <w:spacing w:line="240" w:lineRule="atLeast"/>
                    <w:jc w:val="center"/>
                    <w:rPr>
                      <w:sz w:val="20"/>
                      <w:szCs w:val="20"/>
                    </w:rPr>
                  </w:pPr>
                </w:p>
              </w:tc>
              <w:tc>
                <w:tcPr>
                  <w:tcW w:w="264" w:type="pct"/>
                  <w:vMerge w:val="continue"/>
                  <w:vAlign w:val="center"/>
                </w:tcPr>
                <w:p w14:paraId="2C7307D6">
                  <w:pPr>
                    <w:spacing w:line="240" w:lineRule="atLeast"/>
                    <w:jc w:val="center"/>
                    <w:rPr>
                      <w:sz w:val="20"/>
                      <w:szCs w:val="20"/>
                    </w:rPr>
                  </w:pPr>
                </w:p>
              </w:tc>
              <w:tc>
                <w:tcPr>
                  <w:tcW w:w="236" w:type="pct"/>
                  <w:vMerge w:val="continue"/>
                  <w:vAlign w:val="center"/>
                </w:tcPr>
                <w:p w14:paraId="7A96E3AE">
                  <w:pPr>
                    <w:spacing w:line="240" w:lineRule="atLeast"/>
                    <w:jc w:val="center"/>
                    <w:rPr>
                      <w:sz w:val="20"/>
                      <w:szCs w:val="20"/>
                    </w:rPr>
                  </w:pPr>
                </w:p>
              </w:tc>
              <w:tc>
                <w:tcPr>
                  <w:tcW w:w="243" w:type="pct"/>
                  <w:vMerge w:val="continue"/>
                  <w:vAlign w:val="center"/>
                </w:tcPr>
                <w:p w14:paraId="3E07F68A">
                  <w:pPr>
                    <w:spacing w:line="240" w:lineRule="atLeast"/>
                    <w:jc w:val="center"/>
                    <w:rPr>
                      <w:sz w:val="20"/>
                      <w:szCs w:val="20"/>
                    </w:rPr>
                  </w:pPr>
                </w:p>
              </w:tc>
              <w:tc>
                <w:tcPr>
                  <w:tcW w:w="329" w:type="pct"/>
                  <w:vAlign w:val="center"/>
                </w:tcPr>
                <w:p w14:paraId="6F48CBCF">
                  <w:pPr>
                    <w:spacing w:line="240" w:lineRule="atLeast"/>
                    <w:jc w:val="center"/>
                    <w:rPr>
                      <w:sz w:val="20"/>
                      <w:szCs w:val="20"/>
                    </w:rPr>
                  </w:pPr>
                  <w:r>
                    <w:rPr>
                      <w:sz w:val="20"/>
                      <w:szCs w:val="20"/>
                    </w:rPr>
                    <w:t>西</w:t>
                  </w:r>
                </w:p>
              </w:tc>
              <w:tc>
                <w:tcPr>
                  <w:tcW w:w="884" w:type="dxa"/>
                  <w:vAlign w:val="center"/>
                </w:tcPr>
                <w:p w14:paraId="4AC1D595">
                  <w:pPr>
                    <w:spacing w:line="240" w:lineRule="atLeast"/>
                    <w:jc w:val="center"/>
                    <w:rPr>
                      <w:rFonts w:hint="default"/>
                      <w:sz w:val="20"/>
                      <w:szCs w:val="20"/>
                      <w:lang w:val="en-US" w:eastAsia="zh-CN"/>
                    </w:rPr>
                  </w:pPr>
                  <w:r>
                    <w:rPr>
                      <w:rFonts w:hint="default"/>
                      <w:sz w:val="20"/>
                      <w:szCs w:val="20"/>
                      <w:lang w:val="en-US" w:eastAsia="zh-CN"/>
                    </w:rPr>
                    <w:t>23.6</w:t>
                  </w:r>
                </w:p>
              </w:tc>
              <w:tc>
                <w:tcPr>
                  <w:tcW w:w="1070" w:type="dxa"/>
                  <w:vAlign w:val="center"/>
                </w:tcPr>
                <w:p w14:paraId="652BFD62">
                  <w:pPr>
                    <w:spacing w:line="240" w:lineRule="atLeast"/>
                    <w:jc w:val="center"/>
                    <w:rPr>
                      <w:rFonts w:hint="default"/>
                      <w:sz w:val="20"/>
                      <w:szCs w:val="20"/>
                      <w:lang w:val="en-US" w:eastAsia="zh-CN"/>
                    </w:rPr>
                  </w:pPr>
                  <w:r>
                    <w:rPr>
                      <w:rFonts w:hint="default"/>
                      <w:sz w:val="20"/>
                      <w:szCs w:val="20"/>
                      <w:lang w:val="en-US" w:eastAsia="zh-CN"/>
                    </w:rPr>
                    <w:t xml:space="preserve">55.7 </w:t>
                  </w:r>
                </w:p>
              </w:tc>
              <w:tc>
                <w:tcPr>
                  <w:tcW w:w="207" w:type="pct"/>
                  <w:vMerge w:val="continue"/>
                  <w:vAlign w:val="center"/>
                </w:tcPr>
                <w:p w14:paraId="3C459C66">
                  <w:pPr>
                    <w:spacing w:line="240" w:lineRule="atLeast"/>
                    <w:jc w:val="center"/>
                    <w:rPr>
                      <w:sz w:val="20"/>
                      <w:szCs w:val="20"/>
                    </w:rPr>
                  </w:pPr>
                </w:p>
              </w:tc>
              <w:tc>
                <w:tcPr>
                  <w:tcW w:w="428" w:type="pct"/>
                  <w:vMerge w:val="continue"/>
                  <w:vAlign w:val="center"/>
                </w:tcPr>
                <w:p w14:paraId="661183B7">
                  <w:pPr>
                    <w:spacing w:line="240" w:lineRule="atLeast"/>
                    <w:jc w:val="center"/>
                    <w:rPr>
                      <w:sz w:val="20"/>
                      <w:szCs w:val="20"/>
                    </w:rPr>
                  </w:pPr>
                </w:p>
              </w:tc>
              <w:tc>
                <w:tcPr>
                  <w:tcW w:w="839" w:type="dxa"/>
                  <w:vAlign w:val="center"/>
                </w:tcPr>
                <w:p w14:paraId="444F704B">
                  <w:pPr>
                    <w:spacing w:line="240" w:lineRule="atLeast"/>
                    <w:jc w:val="center"/>
                    <w:rPr>
                      <w:rFonts w:hint="default"/>
                      <w:sz w:val="20"/>
                      <w:szCs w:val="20"/>
                      <w:lang w:val="en-US" w:eastAsia="zh-CN"/>
                    </w:rPr>
                  </w:pPr>
                  <w:r>
                    <w:rPr>
                      <w:rFonts w:hint="default"/>
                      <w:sz w:val="20"/>
                      <w:szCs w:val="20"/>
                      <w:lang w:val="en-US" w:eastAsia="zh-CN"/>
                    </w:rPr>
                    <w:t xml:space="preserve">24.7 </w:t>
                  </w:r>
                </w:p>
              </w:tc>
              <w:tc>
                <w:tcPr>
                  <w:tcW w:w="491" w:type="pct"/>
                  <w:vAlign w:val="center"/>
                </w:tcPr>
                <w:p w14:paraId="4FDB73BD">
                  <w:pPr>
                    <w:spacing w:line="240" w:lineRule="atLeast"/>
                    <w:jc w:val="center"/>
                    <w:rPr>
                      <w:sz w:val="20"/>
                      <w:szCs w:val="20"/>
                    </w:rPr>
                  </w:pPr>
                  <w:r>
                    <w:rPr>
                      <w:rFonts w:hint="eastAsia"/>
                      <w:sz w:val="20"/>
                      <w:szCs w:val="20"/>
                      <w:lang w:val="en-US" w:eastAsia="zh-CN"/>
                    </w:rPr>
                    <w:t>1</w:t>
                  </w:r>
                </w:p>
              </w:tc>
            </w:tr>
            <w:tr w14:paraId="7C543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5FF4527E">
                  <w:pPr>
                    <w:spacing w:line="240" w:lineRule="atLeast"/>
                    <w:jc w:val="center"/>
                    <w:rPr>
                      <w:sz w:val="20"/>
                      <w:szCs w:val="20"/>
                    </w:rPr>
                  </w:pPr>
                </w:p>
              </w:tc>
              <w:tc>
                <w:tcPr>
                  <w:tcW w:w="247" w:type="pct"/>
                  <w:vMerge w:val="continue"/>
                  <w:vAlign w:val="center"/>
                </w:tcPr>
                <w:p w14:paraId="45F7AE36">
                  <w:pPr>
                    <w:spacing w:line="240" w:lineRule="atLeast"/>
                    <w:jc w:val="center"/>
                    <w:rPr>
                      <w:sz w:val="20"/>
                      <w:szCs w:val="20"/>
                    </w:rPr>
                  </w:pPr>
                </w:p>
              </w:tc>
              <w:tc>
                <w:tcPr>
                  <w:tcW w:w="509" w:type="pct"/>
                  <w:vMerge w:val="continue"/>
                  <w:vAlign w:val="center"/>
                </w:tcPr>
                <w:p w14:paraId="62B24804">
                  <w:pPr>
                    <w:spacing w:line="240" w:lineRule="atLeast"/>
                    <w:jc w:val="center"/>
                    <w:rPr>
                      <w:sz w:val="20"/>
                      <w:szCs w:val="20"/>
                    </w:rPr>
                  </w:pPr>
                </w:p>
              </w:tc>
              <w:tc>
                <w:tcPr>
                  <w:tcW w:w="525" w:type="pct"/>
                  <w:vMerge w:val="continue"/>
                  <w:vAlign w:val="center"/>
                </w:tcPr>
                <w:p w14:paraId="3EFC6FFF">
                  <w:pPr>
                    <w:spacing w:line="240" w:lineRule="atLeast"/>
                    <w:jc w:val="center"/>
                    <w:rPr>
                      <w:sz w:val="20"/>
                      <w:szCs w:val="20"/>
                    </w:rPr>
                  </w:pPr>
                </w:p>
              </w:tc>
              <w:tc>
                <w:tcPr>
                  <w:tcW w:w="323" w:type="pct"/>
                  <w:vMerge w:val="continue"/>
                  <w:vAlign w:val="center"/>
                </w:tcPr>
                <w:p w14:paraId="15C467BB">
                  <w:pPr>
                    <w:spacing w:line="240" w:lineRule="atLeast"/>
                    <w:jc w:val="center"/>
                    <w:rPr>
                      <w:sz w:val="20"/>
                      <w:szCs w:val="20"/>
                    </w:rPr>
                  </w:pPr>
                </w:p>
              </w:tc>
              <w:tc>
                <w:tcPr>
                  <w:tcW w:w="264" w:type="pct"/>
                  <w:vMerge w:val="continue"/>
                  <w:vAlign w:val="center"/>
                </w:tcPr>
                <w:p w14:paraId="21CFA059">
                  <w:pPr>
                    <w:spacing w:line="240" w:lineRule="atLeast"/>
                    <w:jc w:val="center"/>
                    <w:rPr>
                      <w:sz w:val="20"/>
                      <w:szCs w:val="20"/>
                    </w:rPr>
                  </w:pPr>
                </w:p>
              </w:tc>
              <w:tc>
                <w:tcPr>
                  <w:tcW w:w="236" w:type="pct"/>
                  <w:vMerge w:val="continue"/>
                  <w:vAlign w:val="center"/>
                </w:tcPr>
                <w:p w14:paraId="1DF79648">
                  <w:pPr>
                    <w:spacing w:line="240" w:lineRule="atLeast"/>
                    <w:jc w:val="center"/>
                    <w:rPr>
                      <w:sz w:val="20"/>
                      <w:szCs w:val="20"/>
                    </w:rPr>
                  </w:pPr>
                </w:p>
              </w:tc>
              <w:tc>
                <w:tcPr>
                  <w:tcW w:w="243" w:type="pct"/>
                  <w:vMerge w:val="continue"/>
                  <w:vAlign w:val="center"/>
                </w:tcPr>
                <w:p w14:paraId="74CD0C93">
                  <w:pPr>
                    <w:spacing w:line="240" w:lineRule="atLeast"/>
                    <w:jc w:val="center"/>
                    <w:rPr>
                      <w:sz w:val="20"/>
                      <w:szCs w:val="20"/>
                    </w:rPr>
                  </w:pPr>
                </w:p>
              </w:tc>
              <w:tc>
                <w:tcPr>
                  <w:tcW w:w="329" w:type="pct"/>
                  <w:vAlign w:val="center"/>
                </w:tcPr>
                <w:p w14:paraId="458824E2">
                  <w:pPr>
                    <w:spacing w:line="240" w:lineRule="atLeast"/>
                    <w:jc w:val="center"/>
                    <w:rPr>
                      <w:sz w:val="20"/>
                      <w:szCs w:val="20"/>
                    </w:rPr>
                  </w:pPr>
                  <w:r>
                    <w:rPr>
                      <w:sz w:val="20"/>
                      <w:szCs w:val="20"/>
                    </w:rPr>
                    <w:t>北</w:t>
                  </w:r>
                </w:p>
              </w:tc>
              <w:tc>
                <w:tcPr>
                  <w:tcW w:w="884" w:type="dxa"/>
                  <w:vAlign w:val="center"/>
                </w:tcPr>
                <w:p w14:paraId="726A6C87">
                  <w:pPr>
                    <w:spacing w:line="240" w:lineRule="atLeast"/>
                    <w:jc w:val="center"/>
                    <w:rPr>
                      <w:rFonts w:hint="default"/>
                      <w:sz w:val="20"/>
                      <w:szCs w:val="20"/>
                      <w:lang w:val="en-US" w:eastAsia="zh-CN"/>
                    </w:rPr>
                  </w:pPr>
                  <w:r>
                    <w:rPr>
                      <w:rFonts w:hint="default"/>
                      <w:sz w:val="20"/>
                      <w:szCs w:val="20"/>
                      <w:lang w:val="en-US" w:eastAsia="zh-CN"/>
                    </w:rPr>
                    <w:t>9.11</w:t>
                  </w:r>
                </w:p>
              </w:tc>
              <w:tc>
                <w:tcPr>
                  <w:tcW w:w="1070" w:type="dxa"/>
                  <w:vAlign w:val="center"/>
                </w:tcPr>
                <w:p w14:paraId="4CE4D338">
                  <w:pPr>
                    <w:spacing w:line="240" w:lineRule="atLeast"/>
                    <w:jc w:val="center"/>
                    <w:rPr>
                      <w:rFonts w:hint="default"/>
                      <w:sz w:val="20"/>
                      <w:szCs w:val="20"/>
                      <w:lang w:val="en-US" w:eastAsia="zh-CN"/>
                    </w:rPr>
                  </w:pPr>
                  <w:r>
                    <w:rPr>
                      <w:rFonts w:hint="default"/>
                      <w:sz w:val="20"/>
                      <w:szCs w:val="20"/>
                      <w:lang w:val="en-US" w:eastAsia="zh-CN"/>
                    </w:rPr>
                    <w:t xml:space="preserve">60.1 </w:t>
                  </w:r>
                </w:p>
              </w:tc>
              <w:tc>
                <w:tcPr>
                  <w:tcW w:w="207" w:type="pct"/>
                  <w:vMerge w:val="continue"/>
                  <w:vAlign w:val="center"/>
                </w:tcPr>
                <w:p w14:paraId="1D803AA4">
                  <w:pPr>
                    <w:spacing w:line="240" w:lineRule="atLeast"/>
                    <w:jc w:val="center"/>
                    <w:rPr>
                      <w:sz w:val="20"/>
                      <w:szCs w:val="20"/>
                    </w:rPr>
                  </w:pPr>
                </w:p>
              </w:tc>
              <w:tc>
                <w:tcPr>
                  <w:tcW w:w="428" w:type="pct"/>
                  <w:vMerge w:val="continue"/>
                  <w:vAlign w:val="center"/>
                </w:tcPr>
                <w:p w14:paraId="2473EA8C">
                  <w:pPr>
                    <w:spacing w:line="240" w:lineRule="atLeast"/>
                    <w:jc w:val="center"/>
                    <w:rPr>
                      <w:sz w:val="20"/>
                      <w:szCs w:val="20"/>
                    </w:rPr>
                  </w:pPr>
                </w:p>
              </w:tc>
              <w:tc>
                <w:tcPr>
                  <w:tcW w:w="839" w:type="dxa"/>
                  <w:vAlign w:val="center"/>
                </w:tcPr>
                <w:p w14:paraId="02531E4D">
                  <w:pPr>
                    <w:spacing w:line="240" w:lineRule="atLeast"/>
                    <w:jc w:val="center"/>
                    <w:rPr>
                      <w:rFonts w:hint="default"/>
                      <w:sz w:val="20"/>
                      <w:szCs w:val="20"/>
                      <w:lang w:val="en-US" w:eastAsia="zh-CN"/>
                    </w:rPr>
                  </w:pPr>
                  <w:r>
                    <w:rPr>
                      <w:rFonts w:hint="default"/>
                      <w:sz w:val="20"/>
                      <w:szCs w:val="20"/>
                      <w:lang w:val="en-US" w:eastAsia="zh-CN"/>
                    </w:rPr>
                    <w:t xml:space="preserve">29.1 </w:t>
                  </w:r>
                </w:p>
              </w:tc>
              <w:tc>
                <w:tcPr>
                  <w:tcW w:w="491" w:type="pct"/>
                  <w:vAlign w:val="center"/>
                </w:tcPr>
                <w:p w14:paraId="5B0114D3">
                  <w:pPr>
                    <w:spacing w:line="240" w:lineRule="atLeast"/>
                    <w:jc w:val="center"/>
                    <w:rPr>
                      <w:sz w:val="20"/>
                      <w:szCs w:val="20"/>
                    </w:rPr>
                  </w:pPr>
                  <w:r>
                    <w:rPr>
                      <w:rFonts w:hint="eastAsia"/>
                      <w:sz w:val="20"/>
                      <w:szCs w:val="20"/>
                      <w:lang w:val="en-US" w:eastAsia="zh-CN"/>
                    </w:rPr>
                    <w:t>1</w:t>
                  </w:r>
                </w:p>
              </w:tc>
            </w:tr>
            <w:tr w14:paraId="74AEE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restart"/>
                  <w:vAlign w:val="center"/>
                </w:tcPr>
                <w:p w14:paraId="0FFDB278">
                  <w:pPr>
                    <w:spacing w:line="240" w:lineRule="atLeast"/>
                    <w:jc w:val="center"/>
                    <w:rPr>
                      <w:sz w:val="20"/>
                      <w:szCs w:val="20"/>
                    </w:rPr>
                  </w:pPr>
                  <w:r>
                    <w:rPr>
                      <w:rFonts w:hint="eastAsia"/>
                      <w:sz w:val="20"/>
                      <w:szCs w:val="20"/>
                    </w:rPr>
                    <w:t>3</w:t>
                  </w:r>
                </w:p>
              </w:tc>
              <w:tc>
                <w:tcPr>
                  <w:tcW w:w="247" w:type="pct"/>
                  <w:vMerge w:val="continue"/>
                  <w:vAlign w:val="center"/>
                </w:tcPr>
                <w:p w14:paraId="758C66B8">
                  <w:pPr>
                    <w:spacing w:line="240" w:lineRule="atLeast"/>
                    <w:jc w:val="center"/>
                    <w:rPr>
                      <w:sz w:val="20"/>
                      <w:szCs w:val="20"/>
                    </w:rPr>
                  </w:pPr>
                </w:p>
              </w:tc>
              <w:tc>
                <w:tcPr>
                  <w:tcW w:w="509" w:type="pct"/>
                  <w:vMerge w:val="restart"/>
                  <w:vAlign w:val="center"/>
                </w:tcPr>
                <w:p w14:paraId="1B71FE95">
                  <w:pPr>
                    <w:spacing w:line="240" w:lineRule="atLeast"/>
                    <w:jc w:val="center"/>
                    <w:rPr>
                      <w:rFonts w:hint="default" w:eastAsia="仿宋"/>
                      <w:sz w:val="20"/>
                      <w:szCs w:val="20"/>
                      <w:lang w:val="en-US" w:eastAsia="zh-CN"/>
                    </w:rPr>
                  </w:pPr>
                  <w:r>
                    <w:rPr>
                      <w:rFonts w:hint="eastAsia"/>
                      <w:sz w:val="20"/>
                      <w:szCs w:val="20"/>
                      <w:lang w:val="en-US" w:eastAsia="zh-CN"/>
                    </w:rPr>
                    <w:t>数控车床</w:t>
                  </w:r>
                </w:p>
                <w:p w14:paraId="71C4249D">
                  <w:pPr>
                    <w:spacing w:line="240" w:lineRule="atLeast"/>
                    <w:jc w:val="center"/>
                    <w:rPr>
                      <w:sz w:val="20"/>
                      <w:szCs w:val="20"/>
                    </w:rPr>
                  </w:pPr>
                  <w:r>
                    <w:rPr>
                      <w:rFonts w:hint="eastAsia"/>
                      <w:sz w:val="20"/>
                      <w:szCs w:val="20"/>
                    </w:rPr>
                    <w:t>（</w:t>
                  </w:r>
                  <w:r>
                    <w:rPr>
                      <w:rFonts w:hint="eastAsia"/>
                      <w:sz w:val="20"/>
                      <w:szCs w:val="20"/>
                      <w:lang w:val="en-US" w:eastAsia="zh-CN"/>
                    </w:rPr>
                    <w:t>32</w:t>
                  </w:r>
                  <w:r>
                    <w:rPr>
                      <w:rFonts w:hint="eastAsia"/>
                      <w:sz w:val="20"/>
                      <w:szCs w:val="20"/>
                    </w:rPr>
                    <w:t>台）</w:t>
                  </w:r>
                </w:p>
              </w:tc>
              <w:tc>
                <w:tcPr>
                  <w:tcW w:w="525" w:type="pct"/>
                  <w:vMerge w:val="restart"/>
                  <w:vAlign w:val="center"/>
                </w:tcPr>
                <w:p w14:paraId="4FD2B924">
                  <w:pPr>
                    <w:spacing w:line="240" w:lineRule="atLeast"/>
                    <w:jc w:val="center"/>
                    <w:rPr>
                      <w:rFonts w:hint="default" w:eastAsia="仿宋"/>
                      <w:sz w:val="20"/>
                      <w:szCs w:val="20"/>
                      <w:lang w:val="en-US" w:eastAsia="zh-CN"/>
                    </w:rPr>
                  </w:pPr>
                  <w:r>
                    <w:rPr>
                      <w:rFonts w:hint="eastAsia"/>
                      <w:sz w:val="20"/>
                      <w:szCs w:val="20"/>
                      <w:lang w:val="en-US" w:eastAsia="zh-CN"/>
                    </w:rPr>
                    <w:t>80</w:t>
                  </w:r>
                </w:p>
              </w:tc>
              <w:tc>
                <w:tcPr>
                  <w:tcW w:w="323" w:type="pct"/>
                  <w:vMerge w:val="continue"/>
                  <w:vAlign w:val="center"/>
                </w:tcPr>
                <w:p w14:paraId="6B181443">
                  <w:pPr>
                    <w:spacing w:line="240" w:lineRule="atLeast"/>
                    <w:jc w:val="center"/>
                    <w:rPr>
                      <w:sz w:val="20"/>
                      <w:szCs w:val="20"/>
                    </w:rPr>
                  </w:pPr>
                </w:p>
              </w:tc>
              <w:tc>
                <w:tcPr>
                  <w:tcW w:w="264" w:type="pct"/>
                  <w:vMerge w:val="restart"/>
                  <w:vAlign w:val="center"/>
                </w:tcPr>
                <w:p w14:paraId="15A5C71D">
                  <w:pPr>
                    <w:spacing w:line="240" w:lineRule="atLeast"/>
                    <w:jc w:val="center"/>
                    <w:rPr>
                      <w:sz w:val="20"/>
                      <w:szCs w:val="20"/>
                    </w:rPr>
                  </w:pPr>
                  <w:r>
                    <w:rPr>
                      <w:rFonts w:hint="default"/>
                      <w:sz w:val="20"/>
                      <w:szCs w:val="20"/>
                      <w:lang w:val="en-US" w:eastAsia="zh-CN"/>
                    </w:rPr>
                    <w:t>55.94</w:t>
                  </w:r>
                </w:p>
              </w:tc>
              <w:tc>
                <w:tcPr>
                  <w:tcW w:w="236" w:type="pct"/>
                  <w:vMerge w:val="restart"/>
                  <w:vAlign w:val="center"/>
                </w:tcPr>
                <w:p w14:paraId="1937EAC9">
                  <w:pPr>
                    <w:spacing w:line="240" w:lineRule="atLeast"/>
                    <w:jc w:val="center"/>
                    <w:rPr>
                      <w:sz w:val="20"/>
                      <w:szCs w:val="20"/>
                    </w:rPr>
                  </w:pPr>
                  <w:r>
                    <w:rPr>
                      <w:rFonts w:hint="default"/>
                      <w:sz w:val="20"/>
                      <w:szCs w:val="20"/>
                      <w:lang w:val="en-US" w:eastAsia="zh-CN"/>
                    </w:rPr>
                    <w:t>9.96</w:t>
                  </w:r>
                </w:p>
              </w:tc>
              <w:tc>
                <w:tcPr>
                  <w:tcW w:w="243" w:type="pct"/>
                  <w:vMerge w:val="restart"/>
                  <w:vAlign w:val="center"/>
                </w:tcPr>
                <w:p w14:paraId="4B133D70">
                  <w:pPr>
                    <w:spacing w:line="240" w:lineRule="atLeast"/>
                    <w:jc w:val="center"/>
                    <w:rPr>
                      <w:sz w:val="20"/>
                      <w:szCs w:val="20"/>
                    </w:rPr>
                  </w:pPr>
                  <w:r>
                    <w:rPr>
                      <w:rFonts w:hint="eastAsia"/>
                      <w:sz w:val="20"/>
                      <w:szCs w:val="20"/>
                    </w:rPr>
                    <w:t>1.5</w:t>
                  </w:r>
                </w:p>
              </w:tc>
              <w:tc>
                <w:tcPr>
                  <w:tcW w:w="329" w:type="pct"/>
                  <w:vAlign w:val="center"/>
                </w:tcPr>
                <w:p w14:paraId="5E21CEF5">
                  <w:pPr>
                    <w:spacing w:line="240" w:lineRule="atLeast"/>
                    <w:jc w:val="center"/>
                    <w:rPr>
                      <w:sz w:val="20"/>
                      <w:szCs w:val="20"/>
                    </w:rPr>
                  </w:pPr>
                  <w:r>
                    <w:rPr>
                      <w:sz w:val="20"/>
                      <w:szCs w:val="20"/>
                    </w:rPr>
                    <w:t>东</w:t>
                  </w:r>
                </w:p>
              </w:tc>
              <w:tc>
                <w:tcPr>
                  <w:tcW w:w="884" w:type="dxa"/>
                  <w:vAlign w:val="center"/>
                </w:tcPr>
                <w:p w14:paraId="77056D93">
                  <w:pPr>
                    <w:spacing w:line="240" w:lineRule="atLeast"/>
                    <w:jc w:val="center"/>
                    <w:rPr>
                      <w:rFonts w:hint="default"/>
                      <w:sz w:val="20"/>
                      <w:szCs w:val="20"/>
                      <w:lang w:val="en-US" w:eastAsia="zh-CN"/>
                    </w:rPr>
                  </w:pPr>
                  <w:r>
                    <w:rPr>
                      <w:rFonts w:hint="default"/>
                      <w:sz w:val="20"/>
                      <w:szCs w:val="20"/>
                      <w:lang w:val="en-US" w:eastAsia="zh-CN"/>
                    </w:rPr>
                    <w:t>48.06</w:t>
                  </w:r>
                </w:p>
              </w:tc>
              <w:tc>
                <w:tcPr>
                  <w:tcW w:w="1070" w:type="dxa"/>
                  <w:vAlign w:val="center"/>
                </w:tcPr>
                <w:p w14:paraId="301D66D9">
                  <w:pPr>
                    <w:spacing w:line="240" w:lineRule="atLeast"/>
                    <w:jc w:val="center"/>
                    <w:rPr>
                      <w:rFonts w:hint="default"/>
                      <w:sz w:val="20"/>
                      <w:szCs w:val="20"/>
                      <w:lang w:val="en-US" w:eastAsia="zh-CN"/>
                    </w:rPr>
                  </w:pPr>
                  <w:r>
                    <w:rPr>
                      <w:rFonts w:hint="default"/>
                      <w:sz w:val="20"/>
                      <w:szCs w:val="20"/>
                      <w:lang w:val="en-US" w:eastAsia="zh-CN"/>
                    </w:rPr>
                    <w:t xml:space="preserve">69.6 </w:t>
                  </w:r>
                </w:p>
              </w:tc>
              <w:tc>
                <w:tcPr>
                  <w:tcW w:w="207" w:type="pct"/>
                  <w:vMerge w:val="continue"/>
                  <w:vAlign w:val="center"/>
                </w:tcPr>
                <w:p w14:paraId="41F6516F">
                  <w:pPr>
                    <w:spacing w:line="240" w:lineRule="atLeast"/>
                    <w:jc w:val="center"/>
                    <w:rPr>
                      <w:sz w:val="20"/>
                      <w:szCs w:val="20"/>
                    </w:rPr>
                  </w:pPr>
                </w:p>
              </w:tc>
              <w:tc>
                <w:tcPr>
                  <w:tcW w:w="428" w:type="pct"/>
                  <w:vMerge w:val="continue"/>
                  <w:vAlign w:val="center"/>
                </w:tcPr>
                <w:p w14:paraId="66F76A3E">
                  <w:pPr>
                    <w:spacing w:line="240" w:lineRule="atLeast"/>
                    <w:jc w:val="center"/>
                    <w:rPr>
                      <w:sz w:val="20"/>
                      <w:szCs w:val="20"/>
                    </w:rPr>
                  </w:pPr>
                </w:p>
              </w:tc>
              <w:tc>
                <w:tcPr>
                  <w:tcW w:w="839" w:type="dxa"/>
                  <w:vAlign w:val="center"/>
                </w:tcPr>
                <w:p w14:paraId="6F7E5C10">
                  <w:pPr>
                    <w:spacing w:line="240" w:lineRule="atLeast"/>
                    <w:jc w:val="center"/>
                    <w:rPr>
                      <w:rFonts w:hint="default"/>
                      <w:sz w:val="20"/>
                      <w:szCs w:val="20"/>
                      <w:lang w:val="en-US" w:eastAsia="zh-CN"/>
                    </w:rPr>
                  </w:pPr>
                  <w:r>
                    <w:rPr>
                      <w:rFonts w:hint="default"/>
                      <w:sz w:val="20"/>
                      <w:szCs w:val="20"/>
                      <w:lang w:val="en-US" w:eastAsia="zh-CN"/>
                    </w:rPr>
                    <w:t xml:space="preserve">38.6 </w:t>
                  </w:r>
                </w:p>
              </w:tc>
              <w:tc>
                <w:tcPr>
                  <w:tcW w:w="491" w:type="pct"/>
                  <w:vAlign w:val="center"/>
                </w:tcPr>
                <w:p w14:paraId="64423245">
                  <w:pPr>
                    <w:spacing w:line="240" w:lineRule="atLeast"/>
                    <w:jc w:val="center"/>
                    <w:rPr>
                      <w:sz w:val="20"/>
                      <w:szCs w:val="20"/>
                    </w:rPr>
                  </w:pPr>
                  <w:r>
                    <w:rPr>
                      <w:rFonts w:hint="eastAsia"/>
                      <w:sz w:val="20"/>
                      <w:szCs w:val="20"/>
                      <w:lang w:val="en-US" w:eastAsia="zh-CN"/>
                    </w:rPr>
                    <w:t>1</w:t>
                  </w:r>
                </w:p>
              </w:tc>
            </w:tr>
            <w:tr w14:paraId="40277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82" w:type="pct"/>
                  <w:vMerge w:val="continue"/>
                  <w:vAlign w:val="center"/>
                </w:tcPr>
                <w:p w14:paraId="77DB57C3">
                  <w:pPr>
                    <w:spacing w:line="240" w:lineRule="atLeast"/>
                    <w:jc w:val="center"/>
                    <w:rPr>
                      <w:sz w:val="20"/>
                      <w:szCs w:val="20"/>
                    </w:rPr>
                  </w:pPr>
                </w:p>
              </w:tc>
              <w:tc>
                <w:tcPr>
                  <w:tcW w:w="247" w:type="pct"/>
                  <w:vMerge w:val="continue"/>
                  <w:vAlign w:val="center"/>
                </w:tcPr>
                <w:p w14:paraId="2564A497">
                  <w:pPr>
                    <w:spacing w:line="240" w:lineRule="atLeast"/>
                    <w:jc w:val="center"/>
                    <w:rPr>
                      <w:sz w:val="20"/>
                      <w:szCs w:val="20"/>
                    </w:rPr>
                  </w:pPr>
                </w:p>
              </w:tc>
              <w:tc>
                <w:tcPr>
                  <w:tcW w:w="509" w:type="pct"/>
                  <w:vMerge w:val="continue"/>
                  <w:vAlign w:val="center"/>
                </w:tcPr>
                <w:p w14:paraId="2F54EAF7">
                  <w:pPr>
                    <w:spacing w:line="240" w:lineRule="atLeast"/>
                    <w:jc w:val="center"/>
                    <w:rPr>
                      <w:sz w:val="20"/>
                      <w:szCs w:val="20"/>
                    </w:rPr>
                  </w:pPr>
                </w:p>
              </w:tc>
              <w:tc>
                <w:tcPr>
                  <w:tcW w:w="525" w:type="pct"/>
                  <w:vMerge w:val="continue"/>
                  <w:vAlign w:val="center"/>
                </w:tcPr>
                <w:p w14:paraId="542AE26B">
                  <w:pPr>
                    <w:spacing w:line="240" w:lineRule="atLeast"/>
                    <w:jc w:val="center"/>
                    <w:rPr>
                      <w:sz w:val="20"/>
                      <w:szCs w:val="20"/>
                    </w:rPr>
                  </w:pPr>
                </w:p>
              </w:tc>
              <w:tc>
                <w:tcPr>
                  <w:tcW w:w="323" w:type="pct"/>
                  <w:vMerge w:val="continue"/>
                  <w:vAlign w:val="center"/>
                </w:tcPr>
                <w:p w14:paraId="2FD2E1D1">
                  <w:pPr>
                    <w:spacing w:line="240" w:lineRule="atLeast"/>
                    <w:jc w:val="center"/>
                    <w:rPr>
                      <w:sz w:val="20"/>
                      <w:szCs w:val="20"/>
                    </w:rPr>
                  </w:pPr>
                </w:p>
              </w:tc>
              <w:tc>
                <w:tcPr>
                  <w:tcW w:w="264" w:type="pct"/>
                  <w:vMerge w:val="continue"/>
                  <w:vAlign w:val="center"/>
                </w:tcPr>
                <w:p w14:paraId="6FD508EA">
                  <w:pPr>
                    <w:spacing w:line="240" w:lineRule="atLeast"/>
                    <w:jc w:val="center"/>
                    <w:rPr>
                      <w:sz w:val="20"/>
                      <w:szCs w:val="20"/>
                    </w:rPr>
                  </w:pPr>
                </w:p>
              </w:tc>
              <w:tc>
                <w:tcPr>
                  <w:tcW w:w="236" w:type="pct"/>
                  <w:vMerge w:val="continue"/>
                  <w:vAlign w:val="center"/>
                </w:tcPr>
                <w:p w14:paraId="4A133B91">
                  <w:pPr>
                    <w:spacing w:line="240" w:lineRule="atLeast"/>
                    <w:jc w:val="center"/>
                    <w:rPr>
                      <w:sz w:val="20"/>
                      <w:szCs w:val="20"/>
                    </w:rPr>
                  </w:pPr>
                </w:p>
              </w:tc>
              <w:tc>
                <w:tcPr>
                  <w:tcW w:w="243" w:type="pct"/>
                  <w:vMerge w:val="continue"/>
                  <w:vAlign w:val="center"/>
                </w:tcPr>
                <w:p w14:paraId="1B4520C0">
                  <w:pPr>
                    <w:spacing w:line="240" w:lineRule="atLeast"/>
                    <w:jc w:val="center"/>
                    <w:rPr>
                      <w:sz w:val="20"/>
                      <w:szCs w:val="20"/>
                    </w:rPr>
                  </w:pPr>
                </w:p>
              </w:tc>
              <w:tc>
                <w:tcPr>
                  <w:tcW w:w="329" w:type="pct"/>
                  <w:vAlign w:val="center"/>
                </w:tcPr>
                <w:p w14:paraId="0DC162D9">
                  <w:pPr>
                    <w:spacing w:line="240" w:lineRule="atLeast"/>
                    <w:jc w:val="center"/>
                    <w:rPr>
                      <w:sz w:val="20"/>
                      <w:szCs w:val="20"/>
                    </w:rPr>
                  </w:pPr>
                  <w:r>
                    <w:rPr>
                      <w:sz w:val="20"/>
                      <w:szCs w:val="20"/>
                    </w:rPr>
                    <w:t>南</w:t>
                  </w:r>
                </w:p>
              </w:tc>
              <w:tc>
                <w:tcPr>
                  <w:tcW w:w="884" w:type="dxa"/>
                  <w:vAlign w:val="center"/>
                </w:tcPr>
                <w:p w14:paraId="1486A419">
                  <w:pPr>
                    <w:spacing w:line="240" w:lineRule="atLeast"/>
                    <w:jc w:val="center"/>
                    <w:rPr>
                      <w:rFonts w:hint="default"/>
                      <w:sz w:val="20"/>
                      <w:szCs w:val="20"/>
                      <w:lang w:val="en-US" w:eastAsia="zh-CN"/>
                    </w:rPr>
                  </w:pPr>
                  <w:r>
                    <w:rPr>
                      <w:rFonts w:hint="default"/>
                      <w:sz w:val="20"/>
                      <w:szCs w:val="20"/>
                      <w:lang w:val="en-US" w:eastAsia="zh-CN"/>
                    </w:rPr>
                    <w:t>9.96</w:t>
                  </w:r>
                </w:p>
              </w:tc>
              <w:tc>
                <w:tcPr>
                  <w:tcW w:w="1070" w:type="dxa"/>
                  <w:vAlign w:val="center"/>
                </w:tcPr>
                <w:p w14:paraId="56AB47B5">
                  <w:pPr>
                    <w:spacing w:line="240" w:lineRule="atLeast"/>
                    <w:jc w:val="center"/>
                    <w:rPr>
                      <w:rFonts w:hint="default"/>
                      <w:sz w:val="20"/>
                      <w:szCs w:val="20"/>
                      <w:lang w:val="en-US" w:eastAsia="zh-CN"/>
                    </w:rPr>
                  </w:pPr>
                  <w:r>
                    <w:rPr>
                      <w:rFonts w:hint="default"/>
                      <w:sz w:val="20"/>
                      <w:szCs w:val="20"/>
                      <w:lang w:val="en-US" w:eastAsia="zh-CN"/>
                    </w:rPr>
                    <w:t xml:space="preserve">74.6 </w:t>
                  </w:r>
                </w:p>
              </w:tc>
              <w:tc>
                <w:tcPr>
                  <w:tcW w:w="207" w:type="pct"/>
                  <w:vMerge w:val="continue"/>
                  <w:vAlign w:val="center"/>
                </w:tcPr>
                <w:p w14:paraId="663E6EA5">
                  <w:pPr>
                    <w:spacing w:line="240" w:lineRule="atLeast"/>
                    <w:jc w:val="center"/>
                    <w:rPr>
                      <w:sz w:val="20"/>
                      <w:szCs w:val="20"/>
                    </w:rPr>
                  </w:pPr>
                </w:p>
              </w:tc>
              <w:tc>
                <w:tcPr>
                  <w:tcW w:w="428" w:type="pct"/>
                  <w:vMerge w:val="continue"/>
                  <w:vAlign w:val="center"/>
                </w:tcPr>
                <w:p w14:paraId="6238DDF6">
                  <w:pPr>
                    <w:spacing w:line="240" w:lineRule="atLeast"/>
                    <w:jc w:val="center"/>
                    <w:rPr>
                      <w:sz w:val="20"/>
                      <w:szCs w:val="20"/>
                    </w:rPr>
                  </w:pPr>
                </w:p>
              </w:tc>
              <w:tc>
                <w:tcPr>
                  <w:tcW w:w="839" w:type="dxa"/>
                  <w:vAlign w:val="center"/>
                </w:tcPr>
                <w:p w14:paraId="5A8CE64B">
                  <w:pPr>
                    <w:spacing w:line="240" w:lineRule="atLeast"/>
                    <w:jc w:val="center"/>
                    <w:rPr>
                      <w:rFonts w:hint="default"/>
                      <w:sz w:val="20"/>
                      <w:szCs w:val="20"/>
                      <w:lang w:val="en-US" w:eastAsia="zh-CN"/>
                    </w:rPr>
                  </w:pPr>
                  <w:r>
                    <w:rPr>
                      <w:rFonts w:hint="default"/>
                      <w:sz w:val="20"/>
                      <w:szCs w:val="20"/>
                      <w:lang w:val="en-US" w:eastAsia="zh-CN"/>
                    </w:rPr>
                    <w:t xml:space="preserve">43.6 </w:t>
                  </w:r>
                </w:p>
              </w:tc>
              <w:tc>
                <w:tcPr>
                  <w:tcW w:w="491" w:type="pct"/>
                  <w:vAlign w:val="center"/>
                </w:tcPr>
                <w:p w14:paraId="5A97E18D">
                  <w:pPr>
                    <w:spacing w:line="240" w:lineRule="atLeast"/>
                    <w:jc w:val="center"/>
                    <w:rPr>
                      <w:sz w:val="20"/>
                      <w:szCs w:val="20"/>
                    </w:rPr>
                  </w:pPr>
                  <w:r>
                    <w:rPr>
                      <w:rFonts w:hint="eastAsia"/>
                      <w:sz w:val="20"/>
                      <w:szCs w:val="20"/>
                      <w:lang w:val="en-US" w:eastAsia="zh-CN"/>
                    </w:rPr>
                    <w:t>1</w:t>
                  </w:r>
                </w:p>
              </w:tc>
            </w:tr>
            <w:tr w14:paraId="4ECBF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5D330152">
                  <w:pPr>
                    <w:spacing w:line="240" w:lineRule="atLeast"/>
                    <w:jc w:val="center"/>
                    <w:rPr>
                      <w:sz w:val="20"/>
                      <w:szCs w:val="20"/>
                    </w:rPr>
                  </w:pPr>
                </w:p>
              </w:tc>
              <w:tc>
                <w:tcPr>
                  <w:tcW w:w="247" w:type="pct"/>
                  <w:vMerge w:val="continue"/>
                  <w:vAlign w:val="center"/>
                </w:tcPr>
                <w:p w14:paraId="202BB70C">
                  <w:pPr>
                    <w:spacing w:line="240" w:lineRule="atLeast"/>
                    <w:jc w:val="center"/>
                    <w:rPr>
                      <w:sz w:val="20"/>
                      <w:szCs w:val="20"/>
                    </w:rPr>
                  </w:pPr>
                </w:p>
              </w:tc>
              <w:tc>
                <w:tcPr>
                  <w:tcW w:w="509" w:type="pct"/>
                  <w:vMerge w:val="continue"/>
                  <w:vAlign w:val="center"/>
                </w:tcPr>
                <w:p w14:paraId="2EF5D50A">
                  <w:pPr>
                    <w:spacing w:line="240" w:lineRule="atLeast"/>
                    <w:jc w:val="center"/>
                    <w:rPr>
                      <w:sz w:val="20"/>
                      <w:szCs w:val="20"/>
                    </w:rPr>
                  </w:pPr>
                </w:p>
              </w:tc>
              <w:tc>
                <w:tcPr>
                  <w:tcW w:w="525" w:type="pct"/>
                  <w:vMerge w:val="continue"/>
                  <w:vAlign w:val="center"/>
                </w:tcPr>
                <w:p w14:paraId="6D695777">
                  <w:pPr>
                    <w:spacing w:line="240" w:lineRule="atLeast"/>
                    <w:jc w:val="center"/>
                    <w:rPr>
                      <w:sz w:val="20"/>
                      <w:szCs w:val="20"/>
                    </w:rPr>
                  </w:pPr>
                </w:p>
              </w:tc>
              <w:tc>
                <w:tcPr>
                  <w:tcW w:w="323" w:type="pct"/>
                  <w:vMerge w:val="continue"/>
                  <w:vAlign w:val="center"/>
                </w:tcPr>
                <w:p w14:paraId="52F5E1A0">
                  <w:pPr>
                    <w:spacing w:line="240" w:lineRule="atLeast"/>
                    <w:jc w:val="center"/>
                    <w:rPr>
                      <w:sz w:val="20"/>
                      <w:szCs w:val="20"/>
                    </w:rPr>
                  </w:pPr>
                </w:p>
              </w:tc>
              <w:tc>
                <w:tcPr>
                  <w:tcW w:w="264" w:type="pct"/>
                  <w:vMerge w:val="continue"/>
                  <w:vAlign w:val="center"/>
                </w:tcPr>
                <w:p w14:paraId="213A4020">
                  <w:pPr>
                    <w:spacing w:line="240" w:lineRule="atLeast"/>
                    <w:jc w:val="center"/>
                    <w:rPr>
                      <w:sz w:val="20"/>
                      <w:szCs w:val="20"/>
                    </w:rPr>
                  </w:pPr>
                </w:p>
              </w:tc>
              <w:tc>
                <w:tcPr>
                  <w:tcW w:w="236" w:type="pct"/>
                  <w:vMerge w:val="continue"/>
                  <w:vAlign w:val="center"/>
                </w:tcPr>
                <w:p w14:paraId="21C5E9E4">
                  <w:pPr>
                    <w:spacing w:line="240" w:lineRule="atLeast"/>
                    <w:jc w:val="center"/>
                    <w:rPr>
                      <w:sz w:val="20"/>
                      <w:szCs w:val="20"/>
                    </w:rPr>
                  </w:pPr>
                </w:p>
              </w:tc>
              <w:tc>
                <w:tcPr>
                  <w:tcW w:w="243" w:type="pct"/>
                  <w:vMerge w:val="continue"/>
                  <w:vAlign w:val="center"/>
                </w:tcPr>
                <w:p w14:paraId="4E2935AE">
                  <w:pPr>
                    <w:spacing w:line="240" w:lineRule="atLeast"/>
                    <w:jc w:val="center"/>
                    <w:rPr>
                      <w:sz w:val="20"/>
                      <w:szCs w:val="20"/>
                    </w:rPr>
                  </w:pPr>
                </w:p>
              </w:tc>
              <w:tc>
                <w:tcPr>
                  <w:tcW w:w="329" w:type="pct"/>
                  <w:vAlign w:val="center"/>
                </w:tcPr>
                <w:p w14:paraId="770C2F14">
                  <w:pPr>
                    <w:spacing w:line="240" w:lineRule="atLeast"/>
                    <w:jc w:val="center"/>
                    <w:rPr>
                      <w:sz w:val="20"/>
                      <w:szCs w:val="20"/>
                    </w:rPr>
                  </w:pPr>
                  <w:r>
                    <w:rPr>
                      <w:sz w:val="20"/>
                      <w:szCs w:val="20"/>
                    </w:rPr>
                    <w:t>西</w:t>
                  </w:r>
                </w:p>
              </w:tc>
              <w:tc>
                <w:tcPr>
                  <w:tcW w:w="884" w:type="dxa"/>
                  <w:vAlign w:val="center"/>
                </w:tcPr>
                <w:p w14:paraId="0E404DED">
                  <w:pPr>
                    <w:spacing w:line="240" w:lineRule="atLeast"/>
                    <w:jc w:val="center"/>
                    <w:rPr>
                      <w:rFonts w:hint="default"/>
                      <w:sz w:val="20"/>
                      <w:szCs w:val="20"/>
                      <w:lang w:val="en-US" w:eastAsia="zh-CN"/>
                    </w:rPr>
                  </w:pPr>
                  <w:r>
                    <w:rPr>
                      <w:rFonts w:hint="default"/>
                      <w:sz w:val="20"/>
                      <w:szCs w:val="20"/>
                      <w:lang w:val="en-US" w:eastAsia="zh-CN"/>
                    </w:rPr>
                    <w:t>55.94</w:t>
                  </w:r>
                </w:p>
              </w:tc>
              <w:tc>
                <w:tcPr>
                  <w:tcW w:w="1070" w:type="dxa"/>
                  <w:vAlign w:val="center"/>
                </w:tcPr>
                <w:p w14:paraId="7A074CEE">
                  <w:pPr>
                    <w:spacing w:line="240" w:lineRule="atLeast"/>
                    <w:jc w:val="center"/>
                    <w:rPr>
                      <w:rFonts w:hint="default"/>
                      <w:sz w:val="20"/>
                      <w:szCs w:val="20"/>
                      <w:lang w:val="en-US" w:eastAsia="zh-CN"/>
                    </w:rPr>
                  </w:pPr>
                  <w:r>
                    <w:rPr>
                      <w:rFonts w:hint="default"/>
                      <w:sz w:val="20"/>
                      <w:szCs w:val="20"/>
                      <w:lang w:val="en-US" w:eastAsia="zh-CN"/>
                    </w:rPr>
                    <w:t xml:space="preserve">69.5 </w:t>
                  </w:r>
                </w:p>
              </w:tc>
              <w:tc>
                <w:tcPr>
                  <w:tcW w:w="207" w:type="pct"/>
                  <w:vMerge w:val="continue"/>
                  <w:vAlign w:val="center"/>
                </w:tcPr>
                <w:p w14:paraId="48BB1770">
                  <w:pPr>
                    <w:spacing w:line="240" w:lineRule="atLeast"/>
                    <w:jc w:val="center"/>
                    <w:rPr>
                      <w:sz w:val="20"/>
                      <w:szCs w:val="20"/>
                    </w:rPr>
                  </w:pPr>
                </w:p>
              </w:tc>
              <w:tc>
                <w:tcPr>
                  <w:tcW w:w="428" w:type="pct"/>
                  <w:vMerge w:val="continue"/>
                  <w:vAlign w:val="center"/>
                </w:tcPr>
                <w:p w14:paraId="4A92BCED">
                  <w:pPr>
                    <w:spacing w:line="240" w:lineRule="atLeast"/>
                    <w:jc w:val="center"/>
                    <w:rPr>
                      <w:sz w:val="20"/>
                      <w:szCs w:val="20"/>
                    </w:rPr>
                  </w:pPr>
                </w:p>
              </w:tc>
              <w:tc>
                <w:tcPr>
                  <w:tcW w:w="839" w:type="dxa"/>
                  <w:vAlign w:val="center"/>
                </w:tcPr>
                <w:p w14:paraId="323AF22D">
                  <w:pPr>
                    <w:spacing w:line="240" w:lineRule="atLeast"/>
                    <w:jc w:val="center"/>
                    <w:rPr>
                      <w:rFonts w:hint="default"/>
                      <w:sz w:val="20"/>
                      <w:szCs w:val="20"/>
                      <w:lang w:val="en-US" w:eastAsia="zh-CN"/>
                    </w:rPr>
                  </w:pPr>
                  <w:r>
                    <w:rPr>
                      <w:rFonts w:hint="default"/>
                      <w:sz w:val="20"/>
                      <w:szCs w:val="20"/>
                      <w:lang w:val="en-US" w:eastAsia="zh-CN"/>
                    </w:rPr>
                    <w:t xml:space="preserve">38.5 </w:t>
                  </w:r>
                </w:p>
              </w:tc>
              <w:tc>
                <w:tcPr>
                  <w:tcW w:w="491" w:type="pct"/>
                  <w:vAlign w:val="center"/>
                </w:tcPr>
                <w:p w14:paraId="21ADD570">
                  <w:pPr>
                    <w:spacing w:line="240" w:lineRule="atLeast"/>
                    <w:jc w:val="center"/>
                    <w:rPr>
                      <w:sz w:val="20"/>
                      <w:szCs w:val="20"/>
                    </w:rPr>
                  </w:pPr>
                  <w:r>
                    <w:rPr>
                      <w:rFonts w:hint="eastAsia"/>
                      <w:sz w:val="20"/>
                      <w:szCs w:val="20"/>
                      <w:lang w:val="en-US" w:eastAsia="zh-CN"/>
                    </w:rPr>
                    <w:t>1</w:t>
                  </w:r>
                </w:p>
              </w:tc>
            </w:tr>
            <w:tr w14:paraId="63591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82" w:type="pct"/>
                  <w:vMerge w:val="continue"/>
                  <w:vAlign w:val="center"/>
                </w:tcPr>
                <w:p w14:paraId="589AEF35">
                  <w:pPr>
                    <w:spacing w:line="240" w:lineRule="atLeast"/>
                    <w:jc w:val="center"/>
                    <w:rPr>
                      <w:sz w:val="20"/>
                      <w:szCs w:val="20"/>
                    </w:rPr>
                  </w:pPr>
                </w:p>
              </w:tc>
              <w:tc>
                <w:tcPr>
                  <w:tcW w:w="247" w:type="pct"/>
                  <w:vMerge w:val="continue"/>
                  <w:vAlign w:val="center"/>
                </w:tcPr>
                <w:p w14:paraId="2DC673D5">
                  <w:pPr>
                    <w:spacing w:line="240" w:lineRule="atLeast"/>
                    <w:jc w:val="center"/>
                    <w:rPr>
                      <w:sz w:val="20"/>
                      <w:szCs w:val="20"/>
                    </w:rPr>
                  </w:pPr>
                </w:p>
              </w:tc>
              <w:tc>
                <w:tcPr>
                  <w:tcW w:w="509" w:type="pct"/>
                  <w:vMerge w:val="continue"/>
                  <w:vAlign w:val="center"/>
                </w:tcPr>
                <w:p w14:paraId="6BD17C06">
                  <w:pPr>
                    <w:spacing w:line="240" w:lineRule="atLeast"/>
                    <w:jc w:val="center"/>
                    <w:rPr>
                      <w:sz w:val="20"/>
                      <w:szCs w:val="20"/>
                    </w:rPr>
                  </w:pPr>
                </w:p>
              </w:tc>
              <w:tc>
                <w:tcPr>
                  <w:tcW w:w="525" w:type="pct"/>
                  <w:vMerge w:val="continue"/>
                  <w:vAlign w:val="center"/>
                </w:tcPr>
                <w:p w14:paraId="723D9FE2">
                  <w:pPr>
                    <w:spacing w:line="240" w:lineRule="atLeast"/>
                    <w:jc w:val="center"/>
                    <w:rPr>
                      <w:sz w:val="20"/>
                      <w:szCs w:val="20"/>
                    </w:rPr>
                  </w:pPr>
                </w:p>
              </w:tc>
              <w:tc>
                <w:tcPr>
                  <w:tcW w:w="323" w:type="pct"/>
                  <w:vMerge w:val="continue"/>
                  <w:vAlign w:val="center"/>
                </w:tcPr>
                <w:p w14:paraId="427AEF01">
                  <w:pPr>
                    <w:spacing w:line="240" w:lineRule="atLeast"/>
                    <w:jc w:val="center"/>
                    <w:rPr>
                      <w:sz w:val="20"/>
                      <w:szCs w:val="20"/>
                    </w:rPr>
                  </w:pPr>
                </w:p>
              </w:tc>
              <w:tc>
                <w:tcPr>
                  <w:tcW w:w="264" w:type="pct"/>
                  <w:vMerge w:val="continue"/>
                  <w:vAlign w:val="center"/>
                </w:tcPr>
                <w:p w14:paraId="67F6103E">
                  <w:pPr>
                    <w:spacing w:line="240" w:lineRule="atLeast"/>
                    <w:jc w:val="center"/>
                    <w:rPr>
                      <w:sz w:val="20"/>
                      <w:szCs w:val="20"/>
                    </w:rPr>
                  </w:pPr>
                </w:p>
              </w:tc>
              <w:tc>
                <w:tcPr>
                  <w:tcW w:w="236" w:type="pct"/>
                  <w:vMerge w:val="continue"/>
                  <w:vAlign w:val="center"/>
                </w:tcPr>
                <w:p w14:paraId="65AAC9B3">
                  <w:pPr>
                    <w:spacing w:line="240" w:lineRule="atLeast"/>
                    <w:jc w:val="center"/>
                    <w:rPr>
                      <w:sz w:val="20"/>
                      <w:szCs w:val="20"/>
                    </w:rPr>
                  </w:pPr>
                </w:p>
              </w:tc>
              <w:tc>
                <w:tcPr>
                  <w:tcW w:w="243" w:type="pct"/>
                  <w:vMerge w:val="continue"/>
                  <w:vAlign w:val="center"/>
                </w:tcPr>
                <w:p w14:paraId="23AEF2CB">
                  <w:pPr>
                    <w:spacing w:line="240" w:lineRule="atLeast"/>
                    <w:jc w:val="center"/>
                    <w:rPr>
                      <w:sz w:val="20"/>
                      <w:szCs w:val="20"/>
                    </w:rPr>
                  </w:pPr>
                </w:p>
              </w:tc>
              <w:tc>
                <w:tcPr>
                  <w:tcW w:w="329" w:type="pct"/>
                  <w:vAlign w:val="center"/>
                </w:tcPr>
                <w:p w14:paraId="30BF81D0">
                  <w:pPr>
                    <w:spacing w:line="240" w:lineRule="atLeast"/>
                    <w:jc w:val="center"/>
                    <w:rPr>
                      <w:sz w:val="20"/>
                      <w:szCs w:val="20"/>
                    </w:rPr>
                  </w:pPr>
                  <w:r>
                    <w:rPr>
                      <w:sz w:val="20"/>
                      <w:szCs w:val="20"/>
                    </w:rPr>
                    <w:t>北</w:t>
                  </w:r>
                </w:p>
              </w:tc>
              <w:tc>
                <w:tcPr>
                  <w:tcW w:w="884" w:type="dxa"/>
                  <w:vAlign w:val="center"/>
                </w:tcPr>
                <w:p w14:paraId="2223D7CB">
                  <w:pPr>
                    <w:spacing w:line="240" w:lineRule="atLeast"/>
                    <w:jc w:val="center"/>
                    <w:rPr>
                      <w:rFonts w:hint="default"/>
                      <w:sz w:val="20"/>
                      <w:szCs w:val="20"/>
                      <w:lang w:val="en-US" w:eastAsia="zh-CN"/>
                    </w:rPr>
                  </w:pPr>
                  <w:r>
                    <w:rPr>
                      <w:rFonts w:hint="default"/>
                      <w:sz w:val="20"/>
                      <w:szCs w:val="20"/>
                      <w:lang w:val="en-US" w:eastAsia="zh-CN"/>
                    </w:rPr>
                    <w:t>8.04</w:t>
                  </w:r>
                </w:p>
              </w:tc>
              <w:tc>
                <w:tcPr>
                  <w:tcW w:w="1070" w:type="dxa"/>
                  <w:vAlign w:val="center"/>
                </w:tcPr>
                <w:p w14:paraId="53879D0D">
                  <w:pPr>
                    <w:spacing w:line="240" w:lineRule="atLeast"/>
                    <w:jc w:val="center"/>
                    <w:rPr>
                      <w:rFonts w:hint="default"/>
                      <w:sz w:val="20"/>
                      <w:szCs w:val="20"/>
                      <w:lang w:val="en-US" w:eastAsia="zh-CN"/>
                    </w:rPr>
                  </w:pPr>
                  <w:r>
                    <w:rPr>
                      <w:rFonts w:hint="default"/>
                      <w:sz w:val="20"/>
                      <w:szCs w:val="20"/>
                      <w:lang w:val="en-US" w:eastAsia="zh-CN"/>
                    </w:rPr>
                    <w:t xml:space="preserve">76.0 </w:t>
                  </w:r>
                </w:p>
              </w:tc>
              <w:tc>
                <w:tcPr>
                  <w:tcW w:w="207" w:type="pct"/>
                  <w:vMerge w:val="continue"/>
                  <w:vAlign w:val="center"/>
                </w:tcPr>
                <w:p w14:paraId="5AF8E4C8">
                  <w:pPr>
                    <w:spacing w:line="240" w:lineRule="atLeast"/>
                    <w:jc w:val="center"/>
                    <w:rPr>
                      <w:sz w:val="20"/>
                      <w:szCs w:val="20"/>
                    </w:rPr>
                  </w:pPr>
                </w:p>
              </w:tc>
              <w:tc>
                <w:tcPr>
                  <w:tcW w:w="428" w:type="pct"/>
                  <w:vMerge w:val="continue"/>
                  <w:vAlign w:val="center"/>
                </w:tcPr>
                <w:p w14:paraId="11C2D369">
                  <w:pPr>
                    <w:spacing w:line="240" w:lineRule="atLeast"/>
                    <w:jc w:val="center"/>
                    <w:rPr>
                      <w:sz w:val="20"/>
                      <w:szCs w:val="20"/>
                    </w:rPr>
                  </w:pPr>
                </w:p>
              </w:tc>
              <w:tc>
                <w:tcPr>
                  <w:tcW w:w="839" w:type="dxa"/>
                  <w:vAlign w:val="center"/>
                </w:tcPr>
                <w:p w14:paraId="1C5EAF99">
                  <w:pPr>
                    <w:spacing w:line="240" w:lineRule="atLeast"/>
                    <w:jc w:val="center"/>
                    <w:rPr>
                      <w:rFonts w:hint="default"/>
                      <w:sz w:val="20"/>
                      <w:szCs w:val="20"/>
                      <w:lang w:val="en-US" w:eastAsia="zh-CN"/>
                    </w:rPr>
                  </w:pPr>
                  <w:r>
                    <w:rPr>
                      <w:rFonts w:hint="default"/>
                      <w:sz w:val="20"/>
                      <w:szCs w:val="20"/>
                      <w:lang w:val="en-US" w:eastAsia="zh-CN"/>
                    </w:rPr>
                    <w:t xml:space="preserve">45.0 </w:t>
                  </w:r>
                </w:p>
              </w:tc>
              <w:tc>
                <w:tcPr>
                  <w:tcW w:w="491" w:type="pct"/>
                  <w:vAlign w:val="center"/>
                </w:tcPr>
                <w:p w14:paraId="2F00D4F9">
                  <w:pPr>
                    <w:spacing w:line="240" w:lineRule="atLeast"/>
                    <w:jc w:val="center"/>
                    <w:rPr>
                      <w:sz w:val="20"/>
                      <w:szCs w:val="20"/>
                    </w:rPr>
                  </w:pPr>
                  <w:r>
                    <w:rPr>
                      <w:rFonts w:hint="eastAsia"/>
                      <w:sz w:val="20"/>
                      <w:szCs w:val="20"/>
                      <w:lang w:val="en-US" w:eastAsia="zh-CN"/>
                    </w:rPr>
                    <w:t>1</w:t>
                  </w:r>
                </w:p>
              </w:tc>
            </w:tr>
            <w:tr w14:paraId="72C47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restart"/>
                  <w:vAlign w:val="center"/>
                </w:tcPr>
                <w:p w14:paraId="7ED2786F">
                  <w:pPr>
                    <w:spacing w:line="240" w:lineRule="atLeast"/>
                    <w:jc w:val="center"/>
                    <w:rPr>
                      <w:sz w:val="20"/>
                      <w:szCs w:val="20"/>
                    </w:rPr>
                  </w:pPr>
                  <w:r>
                    <w:rPr>
                      <w:rFonts w:hint="eastAsia"/>
                      <w:sz w:val="20"/>
                      <w:szCs w:val="20"/>
                    </w:rPr>
                    <w:t>4</w:t>
                  </w:r>
                </w:p>
              </w:tc>
              <w:tc>
                <w:tcPr>
                  <w:tcW w:w="247" w:type="pct"/>
                  <w:vMerge w:val="continue"/>
                  <w:vAlign w:val="center"/>
                </w:tcPr>
                <w:p w14:paraId="30E8D67E">
                  <w:pPr>
                    <w:spacing w:line="240" w:lineRule="atLeast"/>
                    <w:jc w:val="center"/>
                    <w:rPr>
                      <w:sz w:val="20"/>
                      <w:szCs w:val="20"/>
                    </w:rPr>
                  </w:pPr>
                </w:p>
              </w:tc>
              <w:tc>
                <w:tcPr>
                  <w:tcW w:w="509" w:type="pct"/>
                  <w:vMerge w:val="restart"/>
                  <w:vAlign w:val="center"/>
                </w:tcPr>
                <w:p w14:paraId="43D640F8">
                  <w:pPr>
                    <w:spacing w:line="240" w:lineRule="atLeast"/>
                    <w:jc w:val="center"/>
                    <w:rPr>
                      <w:rFonts w:hint="eastAsia"/>
                      <w:sz w:val="20"/>
                      <w:szCs w:val="20"/>
                      <w:lang w:val="en-US" w:eastAsia="zh-CN"/>
                    </w:rPr>
                  </w:pPr>
                  <w:r>
                    <w:rPr>
                      <w:rFonts w:hint="eastAsia"/>
                      <w:sz w:val="20"/>
                      <w:szCs w:val="20"/>
                      <w:lang w:val="en-US" w:eastAsia="zh-CN"/>
                    </w:rPr>
                    <w:t>加工中心</w:t>
                  </w:r>
                </w:p>
                <w:p w14:paraId="01AC7C5D">
                  <w:pPr>
                    <w:spacing w:line="240" w:lineRule="atLeast"/>
                    <w:jc w:val="center"/>
                    <w:rPr>
                      <w:sz w:val="20"/>
                      <w:szCs w:val="20"/>
                    </w:rPr>
                  </w:pPr>
                  <w:r>
                    <w:rPr>
                      <w:rFonts w:hint="eastAsia"/>
                      <w:sz w:val="20"/>
                      <w:szCs w:val="20"/>
                    </w:rPr>
                    <w:t>（</w:t>
                  </w:r>
                  <w:r>
                    <w:rPr>
                      <w:rFonts w:hint="eastAsia"/>
                      <w:sz w:val="20"/>
                      <w:szCs w:val="20"/>
                      <w:lang w:val="en-US" w:eastAsia="zh-CN"/>
                    </w:rPr>
                    <w:t>10</w:t>
                  </w:r>
                  <w:r>
                    <w:rPr>
                      <w:rFonts w:hint="eastAsia"/>
                      <w:sz w:val="20"/>
                      <w:szCs w:val="20"/>
                    </w:rPr>
                    <w:t>台）</w:t>
                  </w:r>
                </w:p>
              </w:tc>
              <w:tc>
                <w:tcPr>
                  <w:tcW w:w="525" w:type="pct"/>
                  <w:vMerge w:val="restart"/>
                  <w:vAlign w:val="center"/>
                </w:tcPr>
                <w:p w14:paraId="64CD9457">
                  <w:pPr>
                    <w:spacing w:line="240" w:lineRule="atLeast"/>
                    <w:jc w:val="center"/>
                    <w:rPr>
                      <w:rFonts w:hint="default" w:eastAsia="仿宋"/>
                      <w:sz w:val="20"/>
                      <w:szCs w:val="20"/>
                      <w:lang w:val="en-US" w:eastAsia="zh-CN"/>
                    </w:rPr>
                  </w:pPr>
                  <w:r>
                    <w:rPr>
                      <w:rFonts w:hint="eastAsia"/>
                      <w:sz w:val="20"/>
                      <w:szCs w:val="20"/>
                      <w:lang w:val="en-US" w:eastAsia="zh-CN"/>
                    </w:rPr>
                    <w:t>85</w:t>
                  </w:r>
                </w:p>
              </w:tc>
              <w:tc>
                <w:tcPr>
                  <w:tcW w:w="323" w:type="pct"/>
                  <w:vMerge w:val="continue"/>
                  <w:vAlign w:val="center"/>
                </w:tcPr>
                <w:p w14:paraId="7917005D">
                  <w:pPr>
                    <w:spacing w:line="240" w:lineRule="atLeast"/>
                    <w:jc w:val="center"/>
                    <w:rPr>
                      <w:sz w:val="20"/>
                      <w:szCs w:val="20"/>
                    </w:rPr>
                  </w:pPr>
                </w:p>
              </w:tc>
              <w:tc>
                <w:tcPr>
                  <w:tcW w:w="264" w:type="pct"/>
                  <w:vMerge w:val="restart"/>
                  <w:vAlign w:val="center"/>
                </w:tcPr>
                <w:p w14:paraId="1D29EE95">
                  <w:pPr>
                    <w:spacing w:line="240" w:lineRule="atLeast"/>
                    <w:jc w:val="center"/>
                    <w:rPr>
                      <w:sz w:val="20"/>
                      <w:szCs w:val="20"/>
                    </w:rPr>
                  </w:pPr>
                  <w:r>
                    <w:rPr>
                      <w:rFonts w:hint="default"/>
                      <w:sz w:val="20"/>
                      <w:szCs w:val="20"/>
                      <w:lang w:val="en-US" w:eastAsia="zh-CN"/>
                    </w:rPr>
                    <w:t>55.76</w:t>
                  </w:r>
                </w:p>
              </w:tc>
              <w:tc>
                <w:tcPr>
                  <w:tcW w:w="236" w:type="pct"/>
                  <w:vMerge w:val="restart"/>
                  <w:vAlign w:val="center"/>
                </w:tcPr>
                <w:p w14:paraId="2A2D683C">
                  <w:pPr>
                    <w:spacing w:line="240" w:lineRule="atLeast"/>
                    <w:jc w:val="center"/>
                    <w:rPr>
                      <w:sz w:val="20"/>
                      <w:szCs w:val="20"/>
                    </w:rPr>
                  </w:pPr>
                  <w:r>
                    <w:rPr>
                      <w:rFonts w:hint="default"/>
                      <w:sz w:val="20"/>
                      <w:szCs w:val="20"/>
                      <w:lang w:val="en-US" w:eastAsia="zh-CN"/>
                    </w:rPr>
                    <w:t>8.79</w:t>
                  </w:r>
                </w:p>
              </w:tc>
              <w:tc>
                <w:tcPr>
                  <w:tcW w:w="243" w:type="pct"/>
                  <w:vMerge w:val="restart"/>
                  <w:vAlign w:val="center"/>
                </w:tcPr>
                <w:p w14:paraId="43649167">
                  <w:pPr>
                    <w:spacing w:line="240" w:lineRule="atLeast"/>
                    <w:jc w:val="center"/>
                    <w:rPr>
                      <w:sz w:val="20"/>
                      <w:szCs w:val="20"/>
                    </w:rPr>
                  </w:pPr>
                  <w:r>
                    <w:rPr>
                      <w:rFonts w:hint="eastAsia"/>
                      <w:sz w:val="20"/>
                      <w:szCs w:val="20"/>
                    </w:rPr>
                    <w:t>1.5</w:t>
                  </w:r>
                </w:p>
              </w:tc>
              <w:tc>
                <w:tcPr>
                  <w:tcW w:w="329" w:type="pct"/>
                  <w:vAlign w:val="center"/>
                </w:tcPr>
                <w:p w14:paraId="740E6D43">
                  <w:pPr>
                    <w:spacing w:line="240" w:lineRule="atLeast"/>
                    <w:jc w:val="center"/>
                    <w:rPr>
                      <w:sz w:val="20"/>
                      <w:szCs w:val="20"/>
                    </w:rPr>
                  </w:pPr>
                  <w:r>
                    <w:rPr>
                      <w:sz w:val="20"/>
                      <w:szCs w:val="20"/>
                    </w:rPr>
                    <w:t>东</w:t>
                  </w:r>
                </w:p>
              </w:tc>
              <w:tc>
                <w:tcPr>
                  <w:tcW w:w="884" w:type="dxa"/>
                  <w:vAlign w:val="center"/>
                </w:tcPr>
                <w:p w14:paraId="1DCD5633">
                  <w:pPr>
                    <w:spacing w:line="240" w:lineRule="atLeast"/>
                    <w:jc w:val="center"/>
                    <w:rPr>
                      <w:rFonts w:hint="default"/>
                      <w:sz w:val="20"/>
                      <w:szCs w:val="20"/>
                      <w:lang w:val="en-US" w:eastAsia="zh-CN"/>
                    </w:rPr>
                  </w:pPr>
                  <w:r>
                    <w:rPr>
                      <w:rFonts w:hint="default"/>
                      <w:sz w:val="20"/>
                      <w:szCs w:val="20"/>
                      <w:lang w:val="en-US" w:eastAsia="zh-CN"/>
                    </w:rPr>
                    <w:t>48.24</w:t>
                  </w:r>
                </w:p>
              </w:tc>
              <w:tc>
                <w:tcPr>
                  <w:tcW w:w="1070" w:type="dxa"/>
                  <w:vAlign w:val="center"/>
                </w:tcPr>
                <w:p w14:paraId="69A5865B">
                  <w:pPr>
                    <w:spacing w:line="240" w:lineRule="atLeast"/>
                    <w:jc w:val="center"/>
                    <w:rPr>
                      <w:rFonts w:hint="default"/>
                      <w:sz w:val="20"/>
                      <w:szCs w:val="20"/>
                      <w:lang w:val="en-US" w:eastAsia="zh-CN"/>
                    </w:rPr>
                  </w:pPr>
                  <w:r>
                    <w:rPr>
                      <w:rFonts w:hint="default"/>
                      <w:sz w:val="20"/>
                      <w:szCs w:val="20"/>
                      <w:lang w:val="en-US" w:eastAsia="zh-CN"/>
                    </w:rPr>
                    <w:t xml:space="preserve">67.6 </w:t>
                  </w:r>
                </w:p>
              </w:tc>
              <w:tc>
                <w:tcPr>
                  <w:tcW w:w="207" w:type="pct"/>
                  <w:vMerge w:val="continue"/>
                  <w:vAlign w:val="center"/>
                </w:tcPr>
                <w:p w14:paraId="76C79A26">
                  <w:pPr>
                    <w:spacing w:line="240" w:lineRule="atLeast"/>
                    <w:jc w:val="center"/>
                    <w:rPr>
                      <w:sz w:val="20"/>
                      <w:szCs w:val="20"/>
                    </w:rPr>
                  </w:pPr>
                </w:p>
              </w:tc>
              <w:tc>
                <w:tcPr>
                  <w:tcW w:w="428" w:type="pct"/>
                  <w:vMerge w:val="continue"/>
                  <w:vAlign w:val="center"/>
                </w:tcPr>
                <w:p w14:paraId="3B134976">
                  <w:pPr>
                    <w:spacing w:line="240" w:lineRule="atLeast"/>
                    <w:jc w:val="center"/>
                    <w:rPr>
                      <w:sz w:val="20"/>
                      <w:szCs w:val="20"/>
                    </w:rPr>
                  </w:pPr>
                </w:p>
              </w:tc>
              <w:tc>
                <w:tcPr>
                  <w:tcW w:w="839" w:type="dxa"/>
                  <w:vAlign w:val="center"/>
                </w:tcPr>
                <w:p w14:paraId="58F3BCBE">
                  <w:pPr>
                    <w:spacing w:line="240" w:lineRule="atLeast"/>
                    <w:jc w:val="center"/>
                    <w:rPr>
                      <w:rFonts w:hint="default"/>
                      <w:sz w:val="20"/>
                      <w:szCs w:val="20"/>
                      <w:lang w:val="en-US" w:eastAsia="zh-CN"/>
                    </w:rPr>
                  </w:pPr>
                  <w:r>
                    <w:rPr>
                      <w:rFonts w:hint="default"/>
                      <w:sz w:val="20"/>
                      <w:szCs w:val="20"/>
                      <w:lang w:val="en-US" w:eastAsia="zh-CN"/>
                    </w:rPr>
                    <w:t xml:space="preserve">36.6 </w:t>
                  </w:r>
                </w:p>
              </w:tc>
              <w:tc>
                <w:tcPr>
                  <w:tcW w:w="491" w:type="pct"/>
                  <w:vAlign w:val="center"/>
                </w:tcPr>
                <w:p w14:paraId="362D0009">
                  <w:pPr>
                    <w:spacing w:line="240" w:lineRule="atLeast"/>
                    <w:jc w:val="center"/>
                    <w:rPr>
                      <w:sz w:val="20"/>
                      <w:szCs w:val="20"/>
                    </w:rPr>
                  </w:pPr>
                  <w:r>
                    <w:rPr>
                      <w:rFonts w:hint="eastAsia"/>
                      <w:sz w:val="20"/>
                      <w:szCs w:val="20"/>
                      <w:lang w:val="en-US" w:eastAsia="zh-CN"/>
                    </w:rPr>
                    <w:t>1</w:t>
                  </w:r>
                </w:p>
              </w:tc>
            </w:tr>
            <w:tr w14:paraId="69FC9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663E511B">
                  <w:pPr>
                    <w:spacing w:line="240" w:lineRule="atLeast"/>
                    <w:jc w:val="center"/>
                    <w:rPr>
                      <w:sz w:val="20"/>
                      <w:szCs w:val="20"/>
                    </w:rPr>
                  </w:pPr>
                </w:p>
              </w:tc>
              <w:tc>
                <w:tcPr>
                  <w:tcW w:w="247" w:type="pct"/>
                  <w:vMerge w:val="continue"/>
                  <w:vAlign w:val="center"/>
                </w:tcPr>
                <w:p w14:paraId="4A681A3A">
                  <w:pPr>
                    <w:spacing w:line="240" w:lineRule="atLeast"/>
                    <w:jc w:val="center"/>
                    <w:rPr>
                      <w:sz w:val="20"/>
                      <w:szCs w:val="20"/>
                    </w:rPr>
                  </w:pPr>
                </w:p>
              </w:tc>
              <w:tc>
                <w:tcPr>
                  <w:tcW w:w="509" w:type="pct"/>
                  <w:vMerge w:val="continue"/>
                  <w:vAlign w:val="center"/>
                </w:tcPr>
                <w:p w14:paraId="4C93E39C">
                  <w:pPr>
                    <w:spacing w:line="240" w:lineRule="atLeast"/>
                    <w:jc w:val="center"/>
                    <w:rPr>
                      <w:sz w:val="20"/>
                      <w:szCs w:val="20"/>
                    </w:rPr>
                  </w:pPr>
                </w:p>
              </w:tc>
              <w:tc>
                <w:tcPr>
                  <w:tcW w:w="525" w:type="pct"/>
                  <w:vMerge w:val="continue"/>
                  <w:vAlign w:val="center"/>
                </w:tcPr>
                <w:p w14:paraId="6FBB5E6A">
                  <w:pPr>
                    <w:spacing w:line="240" w:lineRule="atLeast"/>
                    <w:jc w:val="center"/>
                    <w:rPr>
                      <w:sz w:val="20"/>
                      <w:szCs w:val="20"/>
                    </w:rPr>
                  </w:pPr>
                </w:p>
              </w:tc>
              <w:tc>
                <w:tcPr>
                  <w:tcW w:w="323" w:type="pct"/>
                  <w:vMerge w:val="continue"/>
                  <w:vAlign w:val="center"/>
                </w:tcPr>
                <w:p w14:paraId="12311351">
                  <w:pPr>
                    <w:spacing w:line="240" w:lineRule="atLeast"/>
                    <w:jc w:val="center"/>
                    <w:rPr>
                      <w:sz w:val="20"/>
                      <w:szCs w:val="20"/>
                    </w:rPr>
                  </w:pPr>
                </w:p>
              </w:tc>
              <w:tc>
                <w:tcPr>
                  <w:tcW w:w="264" w:type="pct"/>
                  <w:vMerge w:val="continue"/>
                  <w:vAlign w:val="center"/>
                </w:tcPr>
                <w:p w14:paraId="637C08F1">
                  <w:pPr>
                    <w:spacing w:line="240" w:lineRule="atLeast"/>
                    <w:jc w:val="center"/>
                    <w:rPr>
                      <w:sz w:val="20"/>
                      <w:szCs w:val="20"/>
                    </w:rPr>
                  </w:pPr>
                </w:p>
              </w:tc>
              <w:tc>
                <w:tcPr>
                  <w:tcW w:w="236" w:type="pct"/>
                  <w:vMerge w:val="continue"/>
                  <w:vAlign w:val="center"/>
                </w:tcPr>
                <w:p w14:paraId="466342E1">
                  <w:pPr>
                    <w:spacing w:line="240" w:lineRule="atLeast"/>
                    <w:jc w:val="center"/>
                    <w:rPr>
                      <w:sz w:val="20"/>
                      <w:szCs w:val="20"/>
                    </w:rPr>
                  </w:pPr>
                </w:p>
              </w:tc>
              <w:tc>
                <w:tcPr>
                  <w:tcW w:w="243" w:type="pct"/>
                  <w:vMerge w:val="continue"/>
                  <w:vAlign w:val="center"/>
                </w:tcPr>
                <w:p w14:paraId="20AFCA18">
                  <w:pPr>
                    <w:spacing w:line="240" w:lineRule="atLeast"/>
                    <w:jc w:val="center"/>
                    <w:rPr>
                      <w:sz w:val="20"/>
                      <w:szCs w:val="20"/>
                    </w:rPr>
                  </w:pPr>
                </w:p>
              </w:tc>
              <w:tc>
                <w:tcPr>
                  <w:tcW w:w="329" w:type="pct"/>
                  <w:vAlign w:val="center"/>
                </w:tcPr>
                <w:p w14:paraId="39F840DE">
                  <w:pPr>
                    <w:spacing w:line="240" w:lineRule="atLeast"/>
                    <w:jc w:val="center"/>
                    <w:rPr>
                      <w:sz w:val="20"/>
                      <w:szCs w:val="20"/>
                    </w:rPr>
                  </w:pPr>
                  <w:r>
                    <w:rPr>
                      <w:sz w:val="20"/>
                      <w:szCs w:val="20"/>
                    </w:rPr>
                    <w:t>南</w:t>
                  </w:r>
                </w:p>
              </w:tc>
              <w:tc>
                <w:tcPr>
                  <w:tcW w:w="884" w:type="dxa"/>
                  <w:vAlign w:val="center"/>
                </w:tcPr>
                <w:p w14:paraId="7B897715">
                  <w:pPr>
                    <w:spacing w:line="240" w:lineRule="atLeast"/>
                    <w:jc w:val="center"/>
                    <w:rPr>
                      <w:rFonts w:hint="default"/>
                      <w:sz w:val="20"/>
                      <w:szCs w:val="20"/>
                      <w:lang w:val="en-US" w:eastAsia="zh-CN"/>
                    </w:rPr>
                  </w:pPr>
                  <w:r>
                    <w:rPr>
                      <w:rFonts w:hint="default"/>
                      <w:sz w:val="20"/>
                      <w:szCs w:val="20"/>
                      <w:lang w:val="en-US" w:eastAsia="zh-CN"/>
                    </w:rPr>
                    <w:t>8.79</w:t>
                  </w:r>
                </w:p>
              </w:tc>
              <w:tc>
                <w:tcPr>
                  <w:tcW w:w="1070" w:type="dxa"/>
                  <w:vAlign w:val="center"/>
                </w:tcPr>
                <w:p w14:paraId="42824096">
                  <w:pPr>
                    <w:spacing w:line="240" w:lineRule="atLeast"/>
                    <w:jc w:val="center"/>
                    <w:rPr>
                      <w:rFonts w:hint="default"/>
                      <w:sz w:val="20"/>
                      <w:szCs w:val="20"/>
                      <w:lang w:val="en-US" w:eastAsia="zh-CN"/>
                    </w:rPr>
                  </w:pPr>
                  <w:r>
                    <w:rPr>
                      <w:rFonts w:hint="default"/>
                      <w:sz w:val="20"/>
                      <w:szCs w:val="20"/>
                      <w:lang w:val="en-US" w:eastAsia="zh-CN"/>
                    </w:rPr>
                    <w:t xml:space="preserve">73.3 </w:t>
                  </w:r>
                </w:p>
              </w:tc>
              <w:tc>
                <w:tcPr>
                  <w:tcW w:w="207" w:type="pct"/>
                  <w:vMerge w:val="continue"/>
                  <w:vAlign w:val="center"/>
                </w:tcPr>
                <w:p w14:paraId="31232882">
                  <w:pPr>
                    <w:spacing w:line="240" w:lineRule="atLeast"/>
                    <w:jc w:val="center"/>
                    <w:rPr>
                      <w:sz w:val="20"/>
                      <w:szCs w:val="20"/>
                    </w:rPr>
                  </w:pPr>
                </w:p>
              </w:tc>
              <w:tc>
                <w:tcPr>
                  <w:tcW w:w="428" w:type="pct"/>
                  <w:vMerge w:val="continue"/>
                  <w:vAlign w:val="center"/>
                </w:tcPr>
                <w:p w14:paraId="6EB8AF03">
                  <w:pPr>
                    <w:spacing w:line="240" w:lineRule="atLeast"/>
                    <w:jc w:val="center"/>
                    <w:rPr>
                      <w:sz w:val="20"/>
                      <w:szCs w:val="20"/>
                    </w:rPr>
                  </w:pPr>
                </w:p>
              </w:tc>
              <w:tc>
                <w:tcPr>
                  <w:tcW w:w="839" w:type="dxa"/>
                  <w:vAlign w:val="center"/>
                </w:tcPr>
                <w:p w14:paraId="51501348">
                  <w:pPr>
                    <w:spacing w:line="240" w:lineRule="atLeast"/>
                    <w:jc w:val="center"/>
                    <w:rPr>
                      <w:rFonts w:hint="default"/>
                      <w:sz w:val="20"/>
                      <w:szCs w:val="20"/>
                      <w:lang w:val="en-US" w:eastAsia="zh-CN"/>
                    </w:rPr>
                  </w:pPr>
                  <w:r>
                    <w:rPr>
                      <w:rFonts w:hint="default"/>
                      <w:sz w:val="20"/>
                      <w:szCs w:val="20"/>
                      <w:lang w:val="en-US" w:eastAsia="zh-CN"/>
                    </w:rPr>
                    <w:t xml:space="preserve">42.3 </w:t>
                  </w:r>
                </w:p>
              </w:tc>
              <w:tc>
                <w:tcPr>
                  <w:tcW w:w="491" w:type="pct"/>
                  <w:vAlign w:val="center"/>
                </w:tcPr>
                <w:p w14:paraId="2361C0AB">
                  <w:pPr>
                    <w:spacing w:line="240" w:lineRule="atLeast"/>
                    <w:jc w:val="center"/>
                    <w:rPr>
                      <w:sz w:val="20"/>
                      <w:szCs w:val="20"/>
                    </w:rPr>
                  </w:pPr>
                  <w:r>
                    <w:rPr>
                      <w:rFonts w:hint="eastAsia"/>
                      <w:sz w:val="20"/>
                      <w:szCs w:val="20"/>
                      <w:lang w:val="en-US" w:eastAsia="zh-CN"/>
                    </w:rPr>
                    <w:t>1</w:t>
                  </w:r>
                </w:p>
              </w:tc>
            </w:tr>
            <w:tr w14:paraId="0DCE9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2" w:type="pct"/>
                  <w:vMerge w:val="continue"/>
                  <w:vAlign w:val="center"/>
                </w:tcPr>
                <w:p w14:paraId="2C8BD749">
                  <w:pPr>
                    <w:spacing w:line="240" w:lineRule="atLeast"/>
                    <w:jc w:val="center"/>
                    <w:rPr>
                      <w:sz w:val="20"/>
                      <w:szCs w:val="20"/>
                    </w:rPr>
                  </w:pPr>
                </w:p>
              </w:tc>
              <w:tc>
                <w:tcPr>
                  <w:tcW w:w="247" w:type="pct"/>
                  <w:vMerge w:val="continue"/>
                  <w:vAlign w:val="center"/>
                </w:tcPr>
                <w:p w14:paraId="7EB9D479">
                  <w:pPr>
                    <w:spacing w:line="240" w:lineRule="atLeast"/>
                    <w:jc w:val="center"/>
                    <w:rPr>
                      <w:sz w:val="20"/>
                      <w:szCs w:val="20"/>
                    </w:rPr>
                  </w:pPr>
                </w:p>
              </w:tc>
              <w:tc>
                <w:tcPr>
                  <w:tcW w:w="509" w:type="pct"/>
                  <w:vMerge w:val="continue"/>
                  <w:vAlign w:val="center"/>
                </w:tcPr>
                <w:p w14:paraId="600E3402">
                  <w:pPr>
                    <w:spacing w:line="240" w:lineRule="atLeast"/>
                    <w:jc w:val="center"/>
                    <w:rPr>
                      <w:sz w:val="20"/>
                      <w:szCs w:val="20"/>
                    </w:rPr>
                  </w:pPr>
                </w:p>
              </w:tc>
              <w:tc>
                <w:tcPr>
                  <w:tcW w:w="525" w:type="pct"/>
                  <w:vMerge w:val="continue"/>
                  <w:vAlign w:val="center"/>
                </w:tcPr>
                <w:p w14:paraId="0A92239D">
                  <w:pPr>
                    <w:spacing w:line="240" w:lineRule="atLeast"/>
                    <w:jc w:val="center"/>
                    <w:rPr>
                      <w:sz w:val="20"/>
                      <w:szCs w:val="20"/>
                    </w:rPr>
                  </w:pPr>
                </w:p>
              </w:tc>
              <w:tc>
                <w:tcPr>
                  <w:tcW w:w="323" w:type="pct"/>
                  <w:vMerge w:val="continue"/>
                  <w:vAlign w:val="center"/>
                </w:tcPr>
                <w:p w14:paraId="0779B936">
                  <w:pPr>
                    <w:spacing w:line="240" w:lineRule="atLeast"/>
                    <w:jc w:val="center"/>
                    <w:rPr>
                      <w:sz w:val="20"/>
                      <w:szCs w:val="20"/>
                    </w:rPr>
                  </w:pPr>
                </w:p>
              </w:tc>
              <w:tc>
                <w:tcPr>
                  <w:tcW w:w="264" w:type="pct"/>
                  <w:vMerge w:val="continue"/>
                  <w:vAlign w:val="center"/>
                </w:tcPr>
                <w:p w14:paraId="1FA8192E">
                  <w:pPr>
                    <w:spacing w:line="240" w:lineRule="atLeast"/>
                    <w:jc w:val="center"/>
                    <w:rPr>
                      <w:sz w:val="20"/>
                      <w:szCs w:val="20"/>
                    </w:rPr>
                  </w:pPr>
                </w:p>
              </w:tc>
              <w:tc>
                <w:tcPr>
                  <w:tcW w:w="236" w:type="pct"/>
                  <w:vMerge w:val="continue"/>
                  <w:vAlign w:val="center"/>
                </w:tcPr>
                <w:p w14:paraId="6301706C">
                  <w:pPr>
                    <w:spacing w:line="240" w:lineRule="atLeast"/>
                    <w:jc w:val="center"/>
                    <w:rPr>
                      <w:sz w:val="20"/>
                      <w:szCs w:val="20"/>
                    </w:rPr>
                  </w:pPr>
                </w:p>
              </w:tc>
              <w:tc>
                <w:tcPr>
                  <w:tcW w:w="243" w:type="pct"/>
                  <w:vMerge w:val="continue"/>
                  <w:vAlign w:val="center"/>
                </w:tcPr>
                <w:p w14:paraId="318F9E03">
                  <w:pPr>
                    <w:spacing w:line="240" w:lineRule="atLeast"/>
                    <w:jc w:val="center"/>
                    <w:rPr>
                      <w:sz w:val="20"/>
                      <w:szCs w:val="20"/>
                    </w:rPr>
                  </w:pPr>
                </w:p>
              </w:tc>
              <w:tc>
                <w:tcPr>
                  <w:tcW w:w="329" w:type="pct"/>
                  <w:vAlign w:val="center"/>
                </w:tcPr>
                <w:p w14:paraId="50984391">
                  <w:pPr>
                    <w:spacing w:line="240" w:lineRule="atLeast"/>
                    <w:jc w:val="center"/>
                    <w:rPr>
                      <w:sz w:val="20"/>
                      <w:szCs w:val="20"/>
                    </w:rPr>
                  </w:pPr>
                  <w:r>
                    <w:rPr>
                      <w:sz w:val="20"/>
                      <w:szCs w:val="20"/>
                    </w:rPr>
                    <w:t>西</w:t>
                  </w:r>
                </w:p>
              </w:tc>
              <w:tc>
                <w:tcPr>
                  <w:tcW w:w="884" w:type="dxa"/>
                  <w:vAlign w:val="center"/>
                </w:tcPr>
                <w:p w14:paraId="44F2DBC0">
                  <w:pPr>
                    <w:spacing w:line="240" w:lineRule="atLeast"/>
                    <w:jc w:val="center"/>
                    <w:rPr>
                      <w:rFonts w:hint="default"/>
                      <w:sz w:val="20"/>
                      <w:szCs w:val="20"/>
                      <w:lang w:val="en-US" w:eastAsia="zh-CN"/>
                    </w:rPr>
                  </w:pPr>
                  <w:r>
                    <w:rPr>
                      <w:rFonts w:hint="default"/>
                      <w:sz w:val="20"/>
                      <w:szCs w:val="20"/>
                      <w:lang w:val="en-US" w:eastAsia="zh-CN"/>
                    </w:rPr>
                    <w:t>55.76</w:t>
                  </w:r>
                </w:p>
              </w:tc>
              <w:tc>
                <w:tcPr>
                  <w:tcW w:w="1070" w:type="dxa"/>
                  <w:vAlign w:val="center"/>
                </w:tcPr>
                <w:p w14:paraId="78101AA2">
                  <w:pPr>
                    <w:spacing w:line="240" w:lineRule="atLeast"/>
                    <w:jc w:val="center"/>
                    <w:rPr>
                      <w:rFonts w:hint="default"/>
                      <w:sz w:val="20"/>
                      <w:szCs w:val="20"/>
                      <w:lang w:val="en-US" w:eastAsia="zh-CN"/>
                    </w:rPr>
                  </w:pPr>
                  <w:r>
                    <w:rPr>
                      <w:rFonts w:hint="default"/>
                      <w:sz w:val="20"/>
                      <w:szCs w:val="20"/>
                      <w:lang w:val="en-US" w:eastAsia="zh-CN"/>
                    </w:rPr>
                    <w:t xml:space="preserve">67.5 </w:t>
                  </w:r>
                </w:p>
              </w:tc>
              <w:tc>
                <w:tcPr>
                  <w:tcW w:w="207" w:type="pct"/>
                  <w:vMerge w:val="continue"/>
                  <w:vAlign w:val="center"/>
                </w:tcPr>
                <w:p w14:paraId="707173F8">
                  <w:pPr>
                    <w:spacing w:line="240" w:lineRule="atLeast"/>
                    <w:jc w:val="center"/>
                    <w:rPr>
                      <w:sz w:val="20"/>
                      <w:szCs w:val="20"/>
                    </w:rPr>
                  </w:pPr>
                </w:p>
              </w:tc>
              <w:tc>
                <w:tcPr>
                  <w:tcW w:w="428" w:type="pct"/>
                  <w:vMerge w:val="continue"/>
                  <w:vAlign w:val="center"/>
                </w:tcPr>
                <w:p w14:paraId="02A17F8B">
                  <w:pPr>
                    <w:spacing w:line="240" w:lineRule="atLeast"/>
                    <w:jc w:val="center"/>
                    <w:rPr>
                      <w:sz w:val="20"/>
                      <w:szCs w:val="20"/>
                    </w:rPr>
                  </w:pPr>
                </w:p>
              </w:tc>
              <w:tc>
                <w:tcPr>
                  <w:tcW w:w="839" w:type="dxa"/>
                  <w:vAlign w:val="center"/>
                </w:tcPr>
                <w:p w14:paraId="3DDEC6C5">
                  <w:pPr>
                    <w:spacing w:line="240" w:lineRule="atLeast"/>
                    <w:jc w:val="center"/>
                    <w:rPr>
                      <w:rFonts w:hint="default"/>
                      <w:sz w:val="20"/>
                      <w:szCs w:val="20"/>
                      <w:lang w:val="en-US" w:eastAsia="zh-CN"/>
                    </w:rPr>
                  </w:pPr>
                  <w:r>
                    <w:rPr>
                      <w:rFonts w:hint="default"/>
                      <w:sz w:val="20"/>
                      <w:szCs w:val="20"/>
                      <w:lang w:val="en-US" w:eastAsia="zh-CN"/>
                    </w:rPr>
                    <w:t xml:space="preserve">36.5 </w:t>
                  </w:r>
                </w:p>
              </w:tc>
              <w:tc>
                <w:tcPr>
                  <w:tcW w:w="491" w:type="pct"/>
                  <w:vAlign w:val="center"/>
                </w:tcPr>
                <w:p w14:paraId="42EBE247">
                  <w:pPr>
                    <w:spacing w:line="240" w:lineRule="atLeast"/>
                    <w:jc w:val="center"/>
                    <w:rPr>
                      <w:sz w:val="20"/>
                      <w:szCs w:val="20"/>
                    </w:rPr>
                  </w:pPr>
                  <w:r>
                    <w:rPr>
                      <w:rFonts w:hint="eastAsia"/>
                      <w:sz w:val="20"/>
                      <w:szCs w:val="20"/>
                      <w:lang w:val="en-US" w:eastAsia="zh-CN"/>
                    </w:rPr>
                    <w:t>1</w:t>
                  </w:r>
                </w:p>
              </w:tc>
            </w:tr>
            <w:tr w14:paraId="11FC4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130A9574">
                  <w:pPr>
                    <w:spacing w:line="240" w:lineRule="atLeast"/>
                    <w:jc w:val="center"/>
                    <w:rPr>
                      <w:sz w:val="20"/>
                      <w:szCs w:val="20"/>
                    </w:rPr>
                  </w:pPr>
                </w:p>
              </w:tc>
              <w:tc>
                <w:tcPr>
                  <w:tcW w:w="247" w:type="pct"/>
                  <w:vMerge w:val="continue"/>
                  <w:vAlign w:val="center"/>
                </w:tcPr>
                <w:p w14:paraId="0EDB2259">
                  <w:pPr>
                    <w:spacing w:line="240" w:lineRule="atLeast"/>
                    <w:jc w:val="center"/>
                    <w:rPr>
                      <w:sz w:val="20"/>
                      <w:szCs w:val="20"/>
                    </w:rPr>
                  </w:pPr>
                </w:p>
              </w:tc>
              <w:tc>
                <w:tcPr>
                  <w:tcW w:w="509" w:type="pct"/>
                  <w:vMerge w:val="continue"/>
                  <w:vAlign w:val="center"/>
                </w:tcPr>
                <w:p w14:paraId="46137471">
                  <w:pPr>
                    <w:spacing w:line="240" w:lineRule="atLeast"/>
                    <w:jc w:val="center"/>
                    <w:rPr>
                      <w:sz w:val="20"/>
                      <w:szCs w:val="20"/>
                    </w:rPr>
                  </w:pPr>
                </w:p>
              </w:tc>
              <w:tc>
                <w:tcPr>
                  <w:tcW w:w="525" w:type="pct"/>
                  <w:vMerge w:val="continue"/>
                  <w:vAlign w:val="center"/>
                </w:tcPr>
                <w:p w14:paraId="12C22720">
                  <w:pPr>
                    <w:spacing w:line="240" w:lineRule="atLeast"/>
                    <w:jc w:val="center"/>
                    <w:rPr>
                      <w:sz w:val="20"/>
                      <w:szCs w:val="20"/>
                    </w:rPr>
                  </w:pPr>
                </w:p>
              </w:tc>
              <w:tc>
                <w:tcPr>
                  <w:tcW w:w="323" w:type="pct"/>
                  <w:vMerge w:val="continue"/>
                  <w:vAlign w:val="center"/>
                </w:tcPr>
                <w:p w14:paraId="6AD9E4EA">
                  <w:pPr>
                    <w:spacing w:line="240" w:lineRule="atLeast"/>
                    <w:jc w:val="center"/>
                    <w:rPr>
                      <w:sz w:val="20"/>
                      <w:szCs w:val="20"/>
                    </w:rPr>
                  </w:pPr>
                </w:p>
              </w:tc>
              <w:tc>
                <w:tcPr>
                  <w:tcW w:w="264" w:type="pct"/>
                  <w:vMerge w:val="continue"/>
                  <w:vAlign w:val="center"/>
                </w:tcPr>
                <w:p w14:paraId="216FE7D5">
                  <w:pPr>
                    <w:spacing w:line="240" w:lineRule="atLeast"/>
                    <w:jc w:val="center"/>
                    <w:rPr>
                      <w:sz w:val="20"/>
                      <w:szCs w:val="20"/>
                    </w:rPr>
                  </w:pPr>
                </w:p>
              </w:tc>
              <w:tc>
                <w:tcPr>
                  <w:tcW w:w="236" w:type="pct"/>
                  <w:vMerge w:val="continue"/>
                  <w:vAlign w:val="center"/>
                </w:tcPr>
                <w:p w14:paraId="7FF03A97">
                  <w:pPr>
                    <w:spacing w:line="240" w:lineRule="atLeast"/>
                    <w:jc w:val="center"/>
                    <w:rPr>
                      <w:sz w:val="20"/>
                      <w:szCs w:val="20"/>
                    </w:rPr>
                  </w:pPr>
                </w:p>
              </w:tc>
              <w:tc>
                <w:tcPr>
                  <w:tcW w:w="243" w:type="pct"/>
                  <w:vMerge w:val="continue"/>
                  <w:vAlign w:val="center"/>
                </w:tcPr>
                <w:p w14:paraId="52982A2F">
                  <w:pPr>
                    <w:spacing w:line="240" w:lineRule="atLeast"/>
                    <w:jc w:val="center"/>
                    <w:rPr>
                      <w:sz w:val="20"/>
                      <w:szCs w:val="20"/>
                    </w:rPr>
                  </w:pPr>
                </w:p>
              </w:tc>
              <w:tc>
                <w:tcPr>
                  <w:tcW w:w="329" w:type="pct"/>
                  <w:vAlign w:val="center"/>
                </w:tcPr>
                <w:p w14:paraId="0A18503C">
                  <w:pPr>
                    <w:spacing w:line="240" w:lineRule="atLeast"/>
                    <w:jc w:val="center"/>
                    <w:rPr>
                      <w:sz w:val="20"/>
                      <w:szCs w:val="20"/>
                    </w:rPr>
                  </w:pPr>
                  <w:r>
                    <w:rPr>
                      <w:sz w:val="20"/>
                      <w:szCs w:val="20"/>
                    </w:rPr>
                    <w:t>北</w:t>
                  </w:r>
                </w:p>
              </w:tc>
              <w:tc>
                <w:tcPr>
                  <w:tcW w:w="884" w:type="dxa"/>
                  <w:vAlign w:val="center"/>
                </w:tcPr>
                <w:p w14:paraId="368E2275">
                  <w:pPr>
                    <w:spacing w:line="240" w:lineRule="atLeast"/>
                    <w:jc w:val="center"/>
                    <w:rPr>
                      <w:rFonts w:hint="default"/>
                      <w:sz w:val="20"/>
                      <w:szCs w:val="20"/>
                      <w:lang w:val="en-US" w:eastAsia="zh-CN"/>
                    </w:rPr>
                  </w:pPr>
                  <w:r>
                    <w:rPr>
                      <w:rFonts w:hint="default"/>
                      <w:sz w:val="20"/>
                      <w:szCs w:val="20"/>
                      <w:lang w:val="en-US" w:eastAsia="zh-CN"/>
                    </w:rPr>
                    <w:t>9.21</w:t>
                  </w:r>
                </w:p>
              </w:tc>
              <w:tc>
                <w:tcPr>
                  <w:tcW w:w="1070" w:type="dxa"/>
                  <w:vAlign w:val="center"/>
                </w:tcPr>
                <w:p w14:paraId="17934E30">
                  <w:pPr>
                    <w:spacing w:line="240" w:lineRule="atLeast"/>
                    <w:jc w:val="center"/>
                    <w:rPr>
                      <w:rFonts w:hint="default"/>
                      <w:sz w:val="20"/>
                      <w:szCs w:val="20"/>
                      <w:lang w:val="en-US" w:eastAsia="zh-CN"/>
                    </w:rPr>
                  </w:pPr>
                  <w:r>
                    <w:rPr>
                      <w:rFonts w:hint="default"/>
                      <w:sz w:val="20"/>
                      <w:szCs w:val="20"/>
                      <w:lang w:val="en-US" w:eastAsia="zh-CN"/>
                    </w:rPr>
                    <w:t xml:space="preserve">73.0 </w:t>
                  </w:r>
                </w:p>
              </w:tc>
              <w:tc>
                <w:tcPr>
                  <w:tcW w:w="207" w:type="pct"/>
                  <w:vMerge w:val="continue"/>
                  <w:vAlign w:val="center"/>
                </w:tcPr>
                <w:p w14:paraId="23E49349">
                  <w:pPr>
                    <w:spacing w:line="240" w:lineRule="atLeast"/>
                    <w:jc w:val="center"/>
                    <w:rPr>
                      <w:sz w:val="20"/>
                      <w:szCs w:val="20"/>
                    </w:rPr>
                  </w:pPr>
                </w:p>
              </w:tc>
              <w:tc>
                <w:tcPr>
                  <w:tcW w:w="428" w:type="pct"/>
                  <w:vMerge w:val="continue"/>
                  <w:vAlign w:val="center"/>
                </w:tcPr>
                <w:p w14:paraId="7C8DC5AD">
                  <w:pPr>
                    <w:spacing w:line="240" w:lineRule="atLeast"/>
                    <w:jc w:val="center"/>
                    <w:rPr>
                      <w:sz w:val="20"/>
                      <w:szCs w:val="20"/>
                    </w:rPr>
                  </w:pPr>
                </w:p>
              </w:tc>
              <w:tc>
                <w:tcPr>
                  <w:tcW w:w="839" w:type="dxa"/>
                  <w:vAlign w:val="center"/>
                </w:tcPr>
                <w:p w14:paraId="64E18D1F">
                  <w:pPr>
                    <w:spacing w:line="240" w:lineRule="atLeast"/>
                    <w:jc w:val="center"/>
                    <w:rPr>
                      <w:rFonts w:hint="default"/>
                      <w:sz w:val="20"/>
                      <w:szCs w:val="20"/>
                      <w:lang w:val="en-US" w:eastAsia="zh-CN"/>
                    </w:rPr>
                  </w:pPr>
                  <w:r>
                    <w:rPr>
                      <w:rFonts w:hint="default"/>
                      <w:sz w:val="20"/>
                      <w:szCs w:val="20"/>
                      <w:lang w:val="en-US" w:eastAsia="zh-CN"/>
                    </w:rPr>
                    <w:t xml:space="preserve">42.0 </w:t>
                  </w:r>
                </w:p>
              </w:tc>
              <w:tc>
                <w:tcPr>
                  <w:tcW w:w="491" w:type="pct"/>
                  <w:vAlign w:val="center"/>
                </w:tcPr>
                <w:p w14:paraId="3D93F0D3">
                  <w:pPr>
                    <w:spacing w:line="240" w:lineRule="atLeast"/>
                    <w:jc w:val="center"/>
                    <w:rPr>
                      <w:sz w:val="20"/>
                      <w:szCs w:val="20"/>
                    </w:rPr>
                  </w:pPr>
                  <w:r>
                    <w:rPr>
                      <w:rFonts w:hint="eastAsia"/>
                      <w:sz w:val="20"/>
                      <w:szCs w:val="20"/>
                      <w:lang w:val="en-US" w:eastAsia="zh-CN"/>
                    </w:rPr>
                    <w:t>1</w:t>
                  </w:r>
                </w:p>
              </w:tc>
            </w:tr>
            <w:tr w14:paraId="4D557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restart"/>
                  <w:vAlign w:val="center"/>
                </w:tcPr>
                <w:p w14:paraId="360FD869">
                  <w:pPr>
                    <w:spacing w:line="240" w:lineRule="atLeast"/>
                    <w:jc w:val="center"/>
                    <w:rPr>
                      <w:sz w:val="20"/>
                      <w:szCs w:val="20"/>
                    </w:rPr>
                  </w:pPr>
                  <w:r>
                    <w:rPr>
                      <w:rFonts w:hint="eastAsia"/>
                      <w:sz w:val="20"/>
                      <w:szCs w:val="20"/>
                    </w:rPr>
                    <w:t>5</w:t>
                  </w:r>
                </w:p>
              </w:tc>
              <w:tc>
                <w:tcPr>
                  <w:tcW w:w="247" w:type="pct"/>
                  <w:vMerge w:val="continue"/>
                  <w:vAlign w:val="center"/>
                </w:tcPr>
                <w:p w14:paraId="24291BD1">
                  <w:pPr>
                    <w:spacing w:line="240" w:lineRule="atLeast"/>
                    <w:jc w:val="center"/>
                    <w:rPr>
                      <w:sz w:val="20"/>
                      <w:szCs w:val="20"/>
                    </w:rPr>
                  </w:pPr>
                </w:p>
              </w:tc>
              <w:tc>
                <w:tcPr>
                  <w:tcW w:w="509" w:type="pct"/>
                  <w:vMerge w:val="restart"/>
                  <w:vAlign w:val="center"/>
                </w:tcPr>
                <w:p w14:paraId="1F8F9EA8">
                  <w:pPr>
                    <w:spacing w:line="240" w:lineRule="atLeast"/>
                    <w:jc w:val="center"/>
                    <w:rPr>
                      <w:sz w:val="20"/>
                      <w:szCs w:val="20"/>
                    </w:rPr>
                  </w:pPr>
                  <w:r>
                    <w:rPr>
                      <w:sz w:val="21"/>
                      <w:szCs w:val="21"/>
                    </w:rPr>
                    <w:t>自动攻钻两用机</w:t>
                  </w:r>
                </w:p>
                <w:p w14:paraId="237179B5">
                  <w:pPr>
                    <w:spacing w:line="240" w:lineRule="atLeast"/>
                    <w:jc w:val="center"/>
                    <w:rPr>
                      <w:sz w:val="20"/>
                      <w:szCs w:val="20"/>
                    </w:rPr>
                  </w:pPr>
                  <w:r>
                    <w:rPr>
                      <w:rFonts w:hint="eastAsia"/>
                      <w:sz w:val="20"/>
                      <w:szCs w:val="20"/>
                    </w:rPr>
                    <w:t>（</w:t>
                  </w:r>
                  <w:r>
                    <w:rPr>
                      <w:rFonts w:hint="eastAsia"/>
                      <w:sz w:val="20"/>
                      <w:szCs w:val="20"/>
                      <w:lang w:val="en-US" w:eastAsia="zh-CN"/>
                    </w:rPr>
                    <w:t>5</w:t>
                  </w:r>
                  <w:r>
                    <w:rPr>
                      <w:rFonts w:hint="eastAsia"/>
                      <w:sz w:val="20"/>
                      <w:szCs w:val="20"/>
                    </w:rPr>
                    <w:t>台）</w:t>
                  </w:r>
                </w:p>
              </w:tc>
              <w:tc>
                <w:tcPr>
                  <w:tcW w:w="525" w:type="pct"/>
                  <w:vMerge w:val="restart"/>
                  <w:vAlign w:val="center"/>
                </w:tcPr>
                <w:p w14:paraId="6E1CE8CB">
                  <w:pPr>
                    <w:spacing w:line="240" w:lineRule="atLeast"/>
                    <w:jc w:val="center"/>
                    <w:rPr>
                      <w:sz w:val="20"/>
                      <w:szCs w:val="20"/>
                    </w:rPr>
                  </w:pPr>
                  <w:r>
                    <w:rPr>
                      <w:rFonts w:hint="eastAsia"/>
                      <w:sz w:val="20"/>
                      <w:szCs w:val="20"/>
                    </w:rPr>
                    <w:t>82</w:t>
                  </w:r>
                </w:p>
              </w:tc>
              <w:tc>
                <w:tcPr>
                  <w:tcW w:w="323" w:type="pct"/>
                  <w:vMerge w:val="continue"/>
                  <w:vAlign w:val="center"/>
                </w:tcPr>
                <w:p w14:paraId="0AABFD34">
                  <w:pPr>
                    <w:spacing w:line="240" w:lineRule="atLeast"/>
                    <w:jc w:val="center"/>
                    <w:rPr>
                      <w:sz w:val="20"/>
                      <w:szCs w:val="20"/>
                    </w:rPr>
                  </w:pPr>
                </w:p>
              </w:tc>
              <w:tc>
                <w:tcPr>
                  <w:tcW w:w="264" w:type="pct"/>
                  <w:vMerge w:val="restart"/>
                  <w:vAlign w:val="center"/>
                </w:tcPr>
                <w:p w14:paraId="62924BF3">
                  <w:pPr>
                    <w:spacing w:line="240" w:lineRule="atLeast"/>
                    <w:jc w:val="center"/>
                    <w:rPr>
                      <w:sz w:val="20"/>
                      <w:szCs w:val="20"/>
                    </w:rPr>
                  </w:pPr>
                  <w:r>
                    <w:rPr>
                      <w:rFonts w:hint="default"/>
                      <w:sz w:val="20"/>
                      <w:szCs w:val="20"/>
                      <w:lang w:val="en-US" w:eastAsia="zh-CN"/>
                    </w:rPr>
                    <w:t>82.11</w:t>
                  </w:r>
                </w:p>
              </w:tc>
              <w:tc>
                <w:tcPr>
                  <w:tcW w:w="236" w:type="pct"/>
                  <w:vMerge w:val="restart"/>
                  <w:vAlign w:val="center"/>
                </w:tcPr>
                <w:p w14:paraId="05ECDE47">
                  <w:pPr>
                    <w:spacing w:line="240" w:lineRule="atLeast"/>
                    <w:jc w:val="center"/>
                    <w:rPr>
                      <w:sz w:val="20"/>
                      <w:szCs w:val="20"/>
                    </w:rPr>
                  </w:pPr>
                  <w:r>
                    <w:rPr>
                      <w:rFonts w:hint="default"/>
                      <w:sz w:val="20"/>
                      <w:szCs w:val="20"/>
                      <w:lang w:val="en-US" w:eastAsia="zh-CN"/>
                    </w:rPr>
                    <w:t>8.97</w:t>
                  </w:r>
                </w:p>
              </w:tc>
              <w:tc>
                <w:tcPr>
                  <w:tcW w:w="243" w:type="pct"/>
                  <w:vMerge w:val="restart"/>
                  <w:vAlign w:val="center"/>
                </w:tcPr>
                <w:p w14:paraId="0DFCA045">
                  <w:pPr>
                    <w:spacing w:line="240" w:lineRule="atLeast"/>
                    <w:jc w:val="center"/>
                    <w:rPr>
                      <w:sz w:val="20"/>
                      <w:szCs w:val="20"/>
                    </w:rPr>
                  </w:pPr>
                  <w:r>
                    <w:rPr>
                      <w:rFonts w:hint="eastAsia"/>
                      <w:sz w:val="20"/>
                      <w:szCs w:val="20"/>
                    </w:rPr>
                    <w:t>1.5</w:t>
                  </w:r>
                </w:p>
              </w:tc>
              <w:tc>
                <w:tcPr>
                  <w:tcW w:w="329" w:type="pct"/>
                  <w:vAlign w:val="center"/>
                </w:tcPr>
                <w:p w14:paraId="7C81E730">
                  <w:pPr>
                    <w:spacing w:line="240" w:lineRule="atLeast"/>
                    <w:jc w:val="center"/>
                    <w:rPr>
                      <w:sz w:val="20"/>
                      <w:szCs w:val="20"/>
                    </w:rPr>
                  </w:pPr>
                  <w:r>
                    <w:rPr>
                      <w:sz w:val="20"/>
                      <w:szCs w:val="20"/>
                    </w:rPr>
                    <w:t>东</w:t>
                  </w:r>
                </w:p>
              </w:tc>
              <w:tc>
                <w:tcPr>
                  <w:tcW w:w="884" w:type="dxa"/>
                  <w:vAlign w:val="center"/>
                </w:tcPr>
                <w:p w14:paraId="6F66B9D8">
                  <w:pPr>
                    <w:spacing w:line="240" w:lineRule="atLeast"/>
                    <w:jc w:val="center"/>
                    <w:rPr>
                      <w:rFonts w:hint="default"/>
                      <w:sz w:val="20"/>
                      <w:szCs w:val="20"/>
                      <w:lang w:val="en-US" w:eastAsia="zh-CN"/>
                    </w:rPr>
                  </w:pPr>
                  <w:r>
                    <w:rPr>
                      <w:rFonts w:hint="default"/>
                      <w:sz w:val="20"/>
                      <w:szCs w:val="20"/>
                      <w:lang w:val="en-US" w:eastAsia="zh-CN"/>
                    </w:rPr>
                    <w:t>21.89</w:t>
                  </w:r>
                </w:p>
              </w:tc>
              <w:tc>
                <w:tcPr>
                  <w:tcW w:w="1070" w:type="dxa"/>
                  <w:vAlign w:val="center"/>
                </w:tcPr>
                <w:p w14:paraId="0F6FF409">
                  <w:pPr>
                    <w:spacing w:line="240" w:lineRule="atLeast"/>
                    <w:jc w:val="center"/>
                    <w:rPr>
                      <w:rFonts w:hint="default"/>
                      <w:sz w:val="20"/>
                      <w:szCs w:val="20"/>
                      <w:lang w:val="en-US" w:eastAsia="zh-CN"/>
                    </w:rPr>
                  </w:pPr>
                  <w:r>
                    <w:rPr>
                      <w:rFonts w:hint="default"/>
                      <w:sz w:val="20"/>
                      <w:szCs w:val="20"/>
                      <w:lang w:val="en-US" w:eastAsia="zh-CN"/>
                    </w:rPr>
                    <w:t xml:space="preserve">64.9 </w:t>
                  </w:r>
                </w:p>
              </w:tc>
              <w:tc>
                <w:tcPr>
                  <w:tcW w:w="207" w:type="pct"/>
                  <w:vMerge w:val="continue"/>
                  <w:vAlign w:val="center"/>
                </w:tcPr>
                <w:p w14:paraId="1AE7E9E8">
                  <w:pPr>
                    <w:spacing w:line="240" w:lineRule="atLeast"/>
                    <w:jc w:val="center"/>
                    <w:rPr>
                      <w:sz w:val="20"/>
                      <w:szCs w:val="20"/>
                    </w:rPr>
                  </w:pPr>
                </w:p>
              </w:tc>
              <w:tc>
                <w:tcPr>
                  <w:tcW w:w="428" w:type="pct"/>
                  <w:vMerge w:val="continue"/>
                  <w:vAlign w:val="center"/>
                </w:tcPr>
                <w:p w14:paraId="7A688ED5">
                  <w:pPr>
                    <w:spacing w:line="240" w:lineRule="atLeast"/>
                    <w:jc w:val="center"/>
                    <w:rPr>
                      <w:sz w:val="20"/>
                      <w:szCs w:val="20"/>
                    </w:rPr>
                  </w:pPr>
                </w:p>
              </w:tc>
              <w:tc>
                <w:tcPr>
                  <w:tcW w:w="839" w:type="dxa"/>
                  <w:vAlign w:val="center"/>
                </w:tcPr>
                <w:p w14:paraId="7FE80A1F">
                  <w:pPr>
                    <w:spacing w:line="240" w:lineRule="atLeast"/>
                    <w:jc w:val="center"/>
                    <w:rPr>
                      <w:rFonts w:hint="default"/>
                      <w:sz w:val="20"/>
                      <w:szCs w:val="20"/>
                      <w:lang w:val="en-US" w:eastAsia="zh-CN"/>
                    </w:rPr>
                  </w:pPr>
                  <w:r>
                    <w:rPr>
                      <w:rFonts w:hint="default"/>
                      <w:sz w:val="20"/>
                      <w:szCs w:val="20"/>
                      <w:lang w:val="en-US" w:eastAsia="zh-CN"/>
                    </w:rPr>
                    <w:t xml:space="preserve">33.9 </w:t>
                  </w:r>
                </w:p>
              </w:tc>
              <w:tc>
                <w:tcPr>
                  <w:tcW w:w="491" w:type="pct"/>
                  <w:vAlign w:val="center"/>
                </w:tcPr>
                <w:p w14:paraId="41516966">
                  <w:pPr>
                    <w:spacing w:line="240" w:lineRule="atLeast"/>
                    <w:jc w:val="center"/>
                    <w:rPr>
                      <w:sz w:val="20"/>
                      <w:szCs w:val="20"/>
                    </w:rPr>
                  </w:pPr>
                  <w:r>
                    <w:rPr>
                      <w:rFonts w:hint="eastAsia"/>
                      <w:sz w:val="20"/>
                      <w:szCs w:val="20"/>
                      <w:lang w:val="en-US" w:eastAsia="zh-CN"/>
                    </w:rPr>
                    <w:t>1</w:t>
                  </w:r>
                </w:p>
              </w:tc>
            </w:tr>
            <w:tr w14:paraId="49F9D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568100B6">
                  <w:pPr>
                    <w:spacing w:line="240" w:lineRule="atLeast"/>
                    <w:jc w:val="center"/>
                    <w:rPr>
                      <w:sz w:val="20"/>
                      <w:szCs w:val="20"/>
                    </w:rPr>
                  </w:pPr>
                </w:p>
              </w:tc>
              <w:tc>
                <w:tcPr>
                  <w:tcW w:w="247" w:type="pct"/>
                  <w:vMerge w:val="continue"/>
                  <w:vAlign w:val="center"/>
                </w:tcPr>
                <w:p w14:paraId="03CECCB3">
                  <w:pPr>
                    <w:spacing w:line="240" w:lineRule="atLeast"/>
                    <w:jc w:val="center"/>
                    <w:rPr>
                      <w:sz w:val="20"/>
                      <w:szCs w:val="20"/>
                    </w:rPr>
                  </w:pPr>
                </w:p>
              </w:tc>
              <w:tc>
                <w:tcPr>
                  <w:tcW w:w="509" w:type="pct"/>
                  <w:vMerge w:val="continue"/>
                  <w:vAlign w:val="center"/>
                </w:tcPr>
                <w:p w14:paraId="2BE2045C">
                  <w:pPr>
                    <w:spacing w:line="240" w:lineRule="atLeast"/>
                    <w:jc w:val="center"/>
                    <w:rPr>
                      <w:sz w:val="20"/>
                      <w:szCs w:val="20"/>
                    </w:rPr>
                  </w:pPr>
                </w:p>
              </w:tc>
              <w:tc>
                <w:tcPr>
                  <w:tcW w:w="525" w:type="pct"/>
                  <w:vMerge w:val="continue"/>
                  <w:vAlign w:val="center"/>
                </w:tcPr>
                <w:p w14:paraId="2ABF2DD8">
                  <w:pPr>
                    <w:spacing w:line="240" w:lineRule="atLeast"/>
                    <w:jc w:val="center"/>
                    <w:rPr>
                      <w:sz w:val="20"/>
                      <w:szCs w:val="20"/>
                    </w:rPr>
                  </w:pPr>
                </w:p>
              </w:tc>
              <w:tc>
                <w:tcPr>
                  <w:tcW w:w="323" w:type="pct"/>
                  <w:vMerge w:val="continue"/>
                  <w:vAlign w:val="center"/>
                </w:tcPr>
                <w:p w14:paraId="5C463FBD">
                  <w:pPr>
                    <w:spacing w:line="240" w:lineRule="atLeast"/>
                    <w:jc w:val="center"/>
                    <w:rPr>
                      <w:sz w:val="20"/>
                      <w:szCs w:val="20"/>
                    </w:rPr>
                  </w:pPr>
                </w:p>
              </w:tc>
              <w:tc>
                <w:tcPr>
                  <w:tcW w:w="264" w:type="pct"/>
                  <w:vMerge w:val="continue"/>
                  <w:vAlign w:val="center"/>
                </w:tcPr>
                <w:p w14:paraId="4A029B31">
                  <w:pPr>
                    <w:spacing w:line="240" w:lineRule="atLeast"/>
                    <w:jc w:val="center"/>
                    <w:rPr>
                      <w:sz w:val="20"/>
                      <w:szCs w:val="20"/>
                    </w:rPr>
                  </w:pPr>
                </w:p>
              </w:tc>
              <w:tc>
                <w:tcPr>
                  <w:tcW w:w="236" w:type="pct"/>
                  <w:vMerge w:val="continue"/>
                  <w:vAlign w:val="center"/>
                </w:tcPr>
                <w:p w14:paraId="1B82D45D">
                  <w:pPr>
                    <w:spacing w:line="240" w:lineRule="atLeast"/>
                    <w:jc w:val="center"/>
                    <w:rPr>
                      <w:sz w:val="20"/>
                      <w:szCs w:val="20"/>
                    </w:rPr>
                  </w:pPr>
                </w:p>
              </w:tc>
              <w:tc>
                <w:tcPr>
                  <w:tcW w:w="243" w:type="pct"/>
                  <w:vMerge w:val="continue"/>
                  <w:vAlign w:val="center"/>
                </w:tcPr>
                <w:p w14:paraId="37A782F6">
                  <w:pPr>
                    <w:spacing w:line="240" w:lineRule="atLeast"/>
                    <w:jc w:val="center"/>
                    <w:rPr>
                      <w:sz w:val="20"/>
                      <w:szCs w:val="20"/>
                    </w:rPr>
                  </w:pPr>
                </w:p>
              </w:tc>
              <w:tc>
                <w:tcPr>
                  <w:tcW w:w="329" w:type="pct"/>
                  <w:vAlign w:val="center"/>
                </w:tcPr>
                <w:p w14:paraId="7A2337F1">
                  <w:pPr>
                    <w:spacing w:line="240" w:lineRule="atLeast"/>
                    <w:jc w:val="center"/>
                    <w:rPr>
                      <w:sz w:val="20"/>
                      <w:szCs w:val="20"/>
                    </w:rPr>
                  </w:pPr>
                  <w:r>
                    <w:rPr>
                      <w:sz w:val="20"/>
                      <w:szCs w:val="20"/>
                    </w:rPr>
                    <w:t>南</w:t>
                  </w:r>
                </w:p>
              </w:tc>
              <w:tc>
                <w:tcPr>
                  <w:tcW w:w="884" w:type="dxa"/>
                  <w:vAlign w:val="center"/>
                </w:tcPr>
                <w:p w14:paraId="4DB5081D">
                  <w:pPr>
                    <w:spacing w:line="240" w:lineRule="atLeast"/>
                    <w:jc w:val="center"/>
                    <w:rPr>
                      <w:rFonts w:hint="default"/>
                      <w:sz w:val="20"/>
                      <w:szCs w:val="20"/>
                      <w:lang w:val="en-US" w:eastAsia="zh-CN"/>
                    </w:rPr>
                  </w:pPr>
                  <w:r>
                    <w:rPr>
                      <w:rFonts w:hint="default"/>
                      <w:sz w:val="20"/>
                      <w:szCs w:val="20"/>
                      <w:lang w:val="en-US" w:eastAsia="zh-CN"/>
                    </w:rPr>
                    <w:t>8.97</w:t>
                  </w:r>
                </w:p>
              </w:tc>
              <w:tc>
                <w:tcPr>
                  <w:tcW w:w="1070" w:type="dxa"/>
                  <w:vAlign w:val="center"/>
                </w:tcPr>
                <w:p w14:paraId="6CBDB432">
                  <w:pPr>
                    <w:spacing w:line="240" w:lineRule="atLeast"/>
                    <w:jc w:val="center"/>
                    <w:rPr>
                      <w:rFonts w:hint="default"/>
                      <w:sz w:val="20"/>
                      <w:szCs w:val="20"/>
                      <w:lang w:val="en-US" w:eastAsia="zh-CN"/>
                    </w:rPr>
                  </w:pPr>
                  <w:r>
                    <w:rPr>
                      <w:rFonts w:hint="default"/>
                      <w:sz w:val="20"/>
                      <w:szCs w:val="20"/>
                      <w:lang w:val="en-US" w:eastAsia="zh-CN"/>
                    </w:rPr>
                    <w:t xml:space="preserve">69.2 </w:t>
                  </w:r>
                </w:p>
              </w:tc>
              <w:tc>
                <w:tcPr>
                  <w:tcW w:w="207" w:type="pct"/>
                  <w:vMerge w:val="continue"/>
                  <w:vAlign w:val="center"/>
                </w:tcPr>
                <w:p w14:paraId="1D090D26">
                  <w:pPr>
                    <w:spacing w:line="240" w:lineRule="atLeast"/>
                    <w:jc w:val="center"/>
                    <w:rPr>
                      <w:sz w:val="20"/>
                      <w:szCs w:val="20"/>
                    </w:rPr>
                  </w:pPr>
                </w:p>
              </w:tc>
              <w:tc>
                <w:tcPr>
                  <w:tcW w:w="428" w:type="pct"/>
                  <w:vMerge w:val="continue"/>
                  <w:vAlign w:val="center"/>
                </w:tcPr>
                <w:p w14:paraId="246EBD1D">
                  <w:pPr>
                    <w:spacing w:line="240" w:lineRule="atLeast"/>
                    <w:jc w:val="center"/>
                    <w:rPr>
                      <w:sz w:val="20"/>
                      <w:szCs w:val="20"/>
                    </w:rPr>
                  </w:pPr>
                </w:p>
              </w:tc>
              <w:tc>
                <w:tcPr>
                  <w:tcW w:w="839" w:type="dxa"/>
                  <w:vAlign w:val="center"/>
                </w:tcPr>
                <w:p w14:paraId="516326AF">
                  <w:pPr>
                    <w:spacing w:line="240" w:lineRule="atLeast"/>
                    <w:jc w:val="center"/>
                    <w:rPr>
                      <w:rFonts w:hint="default"/>
                      <w:sz w:val="20"/>
                      <w:szCs w:val="20"/>
                      <w:lang w:val="en-US" w:eastAsia="zh-CN"/>
                    </w:rPr>
                  </w:pPr>
                  <w:r>
                    <w:rPr>
                      <w:rFonts w:hint="default"/>
                      <w:sz w:val="20"/>
                      <w:szCs w:val="20"/>
                      <w:lang w:val="en-US" w:eastAsia="zh-CN"/>
                    </w:rPr>
                    <w:t xml:space="preserve">38.2 </w:t>
                  </w:r>
                </w:p>
              </w:tc>
              <w:tc>
                <w:tcPr>
                  <w:tcW w:w="491" w:type="pct"/>
                  <w:vAlign w:val="center"/>
                </w:tcPr>
                <w:p w14:paraId="6C30771F">
                  <w:pPr>
                    <w:spacing w:line="240" w:lineRule="atLeast"/>
                    <w:jc w:val="center"/>
                    <w:rPr>
                      <w:sz w:val="20"/>
                      <w:szCs w:val="20"/>
                    </w:rPr>
                  </w:pPr>
                  <w:r>
                    <w:rPr>
                      <w:rFonts w:hint="eastAsia"/>
                      <w:sz w:val="20"/>
                      <w:szCs w:val="20"/>
                      <w:lang w:val="en-US" w:eastAsia="zh-CN"/>
                    </w:rPr>
                    <w:t>1</w:t>
                  </w:r>
                </w:p>
              </w:tc>
            </w:tr>
            <w:tr w14:paraId="57072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2DF47504">
                  <w:pPr>
                    <w:spacing w:line="240" w:lineRule="atLeast"/>
                    <w:jc w:val="center"/>
                    <w:rPr>
                      <w:sz w:val="20"/>
                      <w:szCs w:val="20"/>
                    </w:rPr>
                  </w:pPr>
                </w:p>
              </w:tc>
              <w:tc>
                <w:tcPr>
                  <w:tcW w:w="247" w:type="pct"/>
                  <w:vMerge w:val="continue"/>
                  <w:vAlign w:val="center"/>
                </w:tcPr>
                <w:p w14:paraId="251F46C4">
                  <w:pPr>
                    <w:spacing w:line="240" w:lineRule="atLeast"/>
                    <w:jc w:val="center"/>
                    <w:rPr>
                      <w:sz w:val="20"/>
                      <w:szCs w:val="20"/>
                    </w:rPr>
                  </w:pPr>
                </w:p>
              </w:tc>
              <w:tc>
                <w:tcPr>
                  <w:tcW w:w="509" w:type="pct"/>
                  <w:vMerge w:val="continue"/>
                  <w:vAlign w:val="center"/>
                </w:tcPr>
                <w:p w14:paraId="7CAB06D8">
                  <w:pPr>
                    <w:spacing w:line="240" w:lineRule="atLeast"/>
                    <w:jc w:val="center"/>
                    <w:rPr>
                      <w:sz w:val="20"/>
                      <w:szCs w:val="20"/>
                    </w:rPr>
                  </w:pPr>
                </w:p>
              </w:tc>
              <w:tc>
                <w:tcPr>
                  <w:tcW w:w="525" w:type="pct"/>
                  <w:vMerge w:val="continue"/>
                  <w:vAlign w:val="center"/>
                </w:tcPr>
                <w:p w14:paraId="275D5BB2">
                  <w:pPr>
                    <w:spacing w:line="240" w:lineRule="atLeast"/>
                    <w:jc w:val="center"/>
                    <w:rPr>
                      <w:sz w:val="20"/>
                      <w:szCs w:val="20"/>
                    </w:rPr>
                  </w:pPr>
                </w:p>
              </w:tc>
              <w:tc>
                <w:tcPr>
                  <w:tcW w:w="323" w:type="pct"/>
                  <w:vMerge w:val="continue"/>
                  <w:vAlign w:val="center"/>
                </w:tcPr>
                <w:p w14:paraId="320C3245">
                  <w:pPr>
                    <w:spacing w:line="240" w:lineRule="atLeast"/>
                    <w:jc w:val="center"/>
                    <w:rPr>
                      <w:sz w:val="20"/>
                      <w:szCs w:val="20"/>
                    </w:rPr>
                  </w:pPr>
                </w:p>
              </w:tc>
              <w:tc>
                <w:tcPr>
                  <w:tcW w:w="264" w:type="pct"/>
                  <w:vMerge w:val="continue"/>
                  <w:vAlign w:val="center"/>
                </w:tcPr>
                <w:p w14:paraId="16185196">
                  <w:pPr>
                    <w:spacing w:line="240" w:lineRule="atLeast"/>
                    <w:jc w:val="center"/>
                    <w:rPr>
                      <w:sz w:val="20"/>
                      <w:szCs w:val="20"/>
                    </w:rPr>
                  </w:pPr>
                </w:p>
              </w:tc>
              <w:tc>
                <w:tcPr>
                  <w:tcW w:w="236" w:type="pct"/>
                  <w:vMerge w:val="continue"/>
                  <w:vAlign w:val="center"/>
                </w:tcPr>
                <w:p w14:paraId="1C033790">
                  <w:pPr>
                    <w:spacing w:line="240" w:lineRule="atLeast"/>
                    <w:jc w:val="center"/>
                    <w:rPr>
                      <w:sz w:val="20"/>
                      <w:szCs w:val="20"/>
                    </w:rPr>
                  </w:pPr>
                </w:p>
              </w:tc>
              <w:tc>
                <w:tcPr>
                  <w:tcW w:w="243" w:type="pct"/>
                  <w:vMerge w:val="continue"/>
                  <w:vAlign w:val="center"/>
                </w:tcPr>
                <w:p w14:paraId="07F99513">
                  <w:pPr>
                    <w:spacing w:line="240" w:lineRule="atLeast"/>
                    <w:jc w:val="center"/>
                    <w:rPr>
                      <w:sz w:val="20"/>
                      <w:szCs w:val="20"/>
                    </w:rPr>
                  </w:pPr>
                </w:p>
              </w:tc>
              <w:tc>
                <w:tcPr>
                  <w:tcW w:w="329" w:type="pct"/>
                  <w:vAlign w:val="center"/>
                </w:tcPr>
                <w:p w14:paraId="716EEA4D">
                  <w:pPr>
                    <w:spacing w:line="240" w:lineRule="atLeast"/>
                    <w:jc w:val="center"/>
                    <w:rPr>
                      <w:sz w:val="20"/>
                      <w:szCs w:val="20"/>
                    </w:rPr>
                  </w:pPr>
                  <w:r>
                    <w:rPr>
                      <w:sz w:val="20"/>
                      <w:szCs w:val="20"/>
                    </w:rPr>
                    <w:t>西</w:t>
                  </w:r>
                </w:p>
              </w:tc>
              <w:tc>
                <w:tcPr>
                  <w:tcW w:w="884" w:type="dxa"/>
                  <w:vAlign w:val="center"/>
                </w:tcPr>
                <w:p w14:paraId="08DDB6FB">
                  <w:pPr>
                    <w:spacing w:line="240" w:lineRule="atLeast"/>
                    <w:jc w:val="center"/>
                    <w:rPr>
                      <w:rFonts w:hint="default"/>
                      <w:sz w:val="20"/>
                      <w:szCs w:val="20"/>
                      <w:lang w:val="en-US" w:eastAsia="zh-CN"/>
                    </w:rPr>
                  </w:pPr>
                  <w:r>
                    <w:rPr>
                      <w:rFonts w:hint="default"/>
                      <w:sz w:val="20"/>
                      <w:szCs w:val="20"/>
                      <w:lang w:val="en-US" w:eastAsia="zh-CN"/>
                    </w:rPr>
                    <w:t>82.11</w:t>
                  </w:r>
                </w:p>
              </w:tc>
              <w:tc>
                <w:tcPr>
                  <w:tcW w:w="1070" w:type="dxa"/>
                  <w:vAlign w:val="center"/>
                </w:tcPr>
                <w:p w14:paraId="7C724AD6">
                  <w:pPr>
                    <w:spacing w:line="240" w:lineRule="atLeast"/>
                    <w:jc w:val="center"/>
                    <w:rPr>
                      <w:rFonts w:hint="default"/>
                      <w:sz w:val="20"/>
                      <w:szCs w:val="20"/>
                      <w:lang w:val="en-US" w:eastAsia="zh-CN"/>
                    </w:rPr>
                  </w:pPr>
                  <w:r>
                    <w:rPr>
                      <w:rFonts w:hint="default"/>
                      <w:sz w:val="20"/>
                      <w:szCs w:val="20"/>
                      <w:lang w:val="en-US" w:eastAsia="zh-CN"/>
                    </w:rPr>
                    <w:t xml:space="preserve">63.3 </w:t>
                  </w:r>
                </w:p>
              </w:tc>
              <w:tc>
                <w:tcPr>
                  <w:tcW w:w="207" w:type="pct"/>
                  <w:vMerge w:val="continue"/>
                  <w:vAlign w:val="center"/>
                </w:tcPr>
                <w:p w14:paraId="1800FCB6">
                  <w:pPr>
                    <w:spacing w:line="240" w:lineRule="atLeast"/>
                    <w:jc w:val="center"/>
                    <w:rPr>
                      <w:sz w:val="20"/>
                      <w:szCs w:val="20"/>
                    </w:rPr>
                  </w:pPr>
                </w:p>
              </w:tc>
              <w:tc>
                <w:tcPr>
                  <w:tcW w:w="428" w:type="pct"/>
                  <w:vMerge w:val="continue"/>
                  <w:vAlign w:val="center"/>
                </w:tcPr>
                <w:p w14:paraId="5967A5E5">
                  <w:pPr>
                    <w:spacing w:line="240" w:lineRule="atLeast"/>
                    <w:jc w:val="center"/>
                    <w:rPr>
                      <w:sz w:val="20"/>
                      <w:szCs w:val="20"/>
                    </w:rPr>
                  </w:pPr>
                </w:p>
              </w:tc>
              <w:tc>
                <w:tcPr>
                  <w:tcW w:w="839" w:type="dxa"/>
                  <w:vAlign w:val="center"/>
                </w:tcPr>
                <w:p w14:paraId="2DBB1829">
                  <w:pPr>
                    <w:spacing w:line="240" w:lineRule="atLeast"/>
                    <w:jc w:val="center"/>
                    <w:rPr>
                      <w:rFonts w:hint="default"/>
                      <w:sz w:val="20"/>
                      <w:szCs w:val="20"/>
                      <w:lang w:val="en-US" w:eastAsia="zh-CN"/>
                    </w:rPr>
                  </w:pPr>
                  <w:r>
                    <w:rPr>
                      <w:rFonts w:hint="default"/>
                      <w:sz w:val="20"/>
                      <w:szCs w:val="20"/>
                      <w:lang w:val="en-US" w:eastAsia="zh-CN"/>
                    </w:rPr>
                    <w:t xml:space="preserve">32.3 </w:t>
                  </w:r>
                </w:p>
              </w:tc>
              <w:tc>
                <w:tcPr>
                  <w:tcW w:w="491" w:type="pct"/>
                  <w:vAlign w:val="center"/>
                </w:tcPr>
                <w:p w14:paraId="5D2F9F46">
                  <w:pPr>
                    <w:spacing w:line="240" w:lineRule="atLeast"/>
                    <w:jc w:val="center"/>
                    <w:rPr>
                      <w:sz w:val="20"/>
                      <w:szCs w:val="20"/>
                    </w:rPr>
                  </w:pPr>
                  <w:r>
                    <w:rPr>
                      <w:rFonts w:hint="eastAsia"/>
                      <w:sz w:val="20"/>
                      <w:szCs w:val="20"/>
                      <w:lang w:val="en-US" w:eastAsia="zh-CN"/>
                    </w:rPr>
                    <w:t>1</w:t>
                  </w:r>
                </w:p>
              </w:tc>
            </w:tr>
            <w:tr w14:paraId="2CEC2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5E4C327E">
                  <w:pPr>
                    <w:spacing w:line="240" w:lineRule="atLeast"/>
                    <w:jc w:val="center"/>
                    <w:rPr>
                      <w:sz w:val="20"/>
                      <w:szCs w:val="20"/>
                    </w:rPr>
                  </w:pPr>
                </w:p>
              </w:tc>
              <w:tc>
                <w:tcPr>
                  <w:tcW w:w="247" w:type="pct"/>
                  <w:vMerge w:val="continue"/>
                  <w:vAlign w:val="center"/>
                </w:tcPr>
                <w:p w14:paraId="093AA24A">
                  <w:pPr>
                    <w:spacing w:line="240" w:lineRule="atLeast"/>
                    <w:jc w:val="center"/>
                    <w:rPr>
                      <w:sz w:val="20"/>
                      <w:szCs w:val="20"/>
                    </w:rPr>
                  </w:pPr>
                </w:p>
              </w:tc>
              <w:tc>
                <w:tcPr>
                  <w:tcW w:w="509" w:type="pct"/>
                  <w:vMerge w:val="continue"/>
                  <w:vAlign w:val="center"/>
                </w:tcPr>
                <w:p w14:paraId="1A93CC8A">
                  <w:pPr>
                    <w:spacing w:line="240" w:lineRule="atLeast"/>
                    <w:jc w:val="center"/>
                    <w:rPr>
                      <w:sz w:val="20"/>
                      <w:szCs w:val="20"/>
                    </w:rPr>
                  </w:pPr>
                </w:p>
              </w:tc>
              <w:tc>
                <w:tcPr>
                  <w:tcW w:w="525" w:type="pct"/>
                  <w:vMerge w:val="continue"/>
                  <w:vAlign w:val="center"/>
                </w:tcPr>
                <w:p w14:paraId="57490C18">
                  <w:pPr>
                    <w:spacing w:line="240" w:lineRule="atLeast"/>
                    <w:jc w:val="center"/>
                    <w:rPr>
                      <w:sz w:val="20"/>
                      <w:szCs w:val="20"/>
                    </w:rPr>
                  </w:pPr>
                </w:p>
              </w:tc>
              <w:tc>
                <w:tcPr>
                  <w:tcW w:w="323" w:type="pct"/>
                  <w:vMerge w:val="continue"/>
                  <w:vAlign w:val="center"/>
                </w:tcPr>
                <w:p w14:paraId="5F7DAA31">
                  <w:pPr>
                    <w:spacing w:line="240" w:lineRule="atLeast"/>
                    <w:jc w:val="center"/>
                    <w:rPr>
                      <w:sz w:val="20"/>
                      <w:szCs w:val="20"/>
                    </w:rPr>
                  </w:pPr>
                </w:p>
              </w:tc>
              <w:tc>
                <w:tcPr>
                  <w:tcW w:w="264" w:type="pct"/>
                  <w:vMerge w:val="continue"/>
                  <w:vAlign w:val="center"/>
                </w:tcPr>
                <w:p w14:paraId="6549408A">
                  <w:pPr>
                    <w:spacing w:line="240" w:lineRule="atLeast"/>
                    <w:jc w:val="center"/>
                    <w:rPr>
                      <w:sz w:val="20"/>
                      <w:szCs w:val="20"/>
                    </w:rPr>
                  </w:pPr>
                </w:p>
              </w:tc>
              <w:tc>
                <w:tcPr>
                  <w:tcW w:w="236" w:type="pct"/>
                  <w:vMerge w:val="continue"/>
                  <w:vAlign w:val="center"/>
                </w:tcPr>
                <w:p w14:paraId="7E04D380">
                  <w:pPr>
                    <w:spacing w:line="240" w:lineRule="atLeast"/>
                    <w:jc w:val="center"/>
                    <w:rPr>
                      <w:sz w:val="20"/>
                      <w:szCs w:val="20"/>
                    </w:rPr>
                  </w:pPr>
                </w:p>
              </w:tc>
              <w:tc>
                <w:tcPr>
                  <w:tcW w:w="243" w:type="pct"/>
                  <w:vMerge w:val="continue"/>
                  <w:vAlign w:val="center"/>
                </w:tcPr>
                <w:p w14:paraId="70153C2C">
                  <w:pPr>
                    <w:spacing w:line="240" w:lineRule="atLeast"/>
                    <w:jc w:val="center"/>
                    <w:rPr>
                      <w:sz w:val="20"/>
                      <w:szCs w:val="20"/>
                    </w:rPr>
                  </w:pPr>
                </w:p>
              </w:tc>
              <w:tc>
                <w:tcPr>
                  <w:tcW w:w="329" w:type="pct"/>
                  <w:vAlign w:val="center"/>
                </w:tcPr>
                <w:p w14:paraId="67803CF8">
                  <w:pPr>
                    <w:spacing w:line="240" w:lineRule="atLeast"/>
                    <w:jc w:val="center"/>
                    <w:rPr>
                      <w:sz w:val="20"/>
                      <w:szCs w:val="20"/>
                    </w:rPr>
                  </w:pPr>
                  <w:r>
                    <w:rPr>
                      <w:sz w:val="20"/>
                      <w:szCs w:val="20"/>
                    </w:rPr>
                    <w:t>北</w:t>
                  </w:r>
                </w:p>
              </w:tc>
              <w:tc>
                <w:tcPr>
                  <w:tcW w:w="884" w:type="dxa"/>
                  <w:vAlign w:val="center"/>
                </w:tcPr>
                <w:p w14:paraId="7EB8752B">
                  <w:pPr>
                    <w:spacing w:line="240" w:lineRule="atLeast"/>
                    <w:jc w:val="center"/>
                    <w:rPr>
                      <w:rFonts w:hint="default"/>
                      <w:sz w:val="20"/>
                      <w:szCs w:val="20"/>
                      <w:lang w:val="en-US" w:eastAsia="zh-CN"/>
                    </w:rPr>
                  </w:pPr>
                  <w:r>
                    <w:rPr>
                      <w:rFonts w:hint="default"/>
                      <w:sz w:val="20"/>
                      <w:szCs w:val="20"/>
                      <w:lang w:val="en-US" w:eastAsia="zh-CN"/>
                    </w:rPr>
                    <w:t>9.03</w:t>
                  </w:r>
                </w:p>
              </w:tc>
              <w:tc>
                <w:tcPr>
                  <w:tcW w:w="1070" w:type="dxa"/>
                  <w:vAlign w:val="center"/>
                </w:tcPr>
                <w:p w14:paraId="0219009D">
                  <w:pPr>
                    <w:spacing w:line="240" w:lineRule="atLeast"/>
                    <w:jc w:val="center"/>
                    <w:rPr>
                      <w:rFonts w:hint="default"/>
                      <w:sz w:val="20"/>
                      <w:szCs w:val="20"/>
                      <w:lang w:val="en-US" w:eastAsia="zh-CN"/>
                    </w:rPr>
                  </w:pPr>
                  <w:r>
                    <w:rPr>
                      <w:rFonts w:hint="default"/>
                      <w:sz w:val="20"/>
                      <w:szCs w:val="20"/>
                      <w:lang w:val="en-US" w:eastAsia="zh-CN"/>
                    </w:rPr>
                    <w:t xml:space="preserve">69.2 </w:t>
                  </w:r>
                </w:p>
              </w:tc>
              <w:tc>
                <w:tcPr>
                  <w:tcW w:w="207" w:type="pct"/>
                  <w:vMerge w:val="continue"/>
                  <w:vAlign w:val="center"/>
                </w:tcPr>
                <w:p w14:paraId="06D24F9E">
                  <w:pPr>
                    <w:spacing w:line="240" w:lineRule="atLeast"/>
                    <w:jc w:val="center"/>
                    <w:rPr>
                      <w:sz w:val="20"/>
                      <w:szCs w:val="20"/>
                    </w:rPr>
                  </w:pPr>
                </w:p>
              </w:tc>
              <w:tc>
                <w:tcPr>
                  <w:tcW w:w="428" w:type="pct"/>
                  <w:vMerge w:val="continue"/>
                  <w:vAlign w:val="center"/>
                </w:tcPr>
                <w:p w14:paraId="5EBDE84E">
                  <w:pPr>
                    <w:spacing w:line="240" w:lineRule="atLeast"/>
                    <w:jc w:val="center"/>
                    <w:rPr>
                      <w:sz w:val="20"/>
                      <w:szCs w:val="20"/>
                    </w:rPr>
                  </w:pPr>
                </w:p>
              </w:tc>
              <w:tc>
                <w:tcPr>
                  <w:tcW w:w="839" w:type="dxa"/>
                  <w:vAlign w:val="center"/>
                </w:tcPr>
                <w:p w14:paraId="28154241">
                  <w:pPr>
                    <w:spacing w:line="240" w:lineRule="atLeast"/>
                    <w:jc w:val="center"/>
                    <w:rPr>
                      <w:rFonts w:hint="default"/>
                      <w:sz w:val="20"/>
                      <w:szCs w:val="20"/>
                      <w:lang w:val="en-US" w:eastAsia="zh-CN"/>
                    </w:rPr>
                  </w:pPr>
                  <w:r>
                    <w:rPr>
                      <w:rFonts w:hint="default"/>
                      <w:sz w:val="20"/>
                      <w:szCs w:val="20"/>
                      <w:lang w:val="en-US" w:eastAsia="zh-CN"/>
                    </w:rPr>
                    <w:t xml:space="preserve">38.2 </w:t>
                  </w:r>
                </w:p>
              </w:tc>
              <w:tc>
                <w:tcPr>
                  <w:tcW w:w="491" w:type="pct"/>
                  <w:vAlign w:val="center"/>
                </w:tcPr>
                <w:p w14:paraId="7814A717">
                  <w:pPr>
                    <w:spacing w:line="240" w:lineRule="atLeast"/>
                    <w:jc w:val="center"/>
                    <w:rPr>
                      <w:sz w:val="20"/>
                      <w:szCs w:val="20"/>
                    </w:rPr>
                  </w:pPr>
                  <w:r>
                    <w:rPr>
                      <w:rFonts w:hint="eastAsia"/>
                      <w:sz w:val="20"/>
                      <w:szCs w:val="20"/>
                      <w:lang w:val="en-US" w:eastAsia="zh-CN"/>
                    </w:rPr>
                    <w:t>1</w:t>
                  </w:r>
                </w:p>
              </w:tc>
            </w:tr>
            <w:tr w14:paraId="167FB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restart"/>
                  <w:vAlign w:val="center"/>
                </w:tcPr>
                <w:p w14:paraId="3B817A4A">
                  <w:pPr>
                    <w:spacing w:line="240" w:lineRule="atLeast"/>
                    <w:jc w:val="center"/>
                    <w:rPr>
                      <w:sz w:val="20"/>
                      <w:szCs w:val="20"/>
                    </w:rPr>
                  </w:pPr>
                  <w:r>
                    <w:rPr>
                      <w:rFonts w:hint="eastAsia"/>
                      <w:sz w:val="20"/>
                      <w:szCs w:val="20"/>
                    </w:rPr>
                    <w:t>6</w:t>
                  </w:r>
                </w:p>
              </w:tc>
              <w:tc>
                <w:tcPr>
                  <w:tcW w:w="247" w:type="pct"/>
                  <w:vMerge w:val="continue"/>
                  <w:vAlign w:val="center"/>
                </w:tcPr>
                <w:p w14:paraId="0D6D6385">
                  <w:pPr>
                    <w:spacing w:line="240" w:lineRule="atLeast"/>
                    <w:jc w:val="center"/>
                    <w:rPr>
                      <w:sz w:val="20"/>
                      <w:szCs w:val="20"/>
                    </w:rPr>
                  </w:pPr>
                </w:p>
              </w:tc>
              <w:tc>
                <w:tcPr>
                  <w:tcW w:w="509" w:type="pct"/>
                  <w:vMerge w:val="restart"/>
                  <w:vAlign w:val="center"/>
                </w:tcPr>
                <w:p w14:paraId="7C97FAF7">
                  <w:pPr>
                    <w:spacing w:line="240" w:lineRule="atLeast"/>
                    <w:jc w:val="center"/>
                    <w:rPr>
                      <w:sz w:val="21"/>
                      <w:szCs w:val="21"/>
                    </w:rPr>
                  </w:pPr>
                  <w:r>
                    <w:rPr>
                      <w:sz w:val="21"/>
                      <w:szCs w:val="21"/>
                    </w:rPr>
                    <w:t>环保砂轮机</w:t>
                  </w:r>
                </w:p>
                <w:p w14:paraId="44436D02">
                  <w:pPr>
                    <w:spacing w:line="240" w:lineRule="atLeast"/>
                    <w:jc w:val="center"/>
                    <w:rPr>
                      <w:sz w:val="20"/>
                      <w:szCs w:val="20"/>
                    </w:rPr>
                  </w:pPr>
                  <w:r>
                    <w:rPr>
                      <w:rFonts w:hint="eastAsia"/>
                      <w:sz w:val="20"/>
                      <w:szCs w:val="20"/>
                    </w:rPr>
                    <w:t>（</w:t>
                  </w:r>
                  <w:r>
                    <w:rPr>
                      <w:rFonts w:hint="eastAsia"/>
                      <w:sz w:val="20"/>
                      <w:szCs w:val="20"/>
                      <w:lang w:val="en-US" w:eastAsia="zh-CN"/>
                    </w:rPr>
                    <w:t>1</w:t>
                  </w:r>
                  <w:r>
                    <w:rPr>
                      <w:rFonts w:hint="eastAsia"/>
                      <w:sz w:val="20"/>
                      <w:szCs w:val="20"/>
                    </w:rPr>
                    <w:t>台）</w:t>
                  </w:r>
                </w:p>
              </w:tc>
              <w:tc>
                <w:tcPr>
                  <w:tcW w:w="525" w:type="pct"/>
                  <w:vMerge w:val="restart"/>
                  <w:vAlign w:val="center"/>
                </w:tcPr>
                <w:p w14:paraId="7CA44624">
                  <w:pPr>
                    <w:spacing w:line="240" w:lineRule="atLeast"/>
                    <w:jc w:val="center"/>
                    <w:rPr>
                      <w:sz w:val="20"/>
                      <w:szCs w:val="20"/>
                    </w:rPr>
                  </w:pPr>
                  <w:r>
                    <w:rPr>
                      <w:rFonts w:hint="eastAsia"/>
                      <w:sz w:val="20"/>
                      <w:szCs w:val="20"/>
                    </w:rPr>
                    <w:t>82</w:t>
                  </w:r>
                </w:p>
              </w:tc>
              <w:tc>
                <w:tcPr>
                  <w:tcW w:w="323" w:type="pct"/>
                  <w:vMerge w:val="continue"/>
                  <w:vAlign w:val="center"/>
                </w:tcPr>
                <w:p w14:paraId="66D8F03C">
                  <w:pPr>
                    <w:spacing w:line="240" w:lineRule="atLeast"/>
                    <w:jc w:val="center"/>
                    <w:rPr>
                      <w:sz w:val="20"/>
                      <w:szCs w:val="20"/>
                    </w:rPr>
                  </w:pPr>
                </w:p>
              </w:tc>
              <w:tc>
                <w:tcPr>
                  <w:tcW w:w="264" w:type="pct"/>
                  <w:vMerge w:val="restart"/>
                  <w:vAlign w:val="center"/>
                </w:tcPr>
                <w:p w14:paraId="1E549210">
                  <w:pPr>
                    <w:spacing w:line="240" w:lineRule="atLeast"/>
                    <w:jc w:val="center"/>
                    <w:rPr>
                      <w:sz w:val="20"/>
                      <w:szCs w:val="20"/>
                    </w:rPr>
                  </w:pPr>
                  <w:r>
                    <w:rPr>
                      <w:rFonts w:hint="default"/>
                      <w:sz w:val="20"/>
                      <w:szCs w:val="20"/>
                      <w:lang w:val="en-US" w:eastAsia="zh-CN"/>
                    </w:rPr>
                    <w:t>82.02</w:t>
                  </w:r>
                </w:p>
              </w:tc>
              <w:tc>
                <w:tcPr>
                  <w:tcW w:w="236" w:type="pct"/>
                  <w:vMerge w:val="restart"/>
                  <w:vAlign w:val="center"/>
                </w:tcPr>
                <w:p w14:paraId="5C6D0ADD">
                  <w:pPr>
                    <w:spacing w:line="240" w:lineRule="atLeast"/>
                    <w:jc w:val="center"/>
                    <w:rPr>
                      <w:sz w:val="20"/>
                      <w:szCs w:val="20"/>
                    </w:rPr>
                  </w:pPr>
                  <w:r>
                    <w:rPr>
                      <w:rFonts w:hint="default"/>
                      <w:sz w:val="20"/>
                      <w:szCs w:val="20"/>
                      <w:lang w:val="en-US" w:eastAsia="zh-CN"/>
                    </w:rPr>
                    <w:t>14.32</w:t>
                  </w:r>
                </w:p>
              </w:tc>
              <w:tc>
                <w:tcPr>
                  <w:tcW w:w="243" w:type="pct"/>
                  <w:vMerge w:val="restart"/>
                  <w:vAlign w:val="center"/>
                </w:tcPr>
                <w:p w14:paraId="3CFEE065">
                  <w:pPr>
                    <w:spacing w:line="240" w:lineRule="atLeast"/>
                    <w:jc w:val="center"/>
                    <w:rPr>
                      <w:sz w:val="20"/>
                      <w:szCs w:val="20"/>
                    </w:rPr>
                  </w:pPr>
                  <w:r>
                    <w:rPr>
                      <w:rFonts w:hint="eastAsia"/>
                      <w:sz w:val="20"/>
                      <w:szCs w:val="20"/>
                    </w:rPr>
                    <w:t>1.5</w:t>
                  </w:r>
                </w:p>
              </w:tc>
              <w:tc>
                <w:tcPr>
                  <w:tcW w:w="329" w:type="pct"/>
                  <w:vAlign w:val="center"/>
                </w:tcPr>
                <w:p w14:paraId="7D99CE4C">
                  <w:pPr>
                    <w:spacing w:line="240" w:lineRule="atLeast"/>
                    <w:jc w:val="center"/>
                    <w:rPr>
                      <w:sz w:val="20"/>
                      <w:szCs w:val="20"/>
                    </w:rPr>
                  </w:pPr>
                  <w:r>
                    <w:rPr>
                      <w:sz w:val="20"/>
                      <w:szCs w:val="20"/>
                    </w:rPr>
                    <w:t>东</w:t>
                  </w:r>
                </w:p>
              </w:tc>
              <w:tc>
                <w:tcPr>
                  <w:tcW w:w="884" w:type="dxa"/>
                  <w:vAlign w:val="center"/>
                </w:tcPr>
                <w:p w14:paraId="2B0A1E32">
                  <w:pPr>
                    <w:spacing w:line="240" w:lineRule="atLeast"/>
                    <w:jc w:val="center"/>
                    <w:rPr>
                      <w:rFonts w:hint="default"/>
                      <w:sz w:val="20"/>
                      <w:szCs w:val="20"/>
                      <w:lang w:val="en-US" w:eastAsia="zh-CN"/>
                    </w:rPr>
                  </w:pPr>
                  <w:r>
                    <w:rPr>
                      <w:rFonts w:hint="default"/>
                      <w:sz w:val="20"/>
                      <w:szCs w:val="20"/>
                      <w:lang w:val="en-US" w:eastAsia="zh-CN"/>
                    </w:rPr>
                    <w:t>21.98</w:t>
                  </w:r>
                </w:p>
              </w:tc>
              <w:tc>
                <w:tcPr>
                  <w:tcW w:w="1070" w:type="dxa"/>
                  <w:vAlign w:val="center"/>
                </w:tcPr>
                <w:p w14:paraId="3506AD0B">
                  <w:pPr>
                    <w:spacing w:line="240" w:lineRule="atLeast"/>
                    <w:jc w:val="center"/>
                    <w:rPr>
                      <w:rFonts w:hint="default"/>
                      <w:sz w:val="20"/>
                      <w:szCs w:val="20"/>
                      <w:lang w:val="en-US" w:eastAsia="zh-CN"/>
                    </w:rPr>
                  </w:pPr>
                  <w:r>
                    <w:rPr>
                      <w:rFonts w:hint="default"/>
                      <w:sz w:val="20"/>
                      <w:szCs w:val="20"/>
                      <w:lang w:val="en-US" w:eastAsia="zh-CN"/>
                    </w:rPr>
                    <w:t xml:space="preserve">57.9 </w:t>
                  </w:r>
                </w:p>
              </w:tc>
              <w:tc>
                <w:tcPr>
                  <w:tcW w:w="207" w:type="pct"/>
                  <w:vMerge w:val="continue"/>
                  <w:vAlign w:val="center"/>
                </w:tcPr>
                <w:p w14:paraId="6A163EB6">
                  <w:pPr>
                    <w:spacing w:line="240" w:lineRule="atLeast"/>
                    <w:jc w:val="center"/>
                    <w:rPr>
                      <w:sz w:val="20"/>
                      <w:szCs w:val="20"/>
                    </w:rPr>
                  </w:pPr>
                </w:p>
              </w:tc>
              <w:tc>
                <w:tcPr>
                  <w:tcW w:w="428" w:type="pct"/>
                  <w:vMerge w:val="continue"/>
                  <w:vAlign w:val="center"/>
                </w:tcPr>
                <w:p w14:paraId="58A28D5D">
                  <w:pPr>
                    <w:spacing w:line="240" w:lineRule="atLeast"/>
                    <w:jc w:val="center"/>
                    <w:rPr>
                      <w:sz w:val="20"/>
                      <w:szCs w:val="20"/>
                    </w:rPr>
                  </w:pPr>
                </w:p>
              </w:tc>
              <w:tc>
                <w:tcPr>
                  <w:tcW w:w="839" w:type="dxa"/>
                  <w:vAlign w:val="center"/>
                </w:tcPr>
                <w:p w14:paraId="0A737485">
                  <w:pPr>
                    <w:spacing w:line="240" w:lineRule="atLeast"/>
                    <w:jc w:val="center"/>
                    <w:rPr>
                      <w:rFonts w:hint="default"/>
                      <w:sz w:val="20"/>
                      <w:szCs w:val="20"/>
                      <w:lang w:val="en-US" w:eastAsia="zh-CN"/>
                    </w:rPr>
                  </w:pPr>
                  <w:r>
                    <w:rPr>
                      <w:rFonts w:hint="default"/>
                      <w:sz w:val="20"/>
                      <w:szCs w:val="20"/>
                      <w:lang w:val="en-US" w:eastAsia="zh-CN"/>
                    </w:rPr>
                    <w:t xml:space="preserve">26.9 </w:t>
                  </w:r>
                </w:p>
              </w:tc>
              <w:tc>
                <w:tcPr>
                  <w:tcW w:w="491" w:type="pct"/>
                  <w:vAlign w:val="center"/>
                </w:tcPr>
                <w:p w14:paraId="7B399137">
                  <w:pPr>
                    <w:spacing w:line="240" w:lineRule="atLeast"/>
                    <w:jc w:val="center"/>
                    <w:rPr>
                      <w:sz w:val="20"/>
                      <w:szCs w:val="20"/>
                    </w:rPr>
                  </w:pPr>
                  <w:r>
                    <w:rPr>
                      <w:rFonts w:hint="eastAsia"/>
                      <w:sz w:val="20"/>
                      <w:szCs w:val="20"/>
                      <w:lang w:val="en-US" w:eastAsia="zh-CN"/>
                    </w:rPr>
                    <w:t>1</w:t>
                  </w:r>
                </w:p>
              </w:tc>
            </w:tr>
            <w:tr w14:paraId="10372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18CE82D2">
                  <w:pPr>
                    <w:spacing w:line="240" w:lineRule="atLeast"/>
                    <w:jc w:val="center"/>
                    <w:rPr>
                      <w:sz w:val="20"/>
                      <w:szCs w:val="20"/>
                    </w:rPr>
                  </w:pPr>
                </w:p>
              </w:tc>
              <w:tc>
                <w:tcPr>
                  <w:tcW w:w="247" w:type="pct"/>
                  <w:vMerge w:val="continue"/>
                  <w:vAlign w:val="center"/>
                </w:tcPr>
                <w:p w14:paraId="40C5B540">
                  <w:pPr>
                    <w:spacing w:line="240" w:lineRule="atLeast"/>
                    <w:jc w:val="center"/>
                    <w:rPr>
                      <w:sz w:val="20"/>
                      <w:szCs w:val="20"/>
                    </w:rPr>
                  </w:pPr>
                </w:p>
              </w:tc>
              <w:tc>
                <w:tcPr>
                  <w:tcW w:w="509" w:type="pct"/>
                  <w:vMerge w:val="continue"/>
                  <w:vAlign w:val="center"/>
                </w:tcPr>
                <w:p w14:paraId="68CF07B0">
                  <w:pPr>
                    <w:spacing w:line="240" w:lineRule="atLeast"/>
                    <w:jc w:val="center"/>
                    <w:rPr>
                      <w:sz w:val="20"/>
                      <w:szCs w:val="20"/>
                    </w:rPr>
                  </w:pPr>
                </w:p>
              </w:tc>
              <w:tc>
                <w:tcPr>
                  <w:tcW w:w="525" w:type="pct"/>
                  <w:vMerge w:val="continue"/>
                  <w:vAlign w:val="center"/>
                </w:tcPr>
                <w:p w14:paraId="20FB4678">
                  <w:pPr>
                    <w:spacing w:line="240" w:lineRule="atLeast"/>
                    <w:jc w:val="center"/>
                    <w:rPr>
                      <w:sz w:val="20"/>
                      <w:szCs w:val="20"/>
                    </w:rPr>
                  </w:pPr>
                </w:p>
              </w:tc>
              <w:tc>
                <w:tcPr>
                  <w:tcW w:w="323" w:type="pct"/>
                  <w:vMerge w:val="continue"/>
                  <w:vAlign w:val="center"/>
                </w:tcPr>
                <w:p w14:paraId="1D81FB13">
                  <w:pPr>
                    <w:spacing w:line="240" w:lineRule="atLeast"/>
                    <w:jc w:val="center"/>
                    <w:rPr>
                      <w:sz w:val="20"/>
                      <w:szCs w:val="20"/>
                    </w:rPr>
                  </w:pPr>
                </w:p>
              </w:tc>
              <w:tc>
                <w:tcPr>
                  <w:tcW w:w="264" w:type="pct"/>
                  <w:vMerge w:val="continue"/>
                  <w:vAlign w:val="center"/>
                </w:tcPr>
                <w:p w14:paraId="4941B579">
                  <w:pPr>
                    <w:spacing w:line="240" w:lineRule="atLeast"/>
                    <w:jc w:val="center"/>
                    <w:rPr>
                      <w:sz w:val="20"/>
                      <w:szCs w:val="20"/>
                    </w:rPr>
                  </w:pPr>
                </w:p>
              </w:tc>
              <w:tc>
                <w:tcPr>
                  <w:tcW w:w="236" w:type="pct"/>
                  <w:vMerge w:val="continue"/>
                  <w:vAlign w:val="center"/>
                </w:tcPr>
                <w:p w14:paraId="7FC0FD3E">
                  <w:pPr>
                    <w:spacing w:line="240" w:lineRule="atLeast"/>
                    <w:jc w:val="center"/>
                    <w:rPr>
                      <w:sz w:val="20"/>
                      <w:szCs w:val="20"/>
                    </w:rPr>
                  </w:pPr>
                </w:p>
              </w:tc>
              <w:tc>
                <w:tcPr>
                  <w:tcW w:w="243" w:type="pct"/>
                  <w:vMerge w:val="continue"/>
                  <w:vAlign w:val="center"/>
                </w:tcPr>
                <w:p w14:paraId="014E1E34">
                  <w:pPr>
                    <w:spacing w:line="240" w:lineRule="atLeast"/>
                    <w:jc w:val="center"/>
                    <w:rPr>
                      <w:sz w:val="20"/>
                      <w:szCs w:val="20"/>
                    </w:rPr>
                  </w:pPr>
                </w:p>
              </w:tc>
              <w:tc>
                <w:tcPr>
                  <w:tcW w:w="329" w:type="pct"/>
                  <w:vAlign w:val="center"/>
                </w:tcPr>
                <w:p w14:paraId="7C654748">
                  <w:pPr>
                    <w:spacing w:line="240" w:lineRule="atLeast"/>
                    <w:jc w:val="center"/>
                    <w:rPr>
                      <w:sz w:val="20"/>
                      <w:szCs w:val="20"/>
                    </w:rPr>
                  </w:pPr>
                  <w:r>
                    <w:rPr>
                      <w:sz w:val="20"/>
                      <w:szCs w:val="20"/>
                    </w:rPr>
                    <w:t>南</w:t>
                  </w:r>
                </w:p>
              </w:tc>
              <w:tc>
                <w:tcPr>
                  <w:tcW w:w="884" w:type="dxa"/>
                  <w:vAlign w:val="center"/>
                </w:tcPr>
                <w:p w14:paraId="01E90F9F">
                  <w:pPr>
                    <w:spacing w:line="240" w:lineRule="atLeast"/>
                    <w:jc w:val="center"/>
                    <w:rPr>
                      <w:rFonts w:hint="default"/>
                      <w:sz w:val="20"/>
                      <w:szCs w:val="20"/>
                      <w:lang w:val="en-US" w:eastAsia="zh-CN"/>
                    </w:rPr>
                  </w:pPr>
                  <w:r>
                    <w:rPr>
                      <w:rFonts w:hint="default"/>
                      <w:sz w:val="20"/>
                      <w:szCs w:val="20"/>
                      <w:lang w:val="en-US" w:eastAsia="zh-CN"/>
                    </w:rPr>
                    <w:t>14.32</w:t>
                  </w:r>
                </w:p>
              </w:tc>
              <w:tc>
                <w:tcPr>
                  <w:tcW w:w="1070" w:type="dxa"/>
                  <w:vAlign w:val="center"/>
                </w:tcPr>
                <w:p w14:paraId="17695217">
                  <w:pPr>
                    <w:spacing w:line="240" w:lineRule="atLeast"/>
                    <w:jc w:val="center"/>
                    <w:rPr>
                      <w:rFonts w:hint="default"/>
                      <w:sz w:val="20"/>
                      <w:szCs w:val="20"/>
                      <w:lang w:val="en-US" w:eastAsia="zh-CN"/>
                    </w:rPr>
                  </w:pPr>
                  <w:r>
                    <w:rPr>
                      <w:rFonts w:hint="default"/>
                      <w:sz w:val="20"/>
                      <w:szCs w:val="20"/>
                      <w:lang w:val="en-US" w:eastAsia="zh-CN"/>
                    </w:rPr>
                    <w:t xml:space="preserve">59.6 </w:t>
                  </w:r>
                </w:p>
              </w:tc>
              <w:tc>
                <w:tcPr>
                  <w:tcW w:w="207" w:type="pct"/>
                  <w:vMerge w:val="continue"/>
                  <w:vAlign w:val="center"/>
                </w:tcPr>
                <w:p w14:paraId="3E56F0B3">
                  <w:pPr>
                    <w:spacing w:line="240" w:lineRule="atLeast"/>
                    <w:jc w:val="center"/>
                    <w:rPr>
                      <w:sz w:val="20"/>
                      <w:szCs w:val="20"/>
                    </w:rPr>
                  </w:pPr>
                </w:p>
              </w:tc>
              <w:tc>
                <w:tcPr>
                  <w:tcW w:w="428" w:type="pct"/>
                  <w:vMerge w:val="continue"/>
                  <w:vAlign w:val="center"/>
                </w:tcPr>
                <w:p w14:paraId="047104B5">
                  <w:pPr>
                    <w:spacing w:line="240" w:lineRule="atLeast"/>
                    <w:jc w:val="center"/>
                    <w:rPr>
                      <w:sz w:val="20"/>
                      <w:szCs w:val="20"/>
                    </w:rPr>
                  </w:pPr>
                </w:p>
              </w:tc>
              <w:tc>
                <w:tcPr>
                  <w:tcW w:w="839" w:type="dxa"/>
                  <w:vAlign w:val="center"/>
                </w:tcPr>
                <w:p w14:paraId="170AC806">
                  <w:pPr>
                    <w:spacing w:line="240" w:lineRule="atLeast"/>
                    <w:jc w:val="center"/>
                    <w:rPr>
                      <w:rFonts w:hint="default"/>
                      <w:sz w:val="20"/>
                      <w:szCs w:val="20"/>
                      <w:lang w:val="en-US" w:eastAsia="zh-CN"/>
                    </w:rPr>
                  </w:pPr>
                  <w:r>
                    <w:rPr>
                      <w:rFonts w:hint="default"/>
                      <w:sz w:val="20"/>
                      <w:szCs w:val="20"/>
                      <w:lang w:val="en-US" w:eastAsia="zh-CN"/>
                    </w:rPr>
                    <w:t xml:space="preserve">28.6 </w:t>
                  </w:r>
                </w:p>
              </w:tc>
              <w:tc>
                <w:tcPr>
                  <w:tcW w:w="491" w:type="pct"/>
                  <w:vAlign w:val="center"/>
                </w:tcPr>
                <w:p w14:paraId="30C7B743">
                  <w:pPr>
                    <w:spacing w:line="240" w:lineRule="atLeast"/>
                    <w:jc w:val="center"/>
                    <w:rPr>
                      <w:sz w:val="20"/>
                      <w:szCs w:val="20"/>
                    </w:rPr>
                  </w:pPr>
                  <w:r>
                    <w:rPr>
                      <w:rFonts w:hint="eastAsia"/>
                      <w:sz w:val="20"/>
                      <w:szCs w:val="20"/>
                      <w:lang w:val="en-US" w:eastAsia="zh-CN"/>
                    </w:rPr>
                    <w:t>1</w:t>
                  </w:r>
                </w:p>
              </w:tc>
            </w:tr>
            <w:tr w14:paraId="3D2A5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1A8F88FD">
                  <w:pPr>
                    <w:spacing w:line="240" w:lineRule="atLeast"/>
                    <w:jc w:val="center"/>
                    <w:rPr>
                      <w:sz w:val="20"/>
                      <w:szCs w:val="20"/>
                    </w:rPr>
                  </w:pPr>
                </w:p>
              </w:tc>
              <w:tc>
                <w:tcPr>
                  <w:tcW w:w="247" w:type="pct"/>
                  <w:vMerge w:val="continue"/>
                  <w:vAlign w:val="center"/>
                </w:tcPr>
                <w:p w14:paraId="65DD5BB7">
                  <w:pPr>
                    <w:spacing w:line="240" w:lineRule="atLeast"/>
                    <w:jc w:val="center"/>
                    <w:rPr>
                      <w:sz w:val="20"/>
                      <w:szCs w:val="20"/>
                    </w:rPr>
                  </w:pPr>
                </w:p>
              </w:tc>
              <w:tc>
                <w:tcPr>
                  <w:tcW w:w="509" w:type="pct"/>
                  <w:vMerge w:val="continue"/>
                  <w:vAlign w:val="center"/>
                </w:tcPr>
                <w:p w14:paraId="2E583C23">
                  <w:pPr>
                    <w:spacing w:line="240" w:lineRule="atLeast"/>
                    <w:jc w:val="center"/>
                    <w:rPr>
                      <w:sz w:val="20"/>
                      <w:szCs w:val="20"/>
                    </w:rPr>
                  </w:pPr>
                </w:p>
              </w:tc>
              <w:tc>
                <w:tcPr>
                  <w:tcW w:w="525" w:type="pct"/>
                  <w:vMerge w:val="continue"/>
                  <w:vAlign w:val="center"/>
                </w:tcPr>
                <w:p w14:paraId="6FEFCC1B">
                  <w:pPr>
                    <w:spacing w:line="240" w:lineRule="atLeast"/>
                    <w:jc w:val="center"/>
                    <w:rPr>
                      <w:sz w:val="20"/>
                      <w:szCs w:val="20"/>
                    </w:rPr>
                  </w:pPr>
                </w:p>
              </w:tc>
              <w:tc>
                <w:tcPr>
                  <w:tcW w:w="323" w:type="pct"/>
                  <w:vMerge w:val="continue"/>
                  <w:vAlign w:val="center"/>
                </w:tcPr>
                <w:p w14:paraId="75BD4558">
                  <w:pPr>
                    <w:spacing w:line="240" w:lineRule="atLeast"/>
                    <w:jc w:val="center"/>
                    <w:rPr>
                      <w:sz w:val="20"/>
                      <w:szCs w:val="20"/>
                    </w:rPr>
                  </w:pPr>
                </w:p>
              </w:tc>
              <w:tc>
                <w:tcPr>
                  <w:tcW w:w="264" w:type="pct"/>
                  <w:vMerge w:val="continue"/>
                  <w:vAlign w:val="center"/>
                </w:tcPr>
                <w:p w14:paraId="2D0B1DF4">
                  <w:pPr>
                    <w:spacing w:line="240" w:lineRule="atLeast"/>
                    <w:jc w:val="center"/>
                    <w:rPr>
                      <w:sz w:val="20"/>
                      <w:szCs w:val="20"/>
                    </w:rPr>
                  </w:pPr>
                </w:p>
              </w:tc>
              <w:tc>
                <w:tcPr>
                  <w:tcW w:w="236" w:type="pct"/>
                  <w:vMerge w:val="continue"/>
                  <w:vAlign w:val="center"/>
                </w:tcPr>
                <w:p w14:paraId="6D05A226">
                  <w:pPr>
                    <w:spacing w:line="240" w:lineRule="atLeast"/>
                    <w:jc w:val="center"/>
                    <w:rPr>
                      <w:sz w:val="20"/>
                      <w:szCs w:val="20"/>
                    </w:rPr>
                  </w:pPr>
                </w:p>
              </w:tc>
              <w:tc>
                <w:tcPr>
                  <w:tcW w:w="243" w:type="pct"/>
                  <w:vMerge w:val="continue"/>
                  <w:vAlign w:val="center"/>
                </w:tcPr>
                <w:p w14:paraId="0243CE5A">
                  <w:pPr>
                    <w:spacing w:line="240" w:lineRule="atLeast"/>
                    <w:jc w:val="center"/>
                    <w:rPr>
                      <w:sz w:val="20"/>
                      <w:szCs w:val="20"/>
                    </w:rPr>
                  </w:pPr>
                </w:p>
              </w:tc>
              <w:tc>
                <w:tcPr>
                  <w:tcW w:w="329" w:type="pct"/>
                  <w:vAlign w:val="center"/>
                </w:tcPr>
                <w:p w14:paraId="193B0C07">
                  <w:pPr>
                    <w:spacing w:line="240" w:lineRule="atLeast"/>
                    <w:jc w:val="center"/>
                    <w:rPr>
                      <w:sz w:val="20"/>
                      <w:szCs w:val="20"/>
                    </w:rPr>
                  </w:pPr>
                  <w:r>
                    <w:rPr>
                      <w:sz w:val="20"/>
                      <w:szCs w:val="20"/>
                    </w:rPr>
                    <w:t>西</w:t>
                  </w:r>
                </w:p>
              </w:tc>
              <w:tc>
                <w:tcPr>
                  <w:tcW w:w="884" w:type="dxa"/>
                  <w:vAlign w:val="center"/>
                </w:tcPr>
                <w:p w14:paraId="287D8F55">
                  <w:pPr>
                    <w:spacing w:line="240" w:lineRule="atLeast"/>
                    <w:jc w:val="center"/>
                    <w:rPr>
                      <w:rFonts w:hint="default"/>
                      <w:sz w:val="20"/>
                      <w:szCs w:val="20"/>
                      <w:lang w:val="en-US" w:eastAsia="zh-CN"/>
                    </w:rPr>
                  </w:pPr>
                  <w:r>
                    <w:rPr>
                      <w:rFonts w:hint="default"/>
                      <w:sz w:val="20"/>
                      <w:szCs w:val="20"/>
                      <w:lang w:val="en-US" w:eastAsia="zh-CN"/>
                    </w:rPr>
                    <w:t>82.02</w:t>
                  </w:r>
                </w:p>
              </w:tc>
              <w:tc>
                <w:tcPr>
                  <w:tcW w:w="1070" w:type="dxa"/>
                  <w:vAlign w:val="center"/>
                </w:tcPr>
                <w:p w14:paraId="49156017">
                  <w:pPr>
                    <w:spacing w:line="240" w:lineRule="atLeast"/>
                    <w:jc w:val="center"/>
                    <w:rPr>
                      <w:rFonts w:hint="default"/>
                      <w:sz w:val="20"/>
                      <w:szCs w:val="20"/>
                      <w:lang w:val="en-US" w:eastAsia="zh-CN"/>
                    </w:rPr>
                  </w:pPr>
                  <w:r>
                    <w:rPr>
                      <w:rFonts w:hint="default"/>
                      <w:sz w:val="20"/>
                      <w:szCs w:val="20"/>
                      <w:lang w:val="en-US" w:eastAsia="zh-CN"/>
                    </w:rPr>
                    <w:t xml:space="preserve">56.3 </w:t>
                  </w:r>
                </w:p>
              </w:tc>
              <w:tc>
                <w:tcPr>
                  <w:tcW w:w="207" w:type="pct"/>
                  <w:vMerge w:val="continue"/>
                  <w:vAlign w:val="center"/>
                </w:tcPr>
                <w:p w14:paraId="29C87CD6">
                  <w:pPr>
                    <w:spacing w:line="240" w:lineRule="atLeast"/>
                    <w:jc w:val="center"/>
                    <w:rPr>
                      <w:sz w:val="20"/>
                      <w:szCs w:val="20"/>
                    </w:rPr>
                  </w:pPr>
                </w:p>
              </w:tc>
              <w:tc>
                <w:tcPr>
                  <w:tcW w:w="428" w:type="pct"/>
                  <w:vMerge w:val="continue"/>
                  <w:vAlign w:val="center"/>
                </w:tcPr>
                <w:p w14:paraId="6858B020">
                  <w:pPr>
                    <w:spacing w:line="240" w:lineRule="atLeast"/>
                    <w:jc w:val="center"/>
                    <w:rPr>
                      <w:sz w:val="20"/>
                      <w:szCs w:val="20"/>
                    </w:rPr>
                  </w:pPr>
                </w:p>
              </w:tc>
              <w:tc>
                <w:tcPr>
                  <w:tcW w:w="839" w:type="dxa"/>
                  <w:vAlign w:val="center"/>
                </w:tcPr>
                <w:p w14:paraId="2423461B">
                  <w:pPr>
                    <w:spacing w:line="240" w:lineRule="atLeast"/>
                    <w:jc w:val="center"/>
                    <w:rPr>
                      <w:rFonts w:hint="default"/>
                      <w:sz w:val="20"/>
                      <w:szCs w:val="20"/>
                      <w:lang w:val="en-US" w:eastAsia="zh-CN"/>
                    </w:rPr>
                  </w:pPr>
                  <w:r>
                    <w:rPr>
                      <w:rFonts w:hint="default"/>
                      <w:sz w:val="20"/>
                      <w:szCs w:val="20"/>
                      <w:lang w:val="en-US" w:eastAsia="zh-CN"/>
                    </w:rPr>
                    <w:t xml:space="preserve">25.3 </w:t>
                  </w:r>
                </w:p>
              </w:tc>
              <w:tc>
                <w:tcPr>
                  <w:tcW w:w="491" w:type="pct"/>
                  <w:vAlign w:val="center"/>
                </w:tcPr>
                <w:p w14:paraId="0904CFEE">
                  <w:pPr>
                    <w:spacing w:line="240" w:lineRule="atLeast"/>
                    <w:jc w:val="center"/>
                    <w:rPr>
                      <w:sz w:val="20"/>
                      <w:szCs w:val="20"/>
                    </w:rPr>
                  </w:pPr>
                  <w:r>
                    <w:rPr>
                      <w:rFonts w:hint="eastAsia"/>
                      <w:sz w:val="20"/>
                      <w:szCs w:val="20"/>
                      <w:lang w:val="en-US" w:eastAsia="zh-CN"/>
                    </w:rPr>
                    <w:t>1</w:t>
                  </w:r>
                </w:p>
              </w:tc>
            </w:tr>
            <w:tr w14:paraId="01D03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3E0994C9">
                  <w:pPr>
                    <w:spacing w:line="240" w:lineRule="atLeast"/>
                    <w:jc w:val="center"/>
                    <w:rPr>
                      <w:sz w:val="20"/>
                      <w:szCs w:val="20"/>
                    </w:rPr>
                  </w:pPr>
                </w:p>
              </w:tc>
              <w:tc>
                <w:tcPr>
                  <w:tcW w:w="247" w:type="pct"/>
                  <w:vMerge w:val="continue"/>
                  <w:vAlign w:val="center"/>
                </w:tcPr>
                <w:p w14:paraId="5A1B7B0C">
                  <w:pPr>
                    <w:spacing w:line="240" w:lineRule="atLeast"/>
                    <w:jc w:val="center"/>
                    <w:rPr>
                      <w:sz w:val="20"/>
                      <w:szCs w:val="20"/>
                    </w:rPr>
                  </w:pPr>
                </w:p>
              </w:tc>
              <w:tc>
                <w:tcPr>
                  <w:tcW w:w="509" w:type="pct"/>
                  <w:vMerge w:val="continue"/>
                  <w:vAlign w:val="center"/>
                </w:tcPr>
                <w:p w14:paraId="6716BAFB">
                  <w:pPr>
                    <w:spacing w:line="240" w:lineRule="atLeast"/>
                    <w:jc w:val="center"/>
                    <w:rPr>
                      <w:sz w:val="20"/>
                      <w:szCs w:val="20"/>
                    </w:rPr>
                  </w:pPr>
                </w:p>
              </w:tc>
              <w:tc>
                <w:tcPr>
                  <w:tcW w:w="525" w:type="pct"/>
                  <w:vMerge w:val="continue"/>
                  <w:vAlign w:val="center"/>
                </w:tcPr>
                <w:p w14:paraId="1D5C832A">
                  <w:pPr>
                    <w:spacing w:line="240" w:lineRule="atLeast"/>
                    <w:jc w:val="center"/>
                    <w:rPr>
                      <w:sz w:val="20"/>
                      <w:szCs w:val="20"/>
                    </w:rPr>
                  </w:pPr>
                </w:p>
              </w:tc>
              <w:tc>
                <w:tcPr>
                  <w:tcW w:w="323" w:type="pct"/>
                  <w:vMerge w:val="continue"/>
                  <w:vAlign w:val="center"/>
                </w:tcPr>
                <w:p w14:paraId="334A1C2E">
                  <w:pPr>
                    <w:spacing w:line="240" w:lineRule="atLeast"/>
                    <w:jc w:val="center"/>
                    <w:rPr>
                      <w:sz w:val="20"/>
                      <w:szCs w:val="20"/>
                    </w:rPr>
                  </w:pPr>
                </w:p>
              </w:tc>
              <w:tc>
                <w:tcPr>
                  <w:tcW w:w="264" w:type="pct"/>
                  <w:vMerge w:val="continue"/>
                  <w:vAlign w:val="center"/>
                </w:tcPr>
                <w:p w14:paraId="18F67BC8">
                  <w:pPr>
                    <w:spacing w:line="240" w:lineRule="atLeast"/>
                    <w:jc w:val="center"/>
                    <w:rPr>
                      <w:sz w:val="20"/>
                      <w:szCs w:val="20"/>
                    </w:rPr>
                  </w:pPr>
                </w:p>
              </w:tc>
              <w:tc>
                <w:tcPr>
                  <w:tcW w:w="236" w:type="pct"/>
                  <w:vMerge w:val="continue"/>
                  <w:vAlign w:val="center"/>
                </w:tcPr>
                <w:p w14:paraId="33ACB1C2">
                  <w:pPr>
                    <w:spacing w:line="240" w:lineRule="atLeast"/>
                    <w:jc w:val="center"/>
                    <w:rPr>
                      <w:sz w:val="20"/>
                      <w:szCs w:val="20"/>
                    </w:rPr>
                  </w:pPr>
                </w:p>
              </w:tc>
              <w:tc>
                <w:tcPr>
                  <w:tcW w:w="243" w:type="pct"/>
                  <w:vMerge w:val="continue"/>
                  <w:vAlign w:val="center"/>
                </w:tcPr>
                <w:p w14:paraId="2ABBA793">
                  <w:pPr>
                    <w:spacing w:line="240" w:lineRule="atLeast"/>
                    <w:jc w:val="center"/>
                    <w:rPr>
                      <w:sz w:val="20"/>
                      <w:szCs w:val="20"/>
                    </w:rPr>
                  </w:pPr>
                </w:p>
              </w:tc>
              <w:tc>
                <w:tcPr>
                  <w:tcW w:w="329" w:type="pct"/>
                  <w:vAlign w:val="center"/>
                </w:tcPr>
                <w:p w14:paraId="75DB4340">
                  <w:pPr>
                    <w:spacing w:line="240" w:lineRule="atLeast"/>
                    <w:jc w:val="center"/>
                    <w:rPr>
                      <w:sz w:val="20"/>
                      <w:szCs w:val="20"/>
                    </w:rPr>
                  </w:pPr>
                  <w:r>
                    <w:rPr>
                      <w:sz w:val="20"/>
                      <w:szCs w:val="20"/>
                    </w:rPr>
                    <w:t>北</w:t>
                  </w:r>
                </w:p>
              </w:tc>
              <w:tc>
                <w:tcPr>
                  <w:tcW w:w="884" w:type="dxa"/>
                  <w:vAlign w:val="center"/>
                </w:tcPr>
                <w:p w14:paraId="6CF5D37A">
                  <w:pPr>
                    <w:spacing w:line="240" w:lineRule="atLeast"/>
                    <w:jc w:val="center"/>
                    <w:rPr>
                      <w:rFonts w:hint="default"/>
                      <w:sz w:val="20"/>
                      <w:szCs w:val="20"/>
                      <w:lang w:val="en-US" w:eastAsia="zh-CN"/>
                    </w:rPr>
                  </w:pPr>
                  <w:r>
                    <w:rPr>
                      <w:rFonts w:hint="default"/>
                      <w:sz w:val="20"/>
                      <w:szCs w:val="20"/>
                      <w:lang w:val="en-US" w:eastAsia="zh-CN"/>
                    </w:rPr>
                    <w:t>3.68</w:t>
                  </w:r>
                </w:p>
              </w:tc>
              <w:tc>
                <w:tcPr>
                  <w:tcW w:w="1070" w:type="dxa"/>
                  <w:vAlign w:val="center"/>
                </w:tcPr>
                <w:p w14:paraId="674826FF">
                  <w:pPr>
                    <w:spacing w:line="240" w:lineRule="atLeast"/>
                    <w:jc w:val="center"/>
                    <w:rPr>
                      <w:rFonts w:hint="default"/>
                      <w:sz w:val="20"/>
                      <w:szCs w:val="20"/>
                      <w:lang w:val="en-US" w:eastAsia="zh-CN"/>
                    </w:rPr>
                  </w:pPr>
                  <w:r>
                    <w:rPr>
                      <w:rFonts w:hint="default"/>
                      <w:sz w:val="20"/>
                      <w:szCs w:val="20"/>
                      <w:lang w:val="en-US" w:eastAsia="zh-CN"/>
                    </w:rPr>
                    <w:t xml:space="preserve">69.0 </w:t>
                  </w:r>
                </w:p>
              </w:tc>
              <w:tc>
                <w:tcPr>
                  <w:tcW w:w="207" w:type="pct"/>
                  <w:vMerge w:val="continue"/>
                  <w:vAlign w:val="center"/>
                </w:tcPr>
                <w:p w14:paraId="44702078">
                  <w:pPr>
                    <w:spacing w:line="240" w:lineRule="atLeast"/>
                    <w:jc w:val="center"/>
                    <w:rPr>
                      <w:sz w:val="20"/>
                      <w:szCs w:val="20"/>
                    </w:rPr>
                  </w:pPr>
                </w:p>
              </w:tc>
              <w:tc>
                <w:tcPr>
                  <w:tcW w:w="428" w:type="pct"/>
                  <w:vMerge w:val="continue"/>
                  <w:vAlign w:val="center"/>
                </w:tcPr>
                <w:p w14:paraId="070A89E7">
                  <w:pPr>
                    <w:spacing w:line="240" w:lineRule="atLeast"/>
                    <w:jc w:val="center"/>
                    <w:rPr>
                      <w:sz w:val="20"/>
                      <w:szCs w:val="20"/>
                    </w:rPr>
                  </w:pPr>
                </w:p>
              </w:tc>
              <w:tc>
                <w:tcPr>
                  <w:tcW w:w="839" w:type="dxa"/>
                  <w:vAlign w:val="center"/>
                </w:tcPr>
                <w:p w14:paraId="3A116895">
                  <w:pPr>
                    <w:spacing w:line="240" w:lineRule="atLeast"/>
                    <w:jc w:val="center"/>
                    <w:rPr>
                      <w:rFonts w:hint="default"/>
                      <w:sz w:val="20"/>
                      <w:szCs w:val="20"/>
                      <w:lang w:val="en-US" w:eastAsia="zh-CN"/>
                    </w:rPr>
                  </w:pPr>
                  <w:r>
                    <w:rPr>
                      <w:rFonts w:hint="default"/>
                      <w:sz w:val="20"/>
                      <w:szCs w:val="20"/>
                      <w:lang w:val="en-US" w:eastAsia="zh-CN"/>
                    </w:rPr>
                    <w:t xml:space="preserve">38.0 </w:t>
                  </w:r>
                </w:p>
              </w:tc>
              <w:tc>
                <w:tcPr>
                  <w:tcW w:w="491" w:type="pct"/>
                  <w:vAlign w:val="center"/>
                </w:tcPr>
                <w:p w14:paraId="1097AC9A">
                  <w:pPr>
                    <w:spacing w:line="240" w:lineRule="atLeast"/>
                    <w:jc w:val="center"/>
                    <w:rPr>
                      <w:sz w:val="20"/>
                      <w:szCs w:val="20"/>
                    </w:rPr>
                  </w:pPr>
                  <w:r>
                    <w:rPr>
                      <w:rFonts w:hint="eastAsia"/>
                      <w:sz w:val="20"/>
                      <w:szCs w:val="20"/>
                      <w:lang w:val="en-US" w:eastAsia="zh-CN"/>
                    </w:rPr>
                    <w:t>1</w:t>
                  </w:r>
                </w:p>
              </w:tc>
            </w:tr>
            <w:tr w14:paraId="681BD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restart"/>
                  <w:vAlign w:val="center"/>
                </w:tcPr>
                <w:p w14:paraId="5DE7C093">
                  <w:pPr>
                    <w:spacing w:line="240" w:lineRule="atLeast"/>
                    <w:jc w:val="center"/>
                    <w:rPr>
                      <w:rFonts w:hint="eastAsia" w:eastAsia="仿宋"/>
                      <w:sz w:val="20"/>
                      <w:szCs w:val="20"/>
                      <w:lang w:eastAsia="zh-CN"/>
                    </w:rPr>
                  </w:pPr>
                  <w:r>
                    <w:rPr>
                      <w:rFonts w:hint="eastAsia"/>
                      <w:sz w:val="20"/>
                      <w:szCs w:val="20"/>
                      <w:lang w:val="en-US" w:eastAsia="zh-CN"/>
                    </w:rPr>
                    <w:t>7</w:t>
                  </w:r>
                </w:p>
              </w:tc>
              <w:tc>
                <w:tcPr>
                  <w:tcW w:w="247" w:type="pct"/>
                  <w:vMerge w:val="continue"/>
                  <w:vAlign w:val="center"/>
                </w:tcPr>
                <w:p w14:paraId="0694BDCC">
                  <w:pPr>
                    <w:spacing w:line="240" w:lineRule="atLeast"/>
                    <w:jc w:val="center"/>
                    <w:rPr>
                      <w:sz w:val="20"/>
                      <w:szCs w:val="20"/>
                    </w:rPr>
                  </w:pPr>
                </w:p>
              </w:tc>
              <w:tc>
                <w:tcPr>
                  <w:tcW w:w="509" w:type="pct"/>
                  <w:vMerge w:val="restart"/>
                  <w:vAlign w:val="center"/>
                </w:tcPr>
                <w:p w14:paraId="70E7251B">
                  <w:pPr>
                    <w:spacing w:line="240" w:lineRule="atLeast"/>
                    <w:jc w:val="center"/>
                    <w:rPr>
                      <w:sz w:val="20"/>
                      <w:szCs w:val="20"/>
                    </w:rPr>
                  </w:pPr>
                  <w:r>
                    <w:rPr>
                      <w:rFonts w:hint="eastAsia"/>
                      <w:sz w:val="20"/>
                      <w:szCs w:val="20"/>
                    </w:rPr>
                    <w:t>螺杆空压机</w:t>
                  </w:r>
                </w:p>
                <w:p w14:paraId="138E4DA1">
                  <w:pPr>
                    <w:spacing w:line="240" w:lineRule="atLeast"/>
                    <w:jc w:val="center"/>
                    <w:rPr>
                      <w:sz w:val="20"/>
                      <w:szCs w:val="20"/>
                    </w:rPr>
                  </w:pPr>
                  <w:r>
                    <w:rPr>
                      <w:rFonts w:hint="eastAsia"/>
                      <w:sz w:val="20"/>
                      <w:szCs w:val="20"/>
                    </w:rPr>
                    <w:t>（1台）</w:t>
                  </w:r>
                </w:p>
              </w:tc>
              <w:tc>
                <w:tcPr>
                  <w:tcW w:w="525" w:type="pct"/>
                  <w:vMerge w:val="restart"/>
                  <w:shd w:val="clear" w:color="auto" w:fill="auto"/>
                  <w:vAlign w:val="center"/>
                </w:tcPr>
                <w:p w14:paraId="000FE1E0">
                  <w:pPr>
                    <w:spacing w:line="240" w:lineRule="auto"/>
                    <w:jc w:val="center"/>
                    <w:rPr>
                      <w:sz w:val="21"/>
                      <w:szCs w:val="21"/>
                    </w:rPr>
                  </w:pPr>
                  <w:r>
                    <w:rPr>
                      <w:rFonts w:hint="eastAsia"/>
                      <w:sz w:val="21"/>
                      <w:szCs w:val="21"/>
                    </w:rPr>
                    <w:t>88</w:t>
                  </w:r>
                </w:p>
              </w:tc>
              <w:tc>
                <w:tcPr>
                  <w:tcW w:w="323" w:type="pct"/>
                  <w:vMerge w:val="continue"/>
                  <w:vAlign w:val="center"/>
                </w:tcPr>
                <w:p w14:paraId="634E0A85">
                  <w:pPr>
                    <w:spacing w:line="240" w:lineRule="atLeast"/>
                    <w:jc w:val="center"/>
                    <w:rPr>
                      <w:sz w:val="20"/>
                      <w:szCs w:val="20"/>
                    </w:rPr>
                  </w:pPr>
                </w:p>
              </w:tc>
              <w:tc>
                <w:tcPr>
                  <w:tcW w:w="264" w:type="pct"/>
                  <w:vMerge w:val="restart"/>
                  <w:vAlign w:val="center"/>
                </w:tcPr>
                <w:p w14:paraId="266951CF">
                  <w:pPr>
                    <w:spacing w:line="240" w:lineRule="atLeast"/>
                    <w:jc w:val="center"/>
                    <w:rPr>
                      <w:sz w:val="20"/>
                      <w:szCs w:val="20"/>
                    </w:rPr>
                  </w:pPr>
                  <w:r>
                    <w:rPr>
                      <w:rFonts w:hint="default"/>
                      <w:sz w:val="20"/>
                      <w:szCs w:val="20"/>
                      <w:lang w:val="en-US" w:eastAsia="zh-CN"/>
                    </w:rPr>
                    <w:t>94.48</w:t>
                  </w:r>
                </w:p>
              </w:tc>
              <w:tc>
                <w:tcPr>
                  <w:tcW w:w="236" w:type="pct"/>
                  <w:vMerge w:val="restart"/>
                  <w:vAlign w:val="center"/>
                </w:tcPr>
                <w:p w14:paraId="0065B26F">
                  <w:pPr>
                    <w:spacing w:line="240" w:lineRule="atLeast"/>
                    <w:jc w:val="center"/>
                    <w:rPr>
                      <w:sz w:val="20"/>
                      <w:szCs w:val="20"/>
                    </w:rPr>
                  </w:pPr>
                  <w:r>
                    <w:rPr>
                      <w:rFonts w:hint="default"/>
                      <w:sz w:val="20"/>
                      <w:szCs w:val="20"/>
                      <w:lang w:val="en-US" w:eastAsia="zh-CN"/>
                    </w:rPr>
                    <w:t>9.1</w:t>
                  </w:r>
                </w:p>
              </w:tc>
              <w:tc>
                <w:tcPr>
                  <w:tcW w:w="243" w:type="pct"/>
                  <w:vMerge w:val="restart"/>
                  <w:shd w:val="clear" w:color="auto" w:fill="auto"/>
                  <w:vAlign w:val="center"/>
                </w:tcPr>
                <w:p w14:paraId="28C5E381">
                  <w:pPr>
                    <w:spacing w:line="240" w:lineRule="atLeast"/>
                    <w:jc w:val="center"/>
                    <w:rPr>
                      <w:sz w:val="20"/>
                      <w:szCs w:val="20"/>
                    </w:rPr>
                  </w:pPr>
                  <w:r>
                    <w:rPr>
                      <w:rFonts w:hint="eastAsia"/>
                      <w:sz w:val="20"/>
                      <w:szCs w:val="20"/>
                    </w:rPr>
                    <w:t>1.5</w:t>
                  </w:r>
                </w:p>
              </w:tc>
              <w:tc>
                <w:tcPr>
                  <w:tcW w:w="329" w:type="pct"/>
                  <w:vAlign w:val="center"/>
                </w:tcPr>
                <w:p w14:paraId="7FA69573">
                  <w:pPr>
                    <w:spacing w:line="240" w:lineRule="atLeast"/>
                    <w:jc w:val="center"/>
                    <w:rPr>
                      <w:sz w:val="20"/>
                      <w:szCs w:val="20"/>
                    </w:rPr>
                  </w:pPr>
                  <w:r>
                    <w:rPr>
                      <w:sz w:val="20"/>
                      <w:szCs w:val="20"/>
                    </w:rPr>
                    <w:t>东</w:t>
                  </w:r>
                </w:p>
              </w:tc>
              <w:tc>
                <w:tcPr>
                  <w:tcW w:w="884" w:type="dxa"/>
                  <w:vAlign w:val="center"/>
                </w:tcPr>
                <w:p w14:paraId="5CF8DD5C">
                  <w:pPr>
                    <w:spacing w:line="240" w:lineRule="atLeast"/>
                    <w:jc w:val="center"/>
                    <w:rPr>
                      <w:rFonts w:hint="default"/>
                      <w:sz w:val="20"/>
                      <w:szCs w:val="20"/>
                      <w:lang w:val="en-US" w:eastAsia="zh-CN"/>
                    </w:rPr>
                  </w:pPr>
                  <w:r>
                    <w:rPr>
                      <w:rFonts w:hint="default"/>
                      <w:sz w:val="20"/>
                      <w:szCs w:val="20"/>
                      <w:lang w:val="en-US" w:eastAsia="zh-CN"/>
                    </w:rPr>
                    <w:t>9.52</w:t>
                  </w:r>
                </w:p>
              </w:tc>
              <w:tc>
                <w:tcPr>
                  <w:tcW w:w="1070" w:type="dxa"/>
                  <w:vAlign w:val="center"/>
                </w:tcPr>
                <w:p w14:paraId="06A3C5B4">
                  <w:pPr>
                    <w:spacing w:line="240" w:lineRule="atLeast"/>
                    <w:jc w:val="center"/>
                    <w:rPr>
                      <w:rFonts w:hint="default"/>
                      <w:sz w:val="20"/>
                      <w:szCs w:val="20"/>
                      <w:lang w:val="en-US" w:eastAsia="zh-CN"/>
                    </w:rPr>
                  </w:pPr>
                  <w:r>
                    <w:rPr>
                      <w:rFonts w:hint="default"/>
                      <w:sz w:val="20"/>
                      <w:szCs w:val="20"/>
                      <w:lang w:val="en-US" w:eastAsia="zh-CN"/>
                    </w:rPr>
                    <w:t xml:space="preserve">64.8 </w:t>
                  </w:r>
                </w:p>
              </w:tc>
              <w:tc>
                <w:tcPr>
                  <w:tcW w:w="207" w:type="pct"/>
                  <w:vMerge w:val="continue"/>
                  <w:vAlign w:val="center"/>
                </w:tcPr>
                <w:p w14:paraId="216101A0">
                  <w:pPr>
                    <w:spacing w:line="240" w:lineRule="atLeast"/>
                    <w:jc w:val="center"/>
                    <w:rPr>
                      <w:sz w:val="20"/>
                      <w:szCs w:val="20"/>
                    </w:rPr>
                  </w:pPr>
                </w:p>
              </w:tc>
              <w:tc>
                <w:tcPr>
                  <w:tcW w:w="428" w:type="pct"/>
                  <w:vMerge w:val="continue"/>
                  <w:vAlign w:val="center"/>
                </w:tcPr>
                <w:p w14:paraId="2C31BF5B">
                  <w:pPr>
                    <w:spacing w:line="240" w:lineRule="atLeast"/>
                    <w:jc w:val="center"/>
                    <w:rPr>
                      <w:sz w:val="20"/>
                      <w:szCs w:val="20"/>
                    </w:rPr>
                  </w:pPr>
                </w:p>
              </w:tc>
              <w:tc>
                <w:tcPr>
                  <w:tcW w:w="839" w:type="dxa"/>
                  <w:vAlign w:val="center"/>
                </w:tcPr>
                <w:p w14:paraId="70E31B26">
                  <w:pPr>
                    <w:spacing w:line="240" w:lineRule="atLeast"/>
                    <w:jc w:val="center"/>
                    <w:rPr>
                      <w:rFonts w:hint="default"/>
                      <w:sz w:val="20"/>
                      <w:szCs w:val="20"/>
                      <w:lang w:val="en-US" w:eastAsia="zh-CN"/>
                    </w:rPr>
                  </w:pPr>
                  <w:r>
                    <w:rPr>
                      <w:rFonts w:hint="default"/>
                      <w:sz w:val="20"/>
                      <w:szCs w:val="20"/>
                      <w:lang w:val="en-US" w:eastAsia="zh-CN"/>
                    </w:rPr>
                    <w:t xml:space="preserve">33.8 </w:t>
                  </w:r>
                </w:p>
              </w:tc>
              <w:tc>
                <w:tcPr>
                  <w:tcW w:w="491" w:type="pct"/>
                  <w:vAlign w:val="center"/>
                </w:tcPr>
                <w:p w14:paraId="47545906">
                  <w:pPr>
                    <w:spacing w:line="240" w:lineRule="atLeast"/>
                    <w:jc w:val="center"/>
                    <w:rPr>
                      <w:sz w:val="20"/>
                      <w:szCs w:val="20"/>
                    </w:rPr>
                  </w:pPr>
                  <w:r>
                    <w:rPr>
                      <w:rFonts w:hint="eastAsia"/>
                      <w:sz w:val="20"/>
                      <w:szCs w:val="20"/>
                      <w:lang w:val="en-US" w:eastAsia="zh-CN"/>
                    </w:rPr>
                    <w:t>1</w:t>
                  </w:r>
                </w:p>
              </w:tc>
            </w:tr>
            <w:tr w14:paraId="1D12E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2ABAFFA5">
                  <w:pPr>
                    <w:spacing w:line="240" w:lineRule="atLeast"/>
                    <w:jc w:val="center"/>
                    <w:rPr>
                      <w:sz w:val="20"/>
                      <w:szCs w:val="20"/>
                    </w:rPr>
                  </w:pPr>
                </w:p>
              </w:tc>
              <w:tc>
                <w:tcPr>
                  <w:tcW w:w="247" w:type="pct"/>
                  <w:vMerge w:val="continue"/>
                  <w:vAlign w:val="center"/>
                </w:tcPr>
                <w:p w14:paraId="40A7F9A7">
                  <w:pPr>
                    <w:spacing w:line="240" w:lineRule="atLeast"/>
                    <w:jc w:val="center"/>
                    <w:rPr>
                      <w:sz w:val="20"/>
                      <w:szCs w:val="20"/>
                    </w:rPr>
                  </w:pPr>
                </w:p>
              </w:tc>
              <w:tc>
                <w:tcPr>
                  <w:tcW w:w="509" w:type="pct"/>
                  <w:vMerge w:val="continue"/>
                  <w:vAlign w:val="center"/>
                </w:tcPr>
                <w:p w14:paraId="195830D0">
                  <w:pPr>
                    <w:spacing w:line="240" w:lineRule="atLeast"/>
                    <w:jc w:val="center"/>
                    <w:rPr>
                      <w:sz w:val="20"/>
                      <w:szCs w:val="20"/>
                    </w:rPr>
                  </w:pPr>
                </w:p>
              </w:tc>
              <w:tc>
                <w:tcPr>
                  <w:tcW w:w="525" w:type="pct"/>
                  <w:vMerge w:val="continue"/>
                  <w:shd w:val="clear" w:color="auto" w:fill="auto"/>
                  <w:vAlign w:val="center"/>
                </w:tcPr>
                <w:p w14:paraId="4201C2D8">
                  <w:pPr>
                    <w:spacing w:line="240" w:lineRule="auto"/>
                    <w:jc w:val="center"/>
                    <w:rPr>
                      <w:sz w:val="21"/>
                      <w:szCs w:val="21"/>
                    </w:rPr>
                  </w:pPr>
                </w:p>
              </w:tc>
              <w:tc>
                <w:tcPr>
                  <w:tcW w:w="323" w:type="pct"/>
                  <w:vMerge w:val="continue"/>
                  <w:vAlign w:val="center"/>
                </w:tcPr>
                <w:p w14:paraId="26D446CA">
                  <w:pPr>
                    <w:spacing w:line="240" w:lineRule="atLeast"/>
                    <w:jc w:val="center"/>
                    <w:rPr>
                      <w:sz w:val="20"/>
                      <w:szCs w:val="20"/>
                    </w:rPr>
                  </w:pPr>
                </w:p>
              </w:tc>
              <w:tc>
                <w:tcPr>
                  <w:tcW w:w="264" w:type="pct"/>
                  <w:vMerge w:val="continue"/>
                  <w:vAlign w:val="center"/>
                </w:tcPr>
                <w:p w14:paraId="31651272">
                  <w:pPr>
                    <w:spacing w:line="240" w:lineRule="atLeast"/>
                    <w:jc w:val="center"/>
                    <w:rPr>
                      <w:sz w:val="20"/>
                      <w:szCs w:val="20"/>
                    </w:rPr>
                  </w:pPr>
                </w:p>
              </w:tc>
              <w:tc>
                <w:tcPr>
                  <w:tcW w:w="236" w:type="pct"/>
                  <w:vMerge w:val="continue"/>
                  <w:vAlign w:val="center"/>
                </w:tcPr>
                <w:p w14:paraId="1256261E">
                  <w:pPr>
                    <w:spacing w:line="240" w:lineRule="atLeast"/>
                    <w:jc w:val="center"/>
                    <w:rPr>
                      <w:sz w:val="20"/>
                      <w:szCs w:val="20"/>
                    </w:rPr>
                  </w:pPr>
                </w:p>
              </w:tc>
              <w:tc>
                <w:tcPr>
                  <w:tcW w:w="243" w:type="pct"/>
                  <w:vMerge w:val="continue"/>
                  <w:vAlign w:val="center"/>
                </w:tcPr>
                <w:p w14:paraId="7647BF9A">
                  <w:pPr>
                    <w:spacing w:line="240" w:lineRule="atLeast"/>
                    <w:jc w:val="center"/>
                    <w:rPr>
                      <w:sz w:val="20"/>
                      <w:szCs w:val="20"/>
                    </w:rPr>
                  </w:pPr>
                </w:p>
              </w:tc>
              <w:tc>
                <w:tcPr>
                  <w:tcW w:w="329" w:type="pct"/>
                  <w:vAlign w:val="center"/>
                </w:tcPr>
                <w:p w14:paraId="61442DAE">
                  <w:pPr>
                    <w:spacing w:line="240" w:lineRule="atLeast"/>
                    <w:jc w:val="center"/>
                    <w:rPr>
                      <w:sz w:val="20"/>
                      <w:szCs w:val="20"/>
                    </w:rPr>
                  </w:pPr>
                  <w:r>
                    <w:rPr>
                      <w:sz w:val="20"/>
                      <w:szCs w:val="20"/>
                    </w:rPr>
                    <w:t>南</w:t>
                  </w:r>
                </w:p>
              </w:tc>
              <w:tc>
                <w:tcPr>
                  <w:tcW w:w="884" w:type="dxa"/>
                  <w:vAlign w:val="center"/>
                </w:tcPr>
                <w:p w14:paraId="20277ADE">
                  <w:pPr>
                    <w:spacing w:line="240" w:lineRule="atLeast"/>
                    <w:jc w:val="center"/>
                    <w:rPr>
                      <w:rFonts w:hint="default"/>
                      <w:sz w:val="20"/>
                      <w:szCs w:val="20"/>
                      <w:lang w:val="en-US" w:eastAsia="zh-CN"/>
                    </w:rPr>
                  </w:pPr>
                  <w:r>
                    <w:rPr>
                      <w:rFonts w:hint="default"/>
                      <w:sz w:val="20"/>
                      <w:szCs w:val="20"/>
                      <w:lang w:val="en-US" w:eastAsia="zh-CN"/>
                    </w:rPr>
                    <w:t>9.1</w:t>
                  </w:r>
                </w:p>
              </w:tc>
              <w:tc>
                <w:tcPr>
                  <w:tcW w:w="1070" w:type="dxa"/>
                  <w:vAlign w:val="center"/>
                </w:tcPr>
                <w:p w14:paraId="52B297CE">
                  <w:pPr>
                    <w:spacing w:line="240" w:lineRule="atLeast"/>
                    <w:jc w:val="center"/>
                    <w:rPr>
                      <w:rFonts w:hint="default"/>
                      <w:sz w:val="20"/>
                      <w:szCs w:val="20"/>
                      <w:lang w:val="en-US" w:eastAsia="zh-CN"/>
                    </w:rPr>
                  </w:pPr>
                  <w:r>
                    <w:rPr>
                      <w:rFonts w:hint="default"/>
                      <w:sz w:val="20"/>
                      <w:szCs w:val="20"/>
                      <w:lang w:val="en-US" w:eastAsia="zh-CN"/>
                    </w:rPr>
                    <w:t xml:space="preserve">65.1 </w:t>
                  </w:r>
                </w:p>
              </w:tc>
              <w:tc>
                <w:tcPr>
                  <w:tcW w:w="207" w:type="pct"/>
                  <w:vMerge w:val="continue"/>
                  <w:vAlign w:val="center"/>
                </w:tcPr>
                <w:p w14:paraId="1AC70149">
                  <w:pPr>
                    <w:spacing w:line="240" w:lineRule="atLeast"/>
                    <w:jc w:val="center"/>
                    <w:rPr>
                      <w:sz w:val="20"/>
                      <w:szCs w:val="20"/>
                    </w:rPr>
                  </w:pPr>
                </w:p>
              </w:tc>
              <w:tc>
                <w:tcPr>
                  <w:tcW w:w="428" w:type="pct"/>
                  <w:vMerge w:val="continue"/>
                  <w:vAlign w:val="center"/>
                </w:tcPr>
                <w:p w14:paraId="517FE137">
                  <w:pPr>
                    <w:spacing w:line="240" w:lineRule="atLeast"/>
                    <w:jc w:val="center"/>
                    <w:rPr>
                      <w:sz w:val="20"/>
                      <w:szCs w:val="20"/>
                    </w:rPr>
                  </w:pPr>
                </w:p>
              </w:tc>
              <w:tc>
                <w:tcPr>
                  <w:tcW w:w="839" w:type="dxa"/>
                  <w:vAlign w:val="center"/>
                </w:tcPr>
                <w:p w14:paraId="49247F50">
                  <w:pPr>
                    <w:spacing w:line="240" w:lineRule="atLeast"/>
                    <w:jc w:val="center"/>
                    <w:rPr>
                      <w:rFonts w:hint="default"/>
                      <w:sz w:val="20"/>
                      <w:szCs w:val="20"/>
                      <w:lang w:val="en-US" w:eastAsia="zh-CN"/>
                    </w:rPr>
                  </w:pPr>
                  <w:r>
                    <w:rPr>
                      <w:rFonts w:hint="default"/>
                      <w:sz w:val="20"/>
                      <w:szCs w:val="20"/>
                      <w:lang w:val="en-US" w:eastAsia="zh-CN"/>
                    </w:rPr>
                    <w:t xml:space="preserve">34.1 </w:t>
                  </w:r>
                </w:p>
              </w:tc>
              <w:tc>
                <w:tcPr>
                  <w:tcW w:w="491" w:type="pct"/>
                  <w:vAlign w:val="center"/>
                </w:tcPr>
                <w:p w14:paraId="5D415F95">
                  <w:pPr>
                    <w:spacing w:line="240" w:lineRule="atLeast"/>
                    <w:jc w:val="center"/>
                    <w:rPr>
                      <w:sz w:val="20"/>
                      <w:szCs w:val="20"/>
                    </w:rPr>
                  </w:pPr>
                  <w:r>
                    <w:rPr>
                      <w:rFonts w:hint="eastAsia"/>
                      <w:sz w:val="20"/>
                      <w:szCs w:val="20"/>
                      <w:lang w:val="en-US" w:eastAsia="zh-CN"/>
                    </w:rPr>
                    <w:t>1</w:t>
                  </w:r>
                </w:p>
              </w:tc>
            </w:tr>
            <w:tr w14:paraId="58D64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5AF560F6">
                  <w:pPr>
                    <w:spacing w:line="240" w:lineRule="atLeast"/>
                    <w:jc w:val="center"/>
                    <w:rPr>
                      <w:sz w:val="20"/>
                      <w:szCs w:val="20"/>
                    </w:rPr>
                  </w:pPr>
                </w:p>
              </w:tc>
              <w:tc>
                <w:tcPr>
                  <w:tcW w:w="247" w:type="pct"/>
                  <w:vMerge w:val="continue"/>
                  <w:vAlign w:val="center"/>
                </w:tcPr>
                <w:p w14:paraId="056235A1">
                  <w:pPr>
                    <w:spacing w:line="240" w:lineRule="atLeast"/>
                    <w:jc w:val="center"/>
                    <w:rPr>
                      <w:sz w:val="20"/>
                      <w:szCs w:val="20"/>
                    </w:rPr>
                  </w:pPr>
                </w:p>
              </w:tc>
              <w:tc>
                <w:tcPr>
                  <w:tcW w:w="509" w:type="pct"/>
                  <w:vMerge w:val="continue"/>
                  <w:vAlign w:val="center"/>
                </w:tcPr>
                <w:p w14:paraId="7F8824AA">
                  <w:pPr>
                    <w:spacing w:line="240" w:lineRule="atLeast"/>
                    <w:jc w:val="center"/>
                    <w:rPr>
                      <w:sz w:val="20"/>
                      <w:szCs w:val="20"/>
                    </w:rPr>
                  </w:pPr>
                </w:p>
              </w:tc>
              <w:tc>
                <w:tcPr>
                  <w:tcW w:w="525" w:type="pct"/>
                  <w:vMerge w:val="continue"/>
                  <w:vAlign w:val="center"/>
                </w:tcPr>
                <w:p w14:paraId="06DDEF09">
                  <w:pPr>
                    <w:spacing w:line="240" w:lineRule="atLeast"/>
                    <w:jc w:val="center"/>
                    <w:rPr>
                      <w:sz w:val="20"/>
                      <w:szCs w:val="20"/>
                    </w:rPr>
                  </w:pPr>
                </w:p>
              </w:tc>
              <w:tc>
                <w:tcPr>
                  <w:tcW w:w="323" w:type="pct"/>
                  <w:vMerge w:val="continue"/>
                  <w:vAlign w:val="center"/>
                </w:tcPr>
                <w:p w14:paraId="065167CA">
                  <w:pPr>
                    <w:spacing w:line="240" w:lineRule="atLeast"/>
                    <w:jc w:val="center"/>
                    <w:rPr>
                      <w:sz w:val="20"/>
                      <w:szCs w:val="20"/>
                    </w:rPr>
                  </w:pPr>
                </w:p>
              </w:tc>
              <w:tc>
                <w:tcPr>
                  <w:tcW w:w="264" w:type="pct"/>
                  <w:vMerge w:val="continue"/>
                  <w:vAlign w:val="center"/>
                </w:tcPr>
                <w:p w14:paraId="27AF0782">
                  <w:pPr>
                    <w:spacing w:line="240" w:lineRule="atLeast"/>
                    <w:jc w:val="center"/>
                    <w:rPr>
                      <w:sz w:val="20"/>
                      <w:szCs w:val="20"/>
                    </w:rPr>
                  </w:pPr>
                </w:p>
              </w:tc>
              <w:tc>
                <w:tcPr>
                  <w:tcW w:w="236" w:type="pct"/>
                  <w:vMerge w:val="continue"/>
                  <w:vAlign w:val="center"/>
                </w:tcPr>
                <w:p w14:paraId="15E45802">
                  <w:pPr>
                    <w:spacing w:line="240" w:lineRule="atLeast"/>
                    <w:jc w:val="center"/>
                    <w:rPr>
                      <w:sz w:val="20"/>
                      <w:szCs w:val="20"/>
                    </w:rPr>
                  </w:pPr>
                </w:p>
              </w:tc>
              <w:tc>
                <w:tcPr>
                  <w:tcW w:w="243" w:type="pct"/>
                  <w:vMerge w:val="continue"/>
                  <w:vAlign w:val="center"/>
                </w:tcPr>
                <w:p w14:paraId="08ABF32C">
                  <w:pPr>
                    <w:spacing w:line="240" w:lineRule="atLeast"/>
                    <w:jc w:val="center"/>
                    <w:rPr>
                      <w:sz w:val="20"/>
                      <w:szCs w:val="20"/>
                    </w:rPr>
                  </w:pPr>
                </w:p>
              </w:tc>
              <w:tc>
                <w:tcPr>
                  <w:tcW w:w="329" w:type="pct"/>
                  <w:vAlign w:val="center"/>
                </w:tcPr>
                <w:p w14:paraId="6A82D537">
                  <w:pPr>
                    <w:spacing w:line="240" w:lineRule="atLeast"/>
                    <w:jc w:val="center"/>
                    <w:rPr>
                      <w:sz w:val="20"/>
                      <w:szCs w:val="20"/>
                    </w:rPr>
                  </w:pPr>
                  <w:r>
                    <w:rPr>
                      <w:sz w:val="20"/>
                      <w:szCs w:val="20"/>
                    </w:rPr>
                    <w:t>西</w:t>
                  </w:r>
                </w:p>
              </w:tc>
              <w:tc>
                <w:tcPr>
                  <w:tcW w:w="884" w:type="dxa"/>
                  <w:vAlign w:val="center"/>
                </w:tcPr>
                <w:p w14:paraId="75128214">
                  <w:pPr>
                    <w:spacing w:line="240" w:lineRule="atLeast"/>
                    <w:jc w:val="center"/>
                    <w:rPr>
                      <w:rFonts w:hint="default"/>
                      <w:sz w:val="20"/>
                      <w:szCs w:val="20"/>
                      <w:lang w:val="en-US" w:eastAsia="zh-CN"/>
                    </w:rPr>
                  </w:pPr>
                  <w:r>
                    <w:rPr>
                      <w:rFonts w:hint="default"/>
                      <w:sz w:val="20"/>
                      <w:szCs w:val="20"/>
                      <w:lang w:val="en-US" w:eastAsia="zh-CN"/>
                    </w:rPr>
                    <w:t>94.48</w:t>
                  </w:r>
                </w:p>
              </w:tc>
              <w:tc>
                <w:tcPr>
                  <w:tcW w:w="1070" w:type="dxa"/>
                  <w:vAlign w:val="center"/>
                </w:tcPr>
                <w:p w14:paraId="73361579">
                  <w:pPr>
                    <w:spacing w:line="240" w:lineRule="atLeast"/>
                    <w:jc w:val="center"/>
                    <w:rPr>
                      <w:rFonts w:hint="default"/>
                      <w:sz w:val="20"/>
                      <w:szCs w:val="20"/>
                      <w:lang w:val="en-US" w:eastAsia="zh-CN"/>
                    </w:rPr>
                  </w:pPr>
                  <w:r>
                    <w:rPr>
                      <w:rFonts w:hint="default"/>
                      <w:sz w:val="20"/>
                      <w:szCs w:val="20"/>
                      <w:lang w:val="en-US" w:eastAsia="zh-CN"/>
                    </w:rPr>
                    <w:t xml:space="preserve">59.2 </w:t>
                  </w:r>
                </w:p>
              </w:tc>
              <w:tc>
                <w:tcPr>
                  <w:tcW w:w="207" w:type="pct"/>
                  <w:vMerge w:val="continue"/>
                  <w:vAlign w:val="center"/>
                </w:tcPr>
                <w:p w14:paraId="049340B4">
                  <w:pPr>
                    <w:spacing w:line="240" w:lineRule="atLeast"/>
                    <w:jc w:val="center"/>
                    <w:rPr>
                      <w:sz w:val="20"/>
                      <w:szCs w:val="20"/>
                    </w:rPr>
                  </w:pPr>
                </w:p>
              </w:tc>
              <w:tc>
                <w:tcPr>
                  <w:tcW w:w="428" w:type="pct"/>
                  <w:vMerge w:val="continue"/>
                  <w:vAlign w:val="center"/>
                </w:tcPr>
                <w:p w14:paraId="772069B1">
                  <w:pPr>
                    <w:spacing w:line="240" w:lineRule="atLeast"/>
                    <w:jc w:val="center"/>
                    <w:rPr>
                      <w:sz w:val="20"/>
                      <w:szCs w:val="20"/>
                    </w:rPr>
                  </w:pPr>
                </w:p>
              </w:tc>
              <w:tc>
                <w:tcPr>
                  <w:tcW w:w="839" w:type="dxa"/>
                  <w:vAlign w:val="center"/>
                </w:tcPr>
                <w:p w14:paraId="74EC8A5D">
                  <w:pPr>
                    <w:spacing w:line="240" w:lineRule="atLeast"/>
                    <w:jc w:val="center"/>
                    <w:rPr>
                      <w:rFonts w:hint="default"/>
                      <w:sz w:val="20"/>
                      <w:szCs w:val="20"/>
                      <w:lang w:val="en-US" w:eastAsia="zh-CN"/>
                    </w:rPr>
                  </w:pPr>
                  <w:r>
                    <w:rPr>
                      <w:rFonts w:hint="default"/>
                      <w:sz w:val="20"/>
                      <w:szCs w:val="20"/>
                      <w:lang w:val="en-US" w:eastAsia="zh-CN"/>
                    </w:rPr>
                    <w:t xml:space="preserve">28.2 </w:t>
                  </w:r>
                </w:p>
              </w:tc>
              <w:tc>
                <w:tcPr>
                  <w:tcW w:w="491" w:type="pct"/>
                  <w:vAlign w:val="center"/>
                </w:tcPr>
                <w:p w14:paraId="5A344B95">
                  <w:pPr>
                    <w:spacing w:line="240" w:lineRule="atLeast"/>
                    <w:jc w:val="center"/>
                    <w:rPr>
                      <w:sz w:val="20"/>
                      <w:szCs w:val="20"/>
                    </w:rPr>
                  </w:pPr>
                  <w:r>
                    <w:rPr>
                      <w:rFonts w:hint="eastAsia"/>
                      <w:sz w:val="20"/>
                      <w:szCs w:val="20"/>
                      <w:lang w:val="en-US" w:eastAsia="zh-CN"/>
                    </w:rPr>
                    <w:t>1</w:t>
                  </w:r>
                </w:p>
              </w:tc>
            </w:tr>
            <w:tr w14:paraId="5DA37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2" w:type="pct"/>
                  <w:vMerge w:val="continue"/>
                  <w:vAlign w:val="center"/>
                </w:tcPr>
                <w:p w14:paraId="2657F1C5">
                  <w:pPr>
                    <w:spacing w:line="240" w:lineRule="atLeast"/>
                    <w:jc w:val="center"/>
                    <w:rPr>
                      <w:sz w:val="20"/>
                      <w:szCs w:val="20"/>
                    </w:rPr>
                  </w:pPr>
                </w:p>
              </w:tc>
              <w:tc>
                <w:tcPr>
                  <w:tcW w:w="247" w:type="pct"/>
                  <w:vMerge w:val="continue"/>
                  <w:vAlign w:val="center"/>
                </w:tcPr>
                <w:p w14:paraId="7801A12A">
                  <w:pPr>
                    <w:spacing w:line="240" w:lineRule="atLeast"/>
                    <w:jc w:val="center"/>
                    <w:rPr>
                      <w:sz w:val="20"/>
                      <w:szCs w:val="20"/>
                    </w:rPr>
                  </w:pPr>
                </w:p>
              </w:tc>
              <w:tc>
                <w:tcPr>
                  <w:tcW w:w="509" w:type="pct"/>
                  <w:vMerge w:val="continue"/>
                  <w:vAlign w:val="center"/>
                </w:tcPr>
                <w:p w14:paraId="0FBCF190">
                  <w:pPr>
                    <w:spacing w:line="240" w:lineRule="atLeast"/>
                    <w:jc w:val="center"/>
                    <w:rPr>
                      <w:sz w:val="20"/>
                      <w:szCs w:val="20"/>
                    </w:rPr>
                  </w:pPr>
                </w:p>
              </w:tc>
              <w:tc>
                <w:tcPr>
                  <w:tcW w:w="525" w:type="pct"/>
                  <w:vMerge w:val="continue"/>
                  <w:vAlign w:val="center"/>
                </w:tcPr>
                <w:p w14:paraId="6805DD8E">
                  <w:pPr>
                    <w:spacing w:line="240" w:lineRule="atLeast"/>
                    <w:jc w:val="center"/>
                    <w:rPr>
                      <w:sz w:val="20"/>
                      <w:szCs w:val="20"/>
                    </w:rPr>
                  </w:pPr>
                </w:p>
              </w:tc>
              <w:tc>
                <w:tcPr>
                  <w:tcW w:w="323" w:type="pct"/>
                  <w:vMerge w:val="continue"/>
                  <w:vAlign w:val="center"/>
                </w:tcPr>
                <w:p w14:paraId="16872076">
                  <w:pPr>
                    <w:spacing w:line="240" w:lineRule="atLeast"/>
                    <w:jc w:val="center"/>
                    <w:rPr>
                      <w:sz w:val="20"/>
                      <w:szCs w:val="20"/>
                    </w:rPr>
                  </w:pPr>
                </w:p>
              </w:tc>
              <w:tc>
                <w:tcPr>
                  <w:tcW w:w="264" w:type="pct"/>
                  <w:vMerge w:val="continue"/>
                  <w:vAlign w:val="center"/>
                </w:tcPr>
                <w:p w14:paraId="6776466C">
                  <w:pPr>
                    <w:spacing w:line="240" w:lineRule="atLeast"/>
                    <w:jc w:val="center"/>
                    <w:rPr>
                      <w:sz w:val="20"/>
                      <w:szCs w:val="20"/>
                    </w:rPr>
                  </w:pPr>
                </w:p>
              </w:tc>
              <w:tc>
                <w:tcPr>
                  <w:tcW w:w="236" w:type="pct"/>
                  <w:vMerge w:val="continue"/>
                  <w:vAlign w:val="center"/>
                </w:tcPr>
                <w:p w14:paraId="5250D26A">
                  <w:pPr>
                    <w:spacing w:line="240" w:lineRule="atLeast"/>
                    <w:jc w:val="center"/>
                    <w:rPr>
                      <w:sz w:val="20"/>
                      <w:szCs w:val="20"/>
                    </w:rPr>
                  </w:pPr>
                </w:p>
              </w:tc>
              <w:tc>
                <w:tcPr>
                  <w:tcW w:w="243" w:type="pct"/>
                  <w:vMerge w:val="continue"/>
                  <w:vAlign w:val="center"/>
                </w:tcPr>
                <w:p w14:paraId="66465947">
                  <w:pPr>
                    <w:spacing w:line="240" w:lineRule="atLeast"/>
                    <w:jc w:val="center"/>
                    <w:rPr>
                      <w:sz w:val="20"/>
                      <w:szCs w:val="20"/>
                    </w:rPr>
                  </w:pPr>
                </w:p>
              </w:tc>
              <w:tc>
                <w:tcPr>
                  <w:tcW w:w="329" w:type="pct"/>
                  <w:vAlign w:val="center"/>
                </w:tcPr>
                <w:p w14:paraId="2CD104CD">
                  <w:pPr>
                    <w:spacing w:line="240" w:lineRule="atLeast"/>
                    <w:jc w:val="center"/>
                    <w:rPr>
                      <w:sz w:val="20"/>
                      <w:szCs w:val="20"/>
                    </w:rPr>
                  </w:pPr>
                  <w:r>
                    <w:rPr>
                      <w:sz w:val="20"/>
                      <w:szCs w:val="20"/>
                    </w:rPr>
                    <w:t>北</w:t>
                  </w:r>
                </w:p>
              </w:tc>
              <w:tc>
                <w:tcPr>
                  <w:tcW w:w="884" w:type="dxa"/>
                  <w:vAlign w:val="center"/>
                </w:tcPr>
                <w:p w14:paraId="232E7CB6">
                  <w:pPr>
                    <w:spacing w:line="240" w:lineRule="atLeast"/>
                    <w:jc w:val="center"/>
                    <w:rPr>
                      <w:rFonts w:hint="default"/>
                      <w:sz w:val="20"/>
                      <w:szCs w:val="20"/>
                      <w:lang w:val="en-US" w:eastAsia="zh-CN"/>
                    </w:rPr>
                  </w:pPr>
                  <w:r>
                    <w:rPr>
                      <w:rFonts w:hint="default"/>
                      <w:sz w:val="20"/>
                      <w:szCs w:val="20"/>
                      <w:lang w:val="en-US" w:eastAsia="zh-CN"/>
                    </w:rPr>
                    <w:t>8.9</w:t>
                  </w:r>
                </w:p>
              </w:tc>
              <w:tc>
                <w:tcPr>
                  <w:tcW w:w="1070" w:type="dxa"/>
                  <w:vAlign w:val="center"/>
                </w:tcPr>
                <w:p w14:paraId="0886B323">
                  <w:pPr>
                    <w:spacing w:line="240" w:lineRule="atLeast"/>
                    <w:jc w:val="center"/>
                    <w:rPr>
                      <w:rFonts w:hint="default"/>
                      <w:sz w:val="20"/>
                      <w:szCs w:val="20"/>
                      <w:lang w:val="en-US" w:eastAsia="zh-CN"/>
                    </w:rPr>
                  </w:pPr>
                  <w:r>
                    <w:rPr>
                      <w:rFonts w:hint="default"/>
                      <w:sz w:val="20"/>
                      <w:szCs w:val="20"/>
                      <w:lang w:val="en-US" w:eastAsia="zh-CN"/>
                    </w:rPr>
                    <w:t xml:space="preserve">65.3 </w:t>
                  </w:r>
                </w:p>
              </w:tc>
              <w:tc>
                <w:tcPr>
                  <w:tcW w:w="207" w:type="pct"/>
                  <w:vMerge w:val="continue"/>
                  <w:vAlign w:val="center"/>
                </w:tcPr>
                <w:p w14:paraId="762825B4">
                  <w:pPr>
                    <w:spacing w:line="240" w:lineRule="atLeast"/>
                    <w:jc w:val="center"/>
                    <w:rPr>
                      <w:sz w:val="20"/>
                      <w:szCs w:val="20"/>
                    </w:rPr>
                  </w:pPr>
                </w:p>
              </w:tc>
              <w:tc>
                <w:tcPr>
                  <w:tcW w:w="428" w:type="pct"/>
                  <w:vMerge w:val="continue"/>
                  <w:vAlign w:val="center"/>
                </w:tcPr>
                <w:p w14:paraId="005DF73D">
                  <w:pPr>
                    <w:spacing w:line="240" w:lineRule="atLeast"/>
                    <w:jc w:val="center"/>
                    <w:rPr>
                      <w:sz w:val="20"/>
                      <w:szCs w:val="20"/>
                    </w:rPr>
                  </w:pPr>
                </w:p>
              </w:tc>
              <w:tc>
                <w:tcPr>
                  <w:tcW w:w="839" w:type="dxa"/>
                  <w:vAlign w:val="center"/>
                </w:tcPr>
                <w:p w14:paraId="1E494FBD">
                  <w:pPr>
                    <w:spacing w:line="240" w:lineRule="atLeast"/>
                    <w:jc w:val="center"/>
                    <w:rPr>
                      <w:rFonts w:hint="default"/>
                      <w:sz w:val="20"/>
                      <w:szCs w:val="20"/>
                      <w:lang w:val="en-US" w:eastAsia="zh-CN"/>
                    </w:rPr>
                  </w:pPr>
                  <w:r>
                    <w:rPr>
                      <w:rFonts w:hint="default"/>
                      <w:sz w:val="20"/>
                      <w:szCs w:val="20"/>
                      <w:lang w:val="en-US" w:eastAsia="zh-CN"/>
                    </w:rPr>
                    <w:t xml:space="preserve">34.3 </w:t>
                  </w:r>
                </w:p>
              </w:tc>
              <w:tc>
                <w:tcPr>
                  <w:tcW w:w="491" w:type="pct"/>
                  <w:vAlign w:val="center"/>
                </w:tcPr>
                <w:p w14:paraId="1646DA68">
                  <w:pPr>
                    <w:spacing w:line="240" w:lineRule="atLeast"/>
                    <w:jc w:val="center"/>
                    <w:rPr>
                      <w:sz w:val="20"/>
                      <w:szCs w:val="20"/>
                    </w:rPr>
                  </w:pPr>
                  <w:r>
                    <w:rPr>
                      <w:rFonts w:hint="eastAsia"/>
                      <w:sz w:val="20"/>
                      <w:szCs w:val="20"/>
                      <w:lang w:val="en-US" w:eastAsia="zh-CN"/>
                    </w:rPr>
                    <w:t>1</w:t>
                  </w:r>
                </w:p>
              </w:tc>
            </w:tr>
          </w:tbl>
          <w:p w14:paraId="77C5E7B8">
            <w:pPr>
              <w:keepLines/>
              <w:adjustRightInd w:val="0"/>
              <w:snapToGrid w:val="0"/>
              <w:spacing w:line="240" w:lineRule="auto"/>
              <w:rPr>
                <w:b/>
                <w:bCs/>
                <w:kern w:val="0"/>
                <w:sz w:val="21"/>
                <w:szCs w:val="21"/>
              </w:rPr>
            </w:pPr>
            <w:r>
              <w:rPr>
                <w:b/>
                <w:bCs/>
                <w:kern w:val="0"/>
                <w:sz w:val="21"/>
                <w:szCs w:val="21"/>
              </w:rPr>
              <w:t>注：表中坐标以</w:t>
            </w:r>
            <w:r>
              <w:rPr>
                <w:rFonts w:hint="eastAsia"/>
                <w:b/>
                <w:bCs/>
                <w:kern w:val="0"/>
                <w:sz w:val="21"/>
                <w:szCs w:val="21"/>
              </w:rPr>
              <w:t>厂界西南角</w:t>
            </w:r>
            <w:r>
              <w:rPr>
                <w:b/>
                <w:bCs/>
                <w:kern w:val="0"/>
                <w:sz w:val="21"/>
                <w:szCs w:val="21"/>
              </w:rPr>
              <w:t>为坐标原点。</w:t>
            </w:r>
          </w:p>
          <w:p w14:paraId="77B9E4B4">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20</w:t>
            </w:r>
            <w:r>
              <w:rPr>
                <w:rFonts w:hint="eastAsia"/>
                <w:b/>
                <w:bCs/>
                <w:sz w:val="21"/>
                <w:szCs w:val="21"/>
              </w:rPr>
              <w:t xml:space="preserve">  </w:t>
            </w:r>
            <w:r>
              <w:rPr>
                <w:b/>
                <w:bCs/>
                <w:sz w:val="21"/>
                <w:szCs w:val="21"/>
              </w:rPr>
              <w:t>本项目噪声源强</w:t>
            </w:r>
            <w:r>
              <w:rPr>
                <w:rFonts w:hint="eastAsia"/>
                <w:b/>
                <w:bCs/>
                <w:sz w:val="21"/>
                <w:szCs w:val="21"/>
              </w:rPr>
              <w:t>调查清单（室外声源）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1"/>
              <w:gridCol w:w="1527"/>
              <w:gridCol w:w="1288"/>
              <w:gridCol w:w="1099"/>
              <w:gridCol w:w="885"/>
              <w:gridCol w:w="2047"/>
              <w:gridCol w:w="1403"/>
              <w:gridCol w:w="1715"/>
              <w:gridCol w:w="1973"/>
            </w:tblGrid>
            <w:tr w14:paraId="7B1DC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1" w:type="pct"/>
                  <w:vMerge w:val="restart"/>
                  <w:vAlign w:val="center"/>
                </w:tcPr>
                <w:p w14:paraId="1E6A715A">
                  <w:pPr>
                    <w:spacing w:line="240" w:lineRule="atLeast"/>
                    <w:jc w:val="center"/>
                    <w:rPr>
                      <w:b/>
                      <w:bCs/>
                      <w:sz w:val="21"/>
                      <w:szCs w:val="21"/>
                    </w:rPr>
                  </w:pPr>
                  <w:r>
                    <w:rPr>
                      <w:b/>
                      <w:bCs/>
                      <w:sz w:val="21"/>
                      <w:szCs w:val="21"/>
                    </w:rPr>
                    <w:t>序号</w:t>
                  </w:r>
                </w:p>
              </w:tc>
              <w:tc>
                <w:tcPr>
                  <w:tcW w:w="607" w:type="pct"/>
                  <w:vMerge w:val="restart"/>
                  <w:vAlign w:val="center"/>
                </w:tcPr>
                <w:p w14:paraId="40F6D43E">
                  <w:pPr>
                    <w:spacing w:line="240" w:lineRule="atLeast"/>
                    <w:jc w:val="center"/>
                    <w:rPr>
                      <w:b/>
                      <w:bCs/>
                      <w:sz w:val="21"/>
                      <w:szCs w:val="21"/>
                    </w:rPr>
                  </w:pPr>
                  <w:r>
                    <w:rPr>
                      <w:b/>
                      <w:bCs/>
                      <w:sz w:val="21"/>
                      <w:szCs w:val="21"/>
                    </w:rPr>
                    <w:t>声源名称</w:t>
                  </w:r>
                </w:p>
              </w:tc>
              <w:tc>
                <w:tcPr>
                  <w:tcW w:w="1301" w:type="pct"/>
                  <w:gridSpan w:val="3"/>
                  <w:vAlign w:val="center"/>
                </w:tcPr>
                <w:p w14:paraId="32728781">
                  <w:pPr>
                    <w:spacing w:line="240" w:lineRule="atLeast"/>
                    <w:jc w:val="center"/>
                    <w:rPr>
                      <w:b/>
                      <w:bCs/>
                      <w:sz w:val="21"/>
                      <w:szCs w:val="21"/>
                    </w:rPr>
                  </w:pPr>
                  <w:r>
                    <w:rPr>
                      <w:b/>
                      <w:bCs/>
                      <w:sz w:val="21"/>
                      <w:szCs w:val="21"/>
                    </w:rPr>
                    <w:t>空间相对位置/m</w:t>
                  </w:r>
                </w:p>
              </w:tc>
              <w:tc>
                <w:tcPr>
                  <w:tcW w:w="1372" w:type="pct"/>
                  <w:gridSpan w:val="2"/>
                  <w:vAlign w:val="center"/>
                </w:tcPr>
                <w:p w14:paraId="0C6D32CB">
                  <w:pPr>
                    <w:spacing w:line="240" w:lineRule="atLeast"/>
                    <w:jc w:val="center"/>
                    <w:rPr>
                      <w:b/>
                      <w:bCs/>
                      <w:sz w:val="21"/>
                      <w:szCs w:val="21"/>
                    </w:rPr>
                  </w:pPr>
                  <w:r>
                    <w:rPr>
                      <w:rFonts w:hint="eastAsia"/>
                      <w:b/>
                      <w:bCs/>
                      <w:sz w:val="21"/>
                      <w:szCs w:val="21"/>
                    </w:rPr>
                    <w:t>声源源强</w:t>
                  </w:r>
                </w:p>
              </w:tc>
              <w:tc>
                <w:tcPr>
                  <w:tcW w:w="682" w:type="pct"/>
                  <w:vMerge w:val="restart"/>
                  <w:vAlign w:val="center"/>
                </w:tcPr>
                <w:p w14:paraId="2DA21D59">
                  <w:pPr>
                    <w:spacing w:line="240" w:lineRule="atLeast"/>
                    <w:jc w:val="center"/>
                    <w:rPr>
                      <w:b/>
                      <w:bCs/>
                      <w:sz w:val="21"/>
                      <w:szCs w:val="21"/>
                    </w:rPr>
                  </w:pPr>
                  <w:r>
                    <w:rPr>
                      <w:rFonts w:hint="eastAsia"/>
                      <w:b/>
                      <w:bCs/>
                      <w:sz w:val="21"/>
                      <w:szCs w:val="21"/>
                    </w:rPr>
                    <w:t>声源控制措施</w:t>
                  </w:r>
                </w:p>
              </w:tc>
              <w:tc>
                <w:tcPr>
                  <w:tcW w:w="784" w:type="pct"/>
                  <w:vMerge w:val="restart"/>
                  <w:vAlign w:val="center"/>
                </w:tcPr>
                <w:p w14:paraId="31D49DC5">
                  <w:pPr>
                    <w:spacing w:line="240" w:lineRule="atLeast"/>
                    <w:jc w:val="center"/>
                    <w:rPr>
                      <w:b/>
                      <w:bCs/>
                      <w:sz w:val="21"/>
                      <w:szCs w:val="21"/>
                    </w:rPr>
                  </w:pPr>
                  <w:r>
                    <w:rPr>
                      <w:b/>
                      <w:bCs/>
                      <w:sz w:val="21"/>
                      <w:szCs w:val="21"/>
                    </w:rPr>
                    <w:t>运行时段</w:t>
                  </w:r>
                </w:p>
              </w:tc>
            </w:tr>
            <w:tr w14:paraId="24544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1" w:type="pct"/>
                  <w:vMerge w:val="continue"/>
                  <w:vAlign w:val="center"/>
                </w:tcPr>
                <w:p w14:paraId="6CCF42A6">
                  <w:pPr>
                    <w:spacing w:line="240" w:lineRule="atLeast"/>
                    <w:jc w:val="center"/>
                    <w:rPr>
                      <w:b/>
                      <w:bCs/>
                      <w:sz w:val="21"/>
                      <w:szCs w:val="21"/>
                    </w:rPr>
                  </w:pPr>
                </w:p>
              </w:tc>
              <w:tc>
                <w:tcPr>
                  <w:tcW w:w="607" w:type="pct"/>
                  <w:vMerge w:val="continue"/>
                  <w:vAlign w:val="center"/>
                </w:tcPr>
                <w:p w14:paraId="5A72683B">
                  <w:pPr>
                    <w:spacing w:line="240" w:lineRule="atLeast"/>
                    <w:jc w:val="center"/>
                    <w:rPr>
                      <w:b/>
                      <w:bCs/>
                      <w:sz w:val="21"/>
                      <w:szCs w:val="21"/>
                    </w:rPr>
                  </w:pPr>
                </w:p>
              </w:tc>
              <w:tc>
                <w:tcPr>
                  <w:tcW w:w="512" w:type="pct"/>
                  <w:vAlign w:val="center"/>
                </w:tcPr>
                <w:p w14:paraId="7B5240D6">
                  <w:pPr>
                    <w:spacing w:line="240" w:lineRule="atLeast"/>
                    <w:jc w:val="center"/>
                    <w:rPr>
                      <w:b/>
                      <w:bCs/>
                      <w:sz w:val="21"/>
                      <w:szCs w:val="21"/>
                    </w:rPr>
                  </w:pPr>
                  <w:r>
                    <w:rPr>
                      <w:b/>
                      <w:bCs/>
                      <w:sz w:val="21"/>
                      <w:szCs w:val="21"/>
                    </w:rPr>
                    <w:t>X</w:t>
                  </w:r>
                </w:p>
              </w:tc>
              <w:tc>
                <w:tcPr>
                  <w:tcW w:w="437" w:type="pct"/>
                  <w:vAlign w:val="center"/>
                </w:tcPr>
                <w:p w14:paraId="35BAE08D">
                  <w:pPr>
                    <w:spacing w:line="240" w:lineRule="atLeast"/>
                    <w:jc w:val="center"/>
                    <w:rPr>
                      <w:b/>
                      <w:bCs/>
                      <w:sz w:val="21"/>
                      <w:szCs w:val="21"/>
                    </w:rPr>
                  </w:pPr>
                  <w:r>
                    <w:rPr>
                      <w:b/>
                      <w:bCs/>
                      <w:sz w:val="21"/>
                      <w:szCs w:val="21"/>
                    </w:rPr>
                    <w:t>Y</w:t>
                  </w:r>
                </w:p>
              </w:tc>
              <w:tc>
                <w:tcPr>
                  <w:tcW w:w="352" w:type="pct"/>
                  <w:vAlign w:val="center"/>
                </w:tcPr>
                <w:p w14:paraId="31A9DF22">
                  <w:pPr>
                    <w:spacing w:line="240" w:lineRule="atLeast"/>
                    <w:jc w:val="center"/>
                    <w:rPr>
                      <w:b/>
                      <w:bCs/>
                      <w:sz w:val="21"/>
                      <w:szCs w:val="21"/>
                    </w:rPr>
                  </w:pPr>
                  <w:r>
                    <w:rPr>
                      <w:b/>
                      <w:bCs/>
                      <w:sz w:val="21"/>
                      <w:szCs w:val="21"/>
                    </w:rPr>
                    <w:t>Z</w:t>
                  </w:r>
                </w:p>
              </w:tc>
              <w:tc>
                <w:tcPr>
                  <w:tcW w:w="814" w:type="pct"/>
                  <w:vAlign w:val="center"/>
                </w:tcPr>
                <w:p w14:paraId="2AFEEE37">
                  <w:pPr>
                    <w:spacing w:line="240" w:lineRule="atLeast"/>
                    <w:jc w:val="center"/>
                    <w:rPr>
                      <w:b/>
                      <w:bCs/>
                      <w:sz w:val="21"/>
                      <w:szCs w:val="21"/>
                    </w:rPr>
                  </w:pPr>
                  <w:r>
                    <w:rPr>
                      <w:rFonts w:hint="eastAsia"/>
                      <w:b/>
                      <w:bCs/>
                      <w:sz w:val="21"/>
                      <w:szCs w:val="21"/>
                    </w:rPr>
                    <w:t>（声压级/距声源距离）/dB（A）/m</w:t>
                  </w:r>
                </w:p>
              </w:tc>
              <w:tc>
                <w:tcPr>
                  <w:tcW w:w="558" w:type="pct"/>
                  <w:vAlign w:val="center"/>
                </w:tcPr>
                <w:p w14:paraId="1E94C266">
                  <w:pPr>
                    <w:spacing w:line="240" w:lineRule="atLeast"/>
                    <w:jc w:val="center"/>
                    <w:rPr>
                      <w:b/>
                      <w:bCs/>
                      <w:sz w:val="21"/>
                      <w:szCs w:val="21"/>
                    </w:rPr>
                  </w:pPr>
                  <w:r>
                    <w:rPr>
                      <w:rFonts w:hint="eastAsia"/>
                      <w:b/>
                      <w:bCs/>
                      <w:sz w:val="21"/>
                      <w:szCs w:val="21"/>
                    </w:rPr>
                    <w:t>声功率级/dB（A）</w:t>
                  </w:r>
                </w:p>
              </w:tc>
              <w:tc>
                <w:tcPr>
                  <w:tcW w:w="682" w:type="pct"/>
                  <w:vMerge w:val="continue"/>
                  <w:vAlign w:val="center"/>
                </w:tcPr>
                <w:p w14:paraId="67608323">
                  <w:pPr>
                    <w:spacing w:line="240" w:lineRule="atLeast"/>
                    <w:jc w:val="center"/>
                    <w:rPr>
                      <w:b/>
                      <w:bCs/>
                      <w:sz w:val="21"/>
                      <w:szCs w:val="21"/>
                    </w:rPr>
                  </w:pPr>
                </w:p>
              </w:tc>
              <w:tc>
                <w:tcPr>
                  <w:tcW w:w="784" w:type="pct"/>
                  <w:vMerge w:val="continue"/>
                  <w:vAlign w:val="center"/>
                </w:tcPr>
                <w:p w14:paraId="205588E0">
                  <w:pPr>
                    <w:spacing w:line="240" w:lineRule="atLeast"/>
                    <w:jc w:val="center"/>
                    <w:rPr>
                      <w:b/>
                      <w:bCs/>
                      <w:sz w:val="21"/>
                      <w:szCs w:val="21"/>
                    </w:rPr>
                  </w:pPr>
                </w:p>
              </w:tc>
            </w:tr>
            <w:tr w14:paraId="41FEB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vAlign w:val="center"/>
                </w:tcPr>
                <w:p w14:paraId="7CFD9312">
                  <w:pPr>
                    <w:spacing w:line="240" w:lineRule="atLeast"/>
                    <w:jc w:val="center"/>
                    <w:rPr>
                      <w:sz w:val="21"/>
                      <w:szCs w:val="21"/>
                    </w:rPr>
                  </w:pPr>
                  <w:r>
                    <w:rPr>
                      <w:sz w:val="21"/>
                      <w:szCs w:val="21"/>
                    </w:rPr>
                    <w:t>1</w:t>
                  </w:r>
                </w:p>
              </w:tc>
              <w:tc>
                <w:tcPr>
                  <w:tcW w:w="607" w:type="pct"/>
                  <w:vAlign w:val="center"/>
                </w:tcPr>
                <w:p w14:paraId="056E2A9B">
                  <w:pPr>
                    <w:spacing w:line="240" w:lineRule="atLeast"/>
                    <w:jc w:val="center"/>
                    <w:rPr>
                      <w:sz w:val="21"/>
                      <w:szCs w:val="21"/>
                    </w:rPr>
                  </w:pPr>
                  <w:r>
                    <w:rPr>
                      <w:rFonts w:hint="eastAsia"/>
                      <w:sz w:val="21"/>
                      <w:szCs w:val="21"/>
                    </w:rPr>
                    <w:t>TA001风机</w:t>
                  </w:r>
                </w:p>
              </w:tc>
              <w:tc>
                <w:tcPr>
                  <w:tcW w:w="512" w:type="pct"/>
                  <w:vAlign w:val="center"/>
                </w:tcPr>
                <w:p w14:paraId="567667CC">
                  <w:pPr>
                    <w:spacing w:line="240" w:lineRule="atLeast"/>
                    <w:jc w:val="center"/>
                    <w:rPr>
                      <w:rFonts w:hint="default" w:eastAsia="仿宋"/>
                      <w:sz w:val="21"/>
                      <w:szCs w:val="21"/>
                      <w:lang w:val="en-US" w:eastAsia="zh-CN"/>
                    </w:rPr>
                  </w:pPr>
                  <w:r>
                    <w:rPr>
                      <w:rFonts w:hint="eastAsia"/>
                      <w:sz w:val="21"/>
                      <w:szCs w:val="21"/>
                      <w:lang w:val="en-US" w:eastAsia="zh-CN"/>
                    </w:rPr>
                    <w:t>42</w:t>
                  </w:r>
                </w:p>
              </w:tc>
              <w:tc>
                <w:tcPr>
                  <w:tcW w:w="437" w:type="pct"/>
                  <w:vAlign w:val="center"/>
                </w:tcPr>
                <w:p w14:paraId="4A71C18F">
                  <w:pPr>
                    <w:spacing w:line="240" w:lineRule="atLeast"/>
                    <w:jc w:val="center"/>
                    <w:rPr>
                      <w:rFonts w:hint="default" w:eastAsia="仿宋"/>
                      <w:sz w:val="21"/>
                      <w:szCs w:val="21"/>
                      <w:lang w:val="en-US" w:eastAsia="zh-CN"/>
                    </w:rPr>
                  </w:pPr>
                  <w:r>
                    <w:rPr>
                      <w:rFonts w:hint="eastAsia"/>
                      <w:sz w:val="21"/>
                      <w:szCs w:val="21"/>
                      <w:lang w:val="en-US" w:eastAsia="zh-CN"/>
                    </w:rPr>
                    <w:t>20</w:t>
                  </w:r>
                </w:p>
              </w:tc>
              <w:tc>
                <w:tcPr>
                  <w:tcW w:w="352" w:type="pct"/>
                  <w:vAlign w:val="center"/>
                </w:tcPr>
                <w:p w14:paraId="7DD797C5">
                  <w:pPr>
                    <w:spacing w:line="240" w:lineRule="atLeast"/>
                    <w:jc w:val="center"/>
                    <w:rPr>
                      <w:sz w:val="21"/>
                      <w:szCs w:val="21"/>
                    </w:rPr>
                  </w:pPr>
                  <w:r>
                    <w:rPr>
                      <w:rFonts w:hint="eastAsia"/>
                      <w:sz w:val="21"/>
                      <w:szCs w:val="21"/>
                    </w:rPr>
                    <w:t>0.5</w:t>
                  </w:r>
                </w:p>
              </w:tc>
              <w:tc>
                <w:tcPr>
                  <w:tcW w:w="814" w:type="pct"/>
                  <w:vAlign w:val="center"/>
                </w:tcPr>
                <w:p w14:paraId="3A1C737B">
                  <w:pPr>
                    <w:spacing w:line="240" w:lineRule="atLeast"/>
                    <w:jc w:val="center"/>
                    <w:rPr>
                      <w:sz w:val="21"/>
                      <w:szCs w:val="21"/>
                    </w:rPr>
                  </w:pPr>
                  <w:r>
                    <w:rPr>
                      <w:rFonts w:hint="eastAsia"/>
                      <w:sz w:val="21"/>
                      <w:szCs w:val="21"/>
                    </w:rPr>
                    <w:t>88.0</w:t>
                  </w:r>
                </w:p>
              </w:tc>
              <w:tc>
                <w:tcPr>
                  <w:tcW w:w="558" w:type="pct"/>
                  <w:vAlign w:val="center"/>
                </w:tcPr>
                <w:p w14:paraId="01217936">
                  <w:pPr>
                    <w:spacing w:line="240" w:lineRule="atLeast"/>
                    <w:jc w:val="center"/>
                    <w:rPr>
                      <w:sz w:val="21"/>
                      <w:szCs w:val="21"/>
                    </w:rPr>
                  </w:pPr>
                  <w:r>
                    <w:rPr>
                      <w:rFonts w:hint="eastAsia"/>
                      <w:sz w:val="21"/>
                      <w:szCs w:val="21"/>
                    </w:rPr>
                    <w:t>/</w:t>
                  </w:r>
                </w:p>
              </w:tc>
              <w:tc>
                <w:tcPr>
                  <w:tcW w:w="682" w:type="pct"/>
                  <w:vAlign w:val="center"/>
                </w:tcPr>
                <w:p w14:paraId="42A9BEA0">
                  <w:pPr>
                    <w:spacing w:line="240" w:lineRule="atLeast"/>
                    <w:jc w:val="center"/>
                    <w:rPr>
                      <w:sz w:val="21"/>
                      <w:szCs w:val="21"/>
                    </w:rPr>
                  </w:pPr>
                  <w:r>
                    <w:rPr>
                      <w:rFonts w:hint="eastAsia"/>
                      <w:sz w:val="21"/>
                      <w:szCs w:val="21"/>
                    </w:rPr>
                    <w:t>采取减振、隔声等降噪措施</w:t>
                  </w:r>
                </w:p>
              </w:tc>
              <w:tc>
                <w:tcPr>
                  <w:tcW w:w="784" w:type="pct"/>
                  <w:vAlign w:val="center"/>
                </w:tcPr>
                <w:p w14:paraId="58928E08">
                  <w:pPr>
                    <w:spacing w:line="240" w:lineRule="atLeast"/>
                    <w:jc w:val="center"/>
                    <w:rPr>
                      <w:sz w:val="21"/>
                      <w:szCs w:val="21"/>
                    </w:rPr>
                  </w:pPr>
                  <w:r>
                    <w:rPr>
                      <w:rFonts w:hint="eastAsia"/>
                      <w:sz w:val="21"/>
                      <w:szCs w:val="21"/>
                    </w:rPr>
                    <w:t>每天</w:t>
                  </w:r>
                  <w:r>
                    <w:rPr>
                      <w:rFonts w:hint="eastAsia"/>
                      <w:sz w:val="21"/>
                      <w:szCs w:val="21"/>
                      <w:lang w:val="en-US" w:eastAsia="zh-CN"/>
                    </w:rPr>
                    <w:t>24</w:t>
                  </w:r>
                  <w:r>
                    <w:rPr>
                      <w:rFonts w:hint="eastAsia"/>
                      <w:sz w:val="21"/>
                      <w:szCs w:val="21"/>
                    </w:rPr>
                    <w:t>小时</w:t>
                  </w:r>
                </w:p>
              </w:tc>
            </w:tr>
            <w:tr w14:paraId="4A31D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vAlign w:val="center"/>
                </w:tcPr>
                <w:p w14:paraId="6ACB3F81">
                  <w:pPr>
                    <w:spacing w:line="240" w:lineRule="atLeast"/>
                    <w:jc w:val="center"/>
                    <w:rPr>
                      <w:rFonts w:hint="eastAsia" w:eastAsia="仿宋"/>
                      <w:sz w:val="21"/>
                      <w:szCs w:val="21"/>
                      <w:lang w:val="en-US" w:eastAsia="zh-CN"/>
                    </w:rPr>
                  </w:pPr>
                  <w:r>
                    <w:rPr>
                      <w:rFonts w:hint="eastAsia"/>
                      <w:sz w:val="21"/>
                      <w:szCs w:val="21"/>
                      <w:lang w:val="en-US" w:eastAsia="zh-CN"/>
                    </w:rPr>
                    <w:t>2</w:t>
                  </w:r>
                </w:p>
              </w:tc>
              <w:tc>
                <w:tcPr>
                  <w:tcW w:w="607" w:type="pct"/>
                  <w:vAlign w:val="center"/>
                </w:tcPr>
                <w:p w14:paraId="6D7FD48A">
                  <w:pPr>
                    <w:spacing w:line="240" w:lineRule="atLeast"/>
                    <w:jc w:val="center"/>
                    <w:rPr>
                      <w:rFonts w:hint="default" w:eastAsia="仿宋"/>
                      <w:sz w:val="21"/>
                      <w:szCs w:val="21"/>
                      <w:lang w:val="en-US" w:eastAsia="zh-CN"/>
                    </w:rPr>
                  </w:pPr>
                  <w:r>
                    <w:rPr>
                      <w:rFonts w:hint="eastAsia"/>
                      <w:sz w:val="21"/>
                      <w:szCs w:val="21"/>
                      <w:lang w:val="en-US" w:eastAsia="zh-CN"/>
                    </w:rPr>
                    <w:t>室外冷却塔</w:t>
                  </w:r>
                </w:p>
              </w:tc>
              <w:tc>
                <w:tcPr>
                  <w:tcW w:w="512" w:type="pct"/>
                  <w:vAlign w:val="center"/>
                </w:tcPr>
                <w:p w14:paraId="394747B8">
                  <w:pPr>
                    <w:spacing w:line="240" w:lineRule="atLeast"/>
                    <w:jc w:val="center"/>
                    <w:rPr>
                      <w:rFonts w:hint="default"/>
                      <w:sz w:val="21"/>
                      <w:szCs w:val="21"/>
                      <w:lang w:val="en-US" w:eastAsia="zh-CN"/>
                    </w:rPr>
                  </w:pPr>
                  <w:r>
                    <w:rPr>
                      <w:rFonts w:hint="eastAsia"/>
                      <w:sz w:val="21"/>
                      <w:szCs w:val="21"/>
                      <w:lang w:val="en-US" w:eastAsia="zh-CN"/>
                    </w:rPr>
                    <w:t>35</w:t>
                  </w:r>
                </w:p>
              </w:tc>
              <w:tc>
                <w:tcPr>
                  <w:tcW w:w="437" w:type="pct"/>
                  <w:vAlign w:val="center"/>
                </w:tcPr>
                <w:p w14:paraId="2D70DD84">
                  <w:pPr>
                    <w:spacing w:line="240" w:lineRule="atLeast"/>
                    <w:jc w:val="center"/>
                    <w:rPr>
                      <w:rFonts w:hint="default"/>
                      <w:sz w:val="21"/>
                      <w:szCs w:val="21"/>
                      <w:lang w:val="en-US" w:eastAsia="zh-CN"/>
                    </w:rPr>
                  </w:pPr>
                  <w:r>
                    <w:rPr>
                      <w:rFonts w:hint="eastAsia"/>
                      <w:sz w:val="21"/>
                      <w:szCs w:val="21"/>
                      <w:lang w:val="en-US" w:eastAsia="zh-CN"/>
                    </w:rPr>
                    <w:t>20</w:t>
                  </w:r>
                </w:p>
              </w:tc>
              <w:tc>
                <w:tcPr>
                  <w:tcW w:w="352" w:type="pct"/>
                  <w:vAlign w:val="center"/>
                </w:tcPr>
                <w:p w14:paraId="4B6DE301">
                  <w:pPr>
                    <w:spacing w:line="240" w:lineRule="atLeast"/>
                    <w:jc w:val="center"/>
                    <w:rPr>
                      <w:rFonts w:hint="default" w:eastAsia="仿宋"/>
                      <w:sz w:val="21"/>
                      <w:szCs w:val="21"/>
                      <w:lang w:val="en-US" w:eastAsia="zh-CN"/>
                    </w:rPr>
                  </w:pPr>
                  <w:r>
                    <w:rPr>
                      <w:rFonts w:hint="eastAsia"/>
                      <w:sz w:val="21"/>
                      <w:szCs w:val="21"/>
                      <w:lang w:val="en-US" w:eastAsia="zh-CN"/>
                    </w:rPr>
                    <w:t>0.5</w:t>
                  </w:r>
                </w:p>
              </w:tc>
              <w:tc>
                <w:tcPr>
                  <w:tcW w:w="814" w:type="pct"/>
                  <w:vAlign w:val="center"/>
                </w:tcPr>
                <w:p w14:paraId="0D61AE9D">
                  <w:pPr>
                    <w:spacing w:line="240" w:lineRule="atLeast"/>
                    <w:jc w:val="center"/>
                    <w:rPr>
                      <w:rFonts w:hint="default" w:eastAsia="仿宋"/>
                      <w:sz w:val="21"/>
                      <w:szCs w:val="21"/>
                      <w:lang w:val="en-US" w:eastAsia="zh-CN"/>
                    </w:rPr>
                  </w:pPr>
                  <w:r>
                    <w:rPr>
                      <w:rFonts w:hint="eastAsia"/>
                      <w:sz w:val="21"/>
                      <w:szCs w:val="21"/>
                      <w:lang w:val="en-US" w:eastAsia="zh-CN"/>
                    </w:rPr>
                    <w:t>85.0</w:t>
                  </w:r>
                </w:p>
              </w:tc>
              <w:tc>
                <w:tcPr>
                  <w:tcW w:w="558" w:type="pct"/>
                  <w:shd w:val="clear" w:color="auto" w:fill="auto"/>
                  <w:vAlign w:val="center"/>
                </w:tcPr>
                <w:p w14:paraId="3A80501D">
                  <w:pPr>
                    <w:spacing w:line="240" w:lineRule="atLeast"/>
                    <w:jc w:val="center"/>
                    <w:rPr>
                      <w:rFonts w:hint="eastAsia" w:ascii="Times New Roman" w:hAnsi="Times New Roman" w:eastAsia="仿宋" w:cs="Times New Roman"/>
                      <w:kern w:val="2"/>
                      <w:sz w:val="21"/>
                      <w:szCs w:val="21"/>
                      <w:lang w:val="en-US" w:eastAsia="zh-CN" w:bidi="ar-SA"/>
                    </w:rPr>
                  </w:pPr>
                  <w:r>
                    <w:rPr>
                      <w:rFonts w:hint="eastAsia"/>
                      <w:sz w:val="21"/>
                      <w:szCs w:val="21"/>
                    </w:rPr>
                    <w:t>/</w:t>
                  </w:r>
                </w:p>
              </w:tc>
              <w:tc>
                <w:tcPr>
                  <w:tcW w:w="682" w:type="pct"/>
                  <w:shd w:val="clear" w:color="auto" w:fill="auto"/>
                  <w:vAlign w:val="center"/>
                </w:tcPr>
                <w:p w14:paraId="742C7667">
                  <w:pPr>
                    <w:spacing w:line="240" w:lineRule="atLeast"/>
                    <w:jc w:val="center"/>
                    <w:rPr>
                      <w:rFonts w:hint="eastAsia" w:ascii="Times New Roman" w:hAnsi="Times New Roman" w:eastAsia="仿宋" w:cs="Times New Roman"/>
                      <w:kern w:val="2"/>
                      <w:sz w:val="21"/>
                      <w:szCs w:val="21"/>
                      <w:lang w:val="en-US" w:eastAsia="zh-CN" w:bidi="ar-SA"/>
                    </w:rPr>
                  </w:pPr>
                  <w:r>
                    <w:rPr>
                      <w:rFonts w:hint="eastAsia"/>
                      <w:sz w:val="21"/>
                      <w:szCs w:val="21"/>
                    </w:rPr>
                    <w:t>采取减振、隔声等降噪措施</w:t>
                  </w:r>
                </w:p>
              </w:tc>
              <w:tc>
                <w:tcPr>
                  <w:tcW w:w="784" w:type="pct"/>
                  <w:shd w:val="clear" w:color="auto" w:fill="auto"/>
                  <w:vAlign w:val="center"/>
                </w:tcPr>
                <w:p w14:paraId="3714AB6F">
                  <w:pPr>
                    <w:spacing w:line="240" w:lineRule="atLeast"/>
                    <w:jc w:val="center"/>
                    <w:rPr>
                      <w:rFonts w:hint="eastAsia" w:ascii="Times New Roman" w:hAnsi="Times New Roman" w:eastAsia="仿宋" w:cs="Times New Roman"/>
                      <w:kern w:val="2"/>
                      <w:sz w:val="21"/>
                      <w:szCs w:val="21"/>
                      <w:lang w:val="en-US" w:eastAsia="zh-CN" w:bidi="ar-SA"/>
                    </w:rPr>
                  </w:pPr>
                  <w:r>
                    <w:rPr>
                      <w:rFonts w:hint="eastAsia"/>
                      <w:sz w:val="21"/>
                      <w:szCs w:val="21"/>
                    </w:rPr>
                    <w:t>每天</w:t>
                  </w:r>
                  <w:r>
                    <w:rPr>
                      <w:rFonts w:hint="eastAsia"/>
                      <w:sz w:val="21"/>
                      <w:szCs w:val="21"/>
                      <w:lang w:val="en-US" w:eastAsia="zh-CN"/>
                    </w:rPr>
                    <w:t>24</w:t>
                  </w:r>
                  <w:r>
                    <w:rPr>
                      <w:rFonts w:hint="eastAsia"/>
                      <w:sz w:val="21"/>
                      <w:szCs w:val="21"/>
                    </w:rPr>
                    <w:t>小时</w:t>
                  </w:r>
                </w:p>
              </w:tc>
            </w:tr>
          </w:tbl>
          <w:p w14:paraId="09DAEABD">
            <w:pPr>
              <w:keepLines/>
              <w:adjustRightInd w:val="0"/>
              <w:snapToGrid w:val="0"/>
              <w:spacing w:line="240" w:lineRule="auto"/>
              <w:rPr>
                <w:bCs/>
                <w:sz w:val="21"/>
                <w:szCs w:val="21"/>
              </w:rPr>
            </w:pPr>
            <w:r>
              <w:rPr>
                <w:b/>
                <w:bCs/>
                <w:kern w:val="0"/>
                <w:sz w:val="21"/>
                <w:szCs w:val="21"/>
              </w:rPr>
              <w:t>注：表中坐标以</w:t>
            </w:r>
            <w:r>
              <w:rPr>
                <w:rFonts w:hint="eastAsia"/>
                <w:b/>
                <w:bCs/>
                <w:kern w:val="0"/>
                <w:sz w:val="21"/>
                <w:szCs w:val="21"/>
              </w:rPr>
              <w:t>厂界西南角</w:t>
            </w:r>
            <w:r>
              <w:rPr>
                <w:b/>
                <w:bCs/>
                <w:kern w:val="0"/>
                <w:sz w:val="21"/>
                <w:szCs w:val="21"/>
              </w:rPr>
              <w:t>为坐标原点。</w:t>
            </w:r>
          </w:p>
          <w:p w14:paraId="6E192651">
            <w:pPr>
              <w:spacing w:line="480" w:lineRule="exact"/>
              <w:ind w:firstLine="482" w:firstLineChars="200"/>
              <w:rPr>
                <w:b/>
              </w:rPr>
            </w:pPr>
            <w:r>
              <w:rPr>
                <w:b/>
              </w:rPr>
              <w:t>3.2</w:t>
            </w:r>
            <w:r>
              <w:rPr>
                <w:rFonts w:hint="eastAsia"/>
                <w:b/>
              </w:rPr>
              <w:t>噪声防治措施</w:t>
            </w:r>
          </w:p>
          <w:p w14:paraId="60DF87B9">
            <w:pPr>
              <w:spacing w:line="480" w:lineRule="exact"/>
              <w:ind w:firstLine="480" w:firstLineChars="200"/>
            </w:pPr>
            <w:r>
              <w:t>应按照《工业企业噪声控制设计规范》对厂内主要噪声源合理布局：</w:t>
            </w:r>
          </w:p>
          <w:p w14:paraId="7D863005">
            <w:pPr>
              <w:spacing w:line="480" w:lineRule="exact"/>
              <w:ind w:firstLine="480" w:firstLineChars="200"/>
            </w:pPr>
            <w:r>
              <w:rPr>
                <w:rFonts w:hint="eastAsia" w:ascii="仿宋" w:hAnsi="仿宋" w:cs="仿宋"/>
              </w:rPr>
              <w:t>①</w:t>
            </w:r>
            <w:r>
              <w:t>在满足工艺流程要求的前提下，高噪声设备相对集中，并尽量布置在厂房的一隅，车间隔声能力应按25dB</w:t>
            </w:r>
            <w:r>
              <w:rPr>
                <w:rFonts w:hint="eastAsia"/>
                <w:lang w:eastAsia="zh-CN"/>
              </w:rPr>
              <w:t>（</w:t>
            </w:r>
            <w:r>
              <w:t>A</w:t>
            </w:r>
            <w:r>
              <w:rPr>
                <w:rFonts w:hint="eastAsia"/>
                <w:lang w:eastAsia="zh-CN"/>
              </w:rPr>
              <w:t>）</w:t>
            </w:r>
            <w:r>
              <w:t>设计，并能充分利用建筑物的隔声及距离的衰减。</w:t>
            </w:r>
          </w:p>
          <w:p w14:paraId="2F095A63">
            <w:pPr>
              <w:spacing w:line="480" w:lineRule="exact"/>
              <w:ind w:firstLine="480" w:firstLineChars="200"/>
            </w:pPr>
            <w:r>
              <w:rPr>
                <w:rFonts w:hint="eastAsia" w:ascii="仿宋" w:hAnsi="仿宋" w:cs="仿宋"/>
              </w:rPr>
              <w:t>②</w:t>
            </w:r>
            <w:r>
              <w:t>有强烈振动的设备，不布置在楼板或平台上。</w:t>
            </w:r>
          </w:p>
          <w:p w14:paraId="79995061">
            <w:pPr>
              <w:spacing w:line="480" w:lineRule="exact"/>
              <w:ind w:firstLine="480" w:firstLineChars="200"/>
            </w:pPr>
            <w:r>
              <w:rPr>
                <w:rFonts w:hint="eastAsia" w:ascii="仿宋" w:hAnsi="仿宋" w:cs="仿宋"/>
              </w:rPr>
              <w:t>③</w:t>
            </w:r>
            <w:r>
              <w:t>设备布置时，考虑与其配用的噪声控制专用设备的安装和维修所需的空间。</w:t>
            </w:r>
          </w:p>
          <w:p w14:paraId="1351A94F">
            <w:pPr>
              <w:spacing w:line="480" w:lineRule="exact"/>
              <w:ind w:firstLine="480" w:firstLineChars="200"/>
            </w:pPr>
            <w:r>
              <w:rPr>
                <w:rFonts w:hint="eastAsia" w:ascii="仿宋" w:hAnsi="仿宋" w:cs="仿宋"/>
              </w:rPr>
              <w:t>④</w:t>
            </w:r>
            <w:r>
              <w:t>选用噪声较低、振动较小的设备；在对主要噪声源设备选择时，应收集和比较同类型设备的噪声指标；对于噪声较大的设备，应从设备选型开始要求供货商提供符合要求的低噪声设备</w:t>
            </w:r>
            <w:r>
              <w:rPr>
                <w:rFonts w:hint="eastAsia"/>
              </w:rPr>
              <w:t>。</w:t>
            </w:r>
          </w:p>
          <w:p w14:paraId="35F1CDDC">
            <w:pPr>
              <w:spacing w:line="480" w:lineRule="exact"/>
              <w:ind w:firstLine="482" w:firstLineChars="200"/>
              <w:rPr>
                <w:b/>
              </w:rPr>
            </w:pPr>
            <w:r>
              <w:rPr>
                <w:b/>
              </w:rPr>
              <w:t>3.3噪声预测</w:t>
            </w:r>
          </w:p>
          <w:p w14:paraId="3CCD1A90">
            <w:pPr>
              <w:spacing w:line="480" w:lineRule="exact"/>
              <w:ind w:firstLine="480" w:firstLineChars="200"/>
            </w:pPr>
            <w:r>
              <w:t>预测模式采用《环境影响评价技术导则</w:t>
            </w:r>
            <w:r>
              <w:rPr>
                <w:rFonts w:hint="eastAsia"/>
              </w:rPr>
              <w:t xml:space="preserve"> </w:t>
            </w:r>
            <w:r>
              <w:t>声环境》（HJ2.4-2021）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14:paraId="52123CB2">
            <w:pPr>
              <w:keepLines/>
              <w:adjustRightInd w:val="0"/>
              <w:snapToGrid w:val="0"/>
              <w:spacing w:line="480" w:lineRule="exact"/>
              <w:ind w:firstLine="480" w:firstLineChars="200"/>
              <w:rPr>
                <w:kern w:val="0"/>
                <w:szCs w:val="20"/>
              </w:rPr>
            </w:pPr>
            <w:r>
              <w:rPr>
                <w:rFonts w:hint="eastAsia"/>
                <w:bCs/>
              </w:rPr>
              <w:t>经厂房隔声和距离衰减后，本项目对各厂界噪声影响结果见</w:t>
            </w:r>
            <w:r>
              <w:rPr>
                <w:kern w:val="0"/>
                <w:szCs w:val="20"/>
              </w:rPr>
              <w:t>表4-</w:t>
            </w:r>
            <w:r>
              <w:rPr>
                <w:rFonts w:hint="eastAsia"/>
                <w:kern w:val="0"/>
                <w:szCs w:val="20"/>
                <w:lang w:val="en-US" w:eastAsia="zh-CN"/>
              </w:rPr>
              <w:t>21</w:t>
            </w:r>
            <w:r>
              <w:rPr>
                <w:kern w:val="0"/>
                <w:szCs w:val="20"/>
              </w:rPr>
              <w:t>。</w:t>
            </w:r>
          </w:p>
          <w:p w14:paraId="10AF91AB">
            <w:pPr>
              <w:spacing w:line="240" w:lineRule="auto"/>
              <w:jc w:val="center"/>
              <w:rPr>
                <w:b/>
                <w:bCs/>
                <w:sz w:val="21"/>
                <w:szCs w:val="21"/>
              </w:rPr>
            </w:pPr>
            <w:r>
              <w:rPr>
                <w:b/>
                <w:bCs/>
                <w:sz w:val="21"/>
                <w:szCs w:val="21"/>
              </w:rPr>
              <w:t>表4-</w:t>
            </w:r>
            <w:r>
              <w:rPr>
                <w:rFonts w:hint="eastAsia"/>
                <w:b/>
                <w:bCs/>
                <w:sz w:val="21"/>
                <w:szCs w:val="21"/>
                <w:lang w:val="en-US" w:eastAsia="zh-CN"/>
              </w:rPr>
              <w:t>21</w:t>
            </w:r>
            <w:r>
              <w:rPr>
                <w:b/>
                <w:bCs/>
                <w:sz w:val="21"/>
                <w:szCs w:val="21"/>
              </w:rPr>
              <w:t xml:space="preserve">  </w:t>
            </w:r>
            <w:r>
              <w:rPr>
                <w:b/>
                <w:sz w:val="21"/>
                <w:szCs w:val="21"/>
              </w:rPr>
              <w:t>项目噪声源强预测结果一览表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97"/>
              <w:gridCol w:w="3905"/>
              <w:gridCol w:w="2630"/>
              <w:gridCol w:w="2636"/>
            </w:tblGrid>
            <w:tr w14:paraId="74F5D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51" w:type="pct"/>
                  <w:tcBorders>
                    <w:tl2br w:val="nil"/>
                    <w:tr2bl w:val="nil"/>
                  </w:tcBorders>
                  <w:vAlign w:val="center"/>
                </w:tcPr>
                <w:p w14:paraId="1621DBCE">
                  <w:pPr>
                    <w:spacing w:line="240" w:lineRule="auto"/>
                    <w:jc w:val="center"/>
                    <w:rPr>
                      <w:b/>
                      <w:bCs/>
                      <w:sz w:val="21"/>
                      <w:szCs w:val="21"/>
                    </w:rPr>
                  </w:pPr>
                  <w:r>
                    <w:rPr>
                      <w:b/>
                      <w:bCs/>
                      <w:sz w:val="21"/>
                      <w:szCs w:val="21"/>
                    </w:rPr>
                    <w:t>预测点</w:t>
                  </w:r>
                </w:p>
              </w:tc>
              <w:tc>
                <w:tcPr>
                  <w:tcW w:w="1553" w:type="pct"/>
                  <w:tcBorders>
                    <w:tl2br w:val="nil"/>
                    <w:tr2bl w:val="nil"/>
                  </w:tcBorders>
                  <w:vAlign w:val="center"/>
                </w:tcPr>
                <w:p w14:paraId="619399CA">
                  <w:pPr>
                    <w:spacing w:line="240" w:lineRule="auto"/>
                    <w:jc w:val="center"/>
                    <w:rPr>
                      <w:b/>
                      <w:bCs/>
                      <w:sz w:val="21"/>
                      <w:szCs w:val="21"/>
                    </w:rPr>
                  </w:pPr>
                  <w:r>
                    <w:rPr>
                      <w:b/>
                      <w:bCs/>
                      <w:sz w:val="21"/>
                      <w:szCs w:val="21"/>
                    </w:rPr>
                    <w:t>预测贡献值dB（A）</w:t>
                  </w:r>
                </w:p>
              </w:tc>
              <w:tc>
                <w:tcPr>
                  <w:tcW w:w="1046" w:type="pct"/>
                  <w:tcBorders>
                    <w:tl2br w:val="nil"/>
                    <w:tr2bl w:val="nil"/>
                  </w:tcBorders>
                  <w:vAlign w:val="center"/>
                </w:tcPr>
                <w:p w14:paraId="00F6223C">
                  <w:pPr>
                    <w:spacing w:line="240" w:lineRule="auto"/>
                    <w:jc w:val="center"/>
                    <w:rPr>
                      <w:b/>
                      <w:bCs/>
                      <w:sz w:val="21"/>
                      <w:szCs w:val="21"/>
                    </w:rPr>
                  </w:pPr>
                  <w:r>
                    <w:rPr>
                      <w:b/>
                      <w:bCs/>
                      <w:sz w:val="21"/>
                      <w:szCs w:val="21"/>
                    </w:rPr>
                    <w:t>标准dB（A）</w:t>
                  </w:r>
                </w:p>
              </w:tc>
              <w:tc>
                <w:tcPr>
                  <w:tcW w:w="1048" w:type="pct"/>
                  <w:tcBorders>
                    <w:tl2br w:val="nil"/>
                    <w:tr2bl w:val="nil"/>
                  </w:tcBorders>
                  <w:vAlign w:val="center"/>
                </w:tcPr>
                <w:p w14:paraId="49E76A2A">
                  <w:pPr>
                    <w:spacing w:line="240" w:lineRule="auto"/>
                    <w:jc w:val="center"/>
                    <w:rPr>
                      <w:b/>
                      <w:bCs/>
                      <w:sz w:val="21"/>
                      <w:szCs w:val="21"/>
                    </w:rPr>
                  </w:pPr>
                  <w:r>
                    <w:rPr>
                      <w:b/>
                      <w:bCs/>
                      <w:sz w:val="21"/>
                      <w:szCs w:val="21"/>
                    </w:rPr>
                    <w:t>超标情况</w:t>
                  </w:r>
                </w:p>
              </w:tc>
            </w:tr>
            <w:tr w14:paraId="0B6E9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5" w:hRule="atLeast"/>
                <w:jc w:val="center"/>
              </w:trPr>
              <w:tc>
                <w:tcPr>
                  <w:tcW w:w="1351" w:type="pct"/>
                  <w:vMerge w:val="restart"/>
                  <w:tcBorders>
                    <w:tl2br w:val="nil"/>
                    <w:tr2bl w:val="nil"/>
                  </w:tcBorders>
                  <w:vAlign w:val="center"/>
                </w:tcPr>
                <w:p w14:paraId="331AA622">
                  <w:pPr>
                    <w:autoSpaceDE w:val="0"/>
                    <w:autoSpaceDN w:val="0"/>
                    <w:spacing w:line="300" w:lineRule="exact"/>
                    <w:jc w:val="center"/>
                    <w:rPr>
                      <w:sz w:val="21"/>
                      <w:szCs w:val="21"/>
                    </w:rPr>
                  </w:pPr>
                  <w:r>
                    <w:rPr>
                      <w:sz w:val="21"/>
                      <w:szCs w:val="21"/>
                    </w:rPr>
                    <w:t>N1（东</w:t>
                  </w:r>
                  <w:r>
                    <w:rPr>
                      <w:kern w:val="0"/>
                      <w:sz w:val="21"/>
                      <w:szCs w:val="21"/>
                    </w:rPr>
                    <w:t>厂界）</w:t>
                  </w:r>
                </w:p>
              </w:tc>
              <w:tc>
                <w:tcPr>
                  <w:tcW w:w="1553" w:type="pct"/>
                  <w:vMerge w:val="restart"/>
                  <w:tcBorders>
                    <w:tl2br w:val="nil"/>
                    <w:tr2bl w:val="nil"/>
                  </w:tcBorders>
                  <w:vAlign w:val="center"/>
                </w:tcPr>
                <w:p w14:paraId="50E8C2B9">
                  <w:pPr>
                    <w:spacing w:line="240" w:lineRule="auto"/>
                    <w:jc w:val="center"/>
                    <w:rPr>
                      <w:rFonts w:hint="eastAsia"/>
                      <w:sz w:val="21"/>
                      <w:szCs w:val="21"/>
                    </w:rPr>
                  </w:pPr>
                  <w:r>
                    <w:rPr>
                      <w:rFonts w:hint="default"/>
                      <w:sz w:val="21"/>
                      <w:szCs w:val="21"/>
                      <w:lang w:val="en-US" w:eastAsia="zh-CN"/>
                    </w:rPr>
                    <w:t xml:space="preserve">42.5 </w:t>
                  </w:r>
                </w:p>
              </w:tc>
              <w:tc>
                <w:tcPr>
                  <w:tcW w:w="1046" w:type="pct"/>
                  <w:tcBorders>
                    <w:tl2br w:val="nil"/>
                    <w:tr2bl w:val="nil"/>
                  </w:tcBorders>
                  <w:vAlign w:val="center"/>
                </w:tcPr>
                <w:p w14:paraId="4EDC764B">
                  <w:pPr>
                    <w:spacing w:line="240" w:lineRule="auto"/>
                    <w:jc w:val="center"/>
                    <w:rPr>
                      <w:sz w:val="21"/>
                      <w:szCs w:val="21"/>
                    </w:rPr>
                  </w:pPr>
                  <w:r>
                    <w:rPr>
                      <w:rFonts w:hint="eastAsia"/>
                      <w:sz w:val="21"/>
                      <w:szCs w:val="21"/>
                      <w:lang w:val="en-US" w:eastAsia="zh-CN"/>
                    </w:rPr>
                    <w:t>60（昼间）</w:t>
                  </w:r>
                </w:p>
              </w:tc>
              <w:tc>
                <w:tcPr>
                  <w:tcW w:w="1048" w:type="pct"/>
                  <w:tcBorders>
                    <w:tl2br w:val="nil"/>
                    <w:tr2bl w:val="nil"/>
                  </w:tcBorders>
                  <w:vAlign w:val="center"/>
                </w:tcPr>
                <w:p w14:paraId="50FDA960">
                  <w:pPr>
                    <w:spacing w:line="240" w:lineRule="auto"/>
                    <w:jc w:val="center"/>
                    <w:rPr>
                      <w:sz w:val="21"/>
                      <w:szCs w:val="21"/>
                    </w:rPr>
                  </w:pPr>
                  <w:r>
                    <w:rPr>
                      <w:sz w:val="21"/>
                      <w:szCs w:val="21"/>
                    </w:rPr>
                    <w:t>达标</w:t>
                  </w:r>
                </w:p>
              </w:tc>
            </w:tr>
            <w:tr w14:paraId="42C51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5" w:hRule="atLeast"/>
                <w:jc w:val="center"/>
              </w:trPr>
              <w:tc>
                <w:tcPr>
                  <w:tcW w:w="1351" w:type="pct"/>
                  <w:vMerge w:val="continue"/>
                  <w:tcBorders>
                    <w:tl2br w:val="nil"/>
                    <w:tr2bl w:val="nil"/>
                  </w:tcBorders>
                  <w:vAlign w:val="center"/>
                </w:tcPr>
                <w:p w14:paraId="4BCF4D4F">
                  <w:pPr>
                    <w:spacing w:line="240" w:lineRule="auto"/>
                    <w:jc w:val="center"/>
                  </w:pPr>
                </w:p>
              </w:tc>
              <w:tc>
                <w:tcPr>
                  <w:tcW w:w="1553" w:type="pct"/>
                  <w:vMerge w:val="continue"/>
                  <w:tcBorders>
                    <w:tl2br w:val="nil"/>
                    <w:tr2bl w:val="nil"/>
                  </w:tcBorders>
                  <w:vAlign w:val="center"/>
                </w:tcPr>
                <w:p w14:paraId="297EDCF8">
                  <w:pPr>
                    <w:spacing w:line="240" w:lineRule="auto"/>
                    <w:jc w:val="center"/>
                  </w:pPr>
                </w:p>
              </w:tc>
              <w:tc>
                <w:tcPr>
                  <w:tcW w:w="1046" w:type="pct"/>
                  <w:tcBorders>
                    <w:tl2br w:val="nil"/>
                    <w:tr2bl w:val="nil"/>
                  </w:tcBorders>
                  <w:vAlign w:val="center"/>
                </w:tcPr>
                <w:p w14:paraId="2F4D5EF7">
                  <w:pPr>
                    <w:spacing w:line="240" w:lineRule="auto"/>
                    <w:jc w:val="center"/>
                    <w:rPr>
                      <w:rFonts w:hint="default" w:eastAsia="仿宋"/>
                      <w:sz w:val="21"/>
                      <w:szCs w:val="21"/>
                      <w:lang w:val="en-US" w:eastAsia="zh-CN"/>
                    </w:rPr>
                  </w:pPr>
                  <w:r>
                    <w:rPr>
                      <w:rFonts w:hint="eastAsia"/>
                      <w:sz w:val="21"/>
                      <w:szCs w:val="21"/>
                      <w:lang w:val="en-US" w:eastAsia="zh-CN"/>
                    </w:rPr>
                    <w:t>50（夜间）</w:t>
                  </w:r>
                </w:p>
              </w:tc>
              <w:tc>
                <w:tcPr>
                  <w:tcW w:w="1048" w:type="pct"/>
                  <w:tcBorders>
                    <w:tl2br w:val="nil"/>
                    <w:tr2bl w:val="nil"/>
                  </w:tcBorders>
                  <w:vAlign w:val="center"/>
                </w:tcPr>
                <w:p w14:paraId="7B5E77BA">
                  <w:pPr>
                    <w:spacing w:line="240" w:lineRule="auto"/>
                    <w:jc w:val="center"/>
                    <w:rPr>
                      <w:rFonts w:hint="eastAsia"/>
                      <w:sz w:val="21"/>
                      <w:szCs w:val="21"/>
                    </w:rPr>
                  </w:pPr>
                  <w:r>
                    <w:rPr>
                      <w:sz w:val="21"/>
                      <w:szCs w:val="21"/>
                    </w:rPr>
                    <w:t>达标</w:t>
                  </w:r>
                </w:p>
              </w:tc>
            </w:tr>
            <w:tr w14:paraId="47E02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5" w:hRule="atLeast"/>
                <w:jc w:val="center"/>
              </w:trPr>
              <w:tc>
                <w:tcPr>
                  <w:tcW w:w="1351" w:type="pct"/>
                  <w:vMerge w:val="restart"/>
                  <w:tcBorders>
                    <w:tl2br w:val="nil"/>
                    <w:tr2bl w:val="nil"/>
                  </w:tcBorders>
                  <w:vAlign w:val="center"/>
                </w:tcPr>
                <w:p w14:paraId="13B0B5DC">
                  <w:pPr>
                    <w:autoSpaceDE w:val="0"/>
                    <w:autoSpaceDN w:val="0"/>
                    <w:spacing w:line="300" w:lineRule="exact"/>
                    <w:jc w:val="center"/>
                    <w:rPr>
                      <w:sz w:val="21"/>
                      <w:szCs w:val="21"/>
                    </w:rPr>
                  </w:pPr>
                  <w:r>
                    <w:rPr>
                      <w:sz w:val="21"/>
                      <w:szCs w:val="21"/>
                    </w:rPr>
                    <w:t>N2（南</w:t>
                  </w:r>
                  <w:r>
                    <w:rPr>
                      <w:kern w:val="0"/>
                      <w:sz w:val="21"/>
                      <w:szCs w:val="21"/>
                    </w:rPr>
                    <w:t>厂界</w:t>
                  </w:r>
                  <w:r>
                    <w:rPr>
                      <w:sz w:val="21"/>
                      <w:szCs w:val="21"/>
                    </w:rPr>
                    <w:t>）</w:t>
                  </w:r>
                </w:p>
              </w:tc>
              <w:tc>
                <w:tcPr>
                  <w:tcW w:w="1553" w:type="pct"/>
                  <w:vMerge w:val="restart"/>
                  <w:tcBorders>
                    <w:tl2br w:val="nil"/>
                    <w:tr2bl w:val="nil"/>
                  </w:tcBorders>
                  <w:vAlign w:val="center"/>
                </w:tcPr>
                <w:p w14:paraId="76DFB835">
                  <w:pPr>
                    <w:spacing w:line="240" w:lineRule="auto"/>
                    <w:jc w:val="center"/>
                    <w:rPr>
                      <w:rFonts w:hint="eastAsia"/>
                      <w:sz w:val="21"/>
                      <w:szCs w:val="21"/>
                    </w:rPr>
                  </w:pPr>
                  <w:r>
                    <w:rPr>
                      <w:rFonts w:hint="default"/>
                      <w:sz w:val="21"/>
                      <w:szCs w:val="21"/>
                      <w:lang w:val="en-US" w:eastAsia="zh-CN"/>
                    </w:rPr>
                    <w:t xml:space="preserve">47.1 </w:t>
                  </w:r>
                </w:p>
              </w:tc>
              <w:tc>
                <w:tcPr>
                  <w:tcW w:w="2630" w:type="dxa"/>
                  <w:tcBorders>
                    <w:tl2br w:val="nil"/>
                    <w:tr2bl w:val="nil"/>
                  </w:tcBorders>
                  <w:vAlign w:val="center"/>
                </w:tcPr>
                <w:p w14:paraId="5FF5FBD3">
                  <w:pPr>
                    <w:spacing w:line="240" w:lineRule="auto"/>
                    <w:jc w:val="center"/>
                    <w:rPr>
                      <w:sz w:val="21"/>
                      <w:szCs w:val="21"/>
                    </w:rPr>
                  </w:pPr>
                  <w:r>
                    <w:rPr>
                      <w:rFonts w:hint="eastAsia"/>
                      <w:sz w:val="21"/>
                      <w:szCs w:val="21"/>
                      <w:lang w:val="en-US" w:eastAsia="zh-CN"/>
                    </w:rPr>
                    <w:t>60（昼间）</w:t>
                  </w:r>
                </w:p>
              </w:tc>
              <w:tc>
                <w:tcPr>
                  <w:tcW w:w="1048" w:type="pct"/>
                  <w:tcBorders>
                    <w:tl2br w:val="nil"/>
                    <w:tr2bl w:val="nil"/>
                  </w:tcBorders>
                  <w:vAlign w:val="center"/>
                </w:tcPr>
                <w:p w14:paraId="33122EFE">
                  <w:pPr>
                    <w:spacing w:line="240" w:lineRule="auto"/>
                    <w:jc w:val="center"/>
                    <w:rPr>
                      <w:sz w:val="21"/>
                      <w:szCs w:val="21"/>
                    </w:rPr>
                  </w:pPr>
                  <w:r>
                    <w:rPr>
                      <w:sz w:val="21"/>
                      <w:szCs w:val="21"/>
                    </w:rPr>
                    <w:t>达标</w:t>
                  </w:r>
                </w:p>
              </w:tc>
            </w:tr>
            <w:tr w14:paraId="080F3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5" w:hRule="atLeast"/>
                <w:jc w:val="center"/>
              </w:trPr>
              <w:tc>
                <w:tcPr>
                  <w:tcW w:w="1351" w:type="pct"/>
                  <w:vMerge w:val="continue"/>
                  <w:tcBorders>
                    <w:tl2br w:val="nil"/>
                    <w:tr2bl w:val="nil"/>
                  </w:tcBorders>
                  <w:vAlign w:val="center"/>
                </w:tcPr>
                <w:p w14:paraId="3AFA4D95">
                  <w:pPr>
                    <w:spacing w:line="240" w:lineRule="auto"/>
                    <w:jc w:val="center"/>
                  </w:pPr>
                </w:p>
              </w:tc>
              <w:tc>
                <w:tcPr>
                  <w:tcW w:w="1553" w:type="pct"/>
                  <w:vMerge w:val="continue"/>
                  <w:tcBorders>
                    <w:tl2br w:val="nil"/>
                    <w:tr2bl w:val="nil"/>
                  </w:tcBorders>
                  <w:vAlign w:val="center"/>
                </w:tcPr>
                <w:p w14:paraId="45350A79">
                  <w:pPr>
                    <w:spacing w:line="240" w:lineRule="auto"/>
                    <w:jc w:val="center"/>
                  </w:pPr>
                </w:p>
              </w:tc>
              <w:tc>
                <w:tcPr>
                  <w:tcW w:w="2630" w:type="dxa"/>
                  <w:tcBorders>
                    <w:tl2br w:val="nil"/>
                    <w:tr2bl w:val="nil"/>
                  </w:tcBorders>
                  <w:vAlign w:val="center"/>
                </w:tcPr>
                <w:p w14:paraId="7BC1FBD4">
                  <w:pPr>
                    <w:spacing w:line="240" w:lineRule="auto"/>
                    <w:jc w:val="center"/>
                    <w:rPr>
                      <w:rFonts w:hint="eastAsia"/>
                      <w:sz w:val="21"/>
                      <w:szCs w:val="21"/>
                    </w:rPr>
                  </w:pPr>
                  <w:r>
                    <w:rPr>
                      <w:rFonts w:hint="eastAsia"/>
                      <w:sz w:val="21"/>
                      <w:szCs w:val="21"/>
                      <w:lang w:val="en-US" w:eastAsia="zh-CN"/>
                    </w:rPr>
                    <w:t>50（夜间）</w:t>
                  </w:r>
                </w:p>
              </w:tc>
              <w:tc>
                <w:tcPr>
                  <w:tcW w:w="1048" w:type="pct"/>
                  <w:tcBorders>
                    <w:tl2br w:val="nil"/>
                    <w:tr2bl w:val="nil"/>
                  </w:tcBorders>
                  <w:vAlign w:val="center"/>
                </w:tcPr>
                <w:p w14:paraId="74E40685">
                  <w:pPr>
                    <w:spacing w:line="240" w:lineRule="auto"/>
                    <w:jc w:val="center"/>
                    <w:rPr>
                      <w:rFonts w:hint="eastAsia"/>
                      <w:sz w:val="21"/>
                      <w:szCs w:val="21"/>
                    </w:rPr>
                  </w:pPr>
                  <w:r>
                    <w:rPr>
                      <w:sz w:val="21"/>
                      <w:szCs w:val="21"/>
                    </w:rPr>
                    <w:t>达标</w:t>
                  </w:r>
                </w:p>
              </w:tc>
            </w:tr>
            <w:tr w14:paraId="5D008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5" w:hRule="atLeast"/>
                <w:jc w:val="center"/>
              </w:trPr>
              <w:tc>
                <w:tcPr>
                  <w:tcW w:w="1351" w:type="pct"/>
                  <w:vMerge w:val="restart"/>
                  <w:tcBorders>
                    <w:tl2br w:val="nil"/>
                    <w:tr2bl w:val="nil"/>
                  </w:tcBorders>
                  <w:vAlign w:val="center"/>
                </w:tcPr>
                <w:p w14:paraId="3D4D6244">
                  <w:pPr>
                    <w:autoSpaceDE w:val="0"/>
                    <w:autoSpaceDN w:val="0"/>
                    <w:spacing w:line="300" w:lineRule="exact"/>
                    <w:jc w:val="center"/>
                    <w:rPr>
                      <w:sz w:val="21"/>
                      <w:szCs w:val="21"/>
                    </w:rPr>
                  </w:pPr>
                  <w:r>
                    <w:rPr>
                      <w:sz w:val="21"/>
                      <w:szCs w:val="21"/>
                    </w:rPr>
                    <w:t>N3（西</w:t>
                  </w:r>
                  <w:r>
                    <w:rPr>
                      <w:kern w:val="0"/>
                      <w:sz w:val="21"/>
                      <w:szCs w:val="21"/>
                    </w:rPr>
                    <w:t>厂界</w:t>
                  </w:r>
                  <w:r>
                    <w:rPr>
                      <w:sz w:val="21"/>
                      <w:szCs w:val="21"/>
                    </w:rPr>
                    <w:t>）</w:t>
                  </w:r>
                </w:p>
              </w:tc>
              <w:tc>
                <w:tcPr>
                  <w:tcW w:w="1553" w:type="pct"/>
                  <w:vMerge w:val="restart"/>
                  <w:tcBorders>
                    <w:tl2br w:val="nil"/>
                    <w:tr2bl w:val="nil"/>
                  </w:tcBorders>
                  <w:vAlign w:val="center"/>
                </w:tcPr>
                <w:p w14:paraId="7E7102D6">
                  <w:pPr>
                    <w:spacing w:line="240" w:lineRule="auto"/>
                    <w:jc w:val="center"/>
                    <w:rPr>
                      <w:rFonts w:hint="eastAsia"/>
                      <w:sz w:val="21"/>
                      <w:szCs w:val="21"/>
                    </w:rPr>
                  </w:pPr>
                  <w:r>
                    <w:rPr>
                      <w:rFonts w:hint="default"/>
                      <w:sz w:val="21"/>
                      <w:szCs w:val="21"/>
                      <w:lang w:val="en-US" w:eastAsia="zh-CN"/>
                    </w:rPr>
                    <w:t xml:space="preserve">41.7 </w:t>
                  </w:r>
                </w:p>
              </w:tc>
              <w:tc>
                <w:tcPr>
                  <w:tcW w:w="2630" w:type="dxa"/>
                  <w:tcBorders>
                    <w:tl2br w:val="nil"/>
                    <w:tr2bl w:val="nil"/>
                  </w:tcBorders>
                  <w:vAlign w:val="center"/>
                </w:tcPr>
                <w:p w14:paraId="4550D72F">
                  <w:pPr>
                    <w:spacing w:line="240" w:lineRule="auto"/>
                    <w:jc w:val="center"/>
                    <w:rPr>
                      <w:sz w:val="21"/>
                      <w:szCs w:val="21"/>
                    </w:rPr>
                  </w:pPr>
                  <w:r>
                    <w:rPr>
                      <w:rFonts w:hint="eastAsia"/>
                      <w:sz w:val="21"/>
                      <w:szCs w:val="21"/>
                      <w:lang w:val="en-US" w:eastAsia="zh-CN"/>
                    </w:rPr>
                    <w:t>60（昼间）</w:t>
                  </w:r>
                </w:p>
              </w:tc>
              <w:tc>
                <w:tcPr>
                  <w:tcW w:w="1048" w:type="pct"/>
                  <w:tcBorders>
                    <w:tl2br w:val="nil"/>
                    <w:tr2bl w:val="nil"/>
                  </w:tcBorders>
                  <w:vAlign w:val="center"/>
                </w:tcPr>
                <w:p w14:paraId="2D755581">
                  <w:pPr>
                    <w:spacing w:line="240" w:lineRule="auto"/>
                    <w:jc w:val="center"/>
                    <w:rPr>
                      <w:sz w:val="21"/>
                      <w:szCs w:val="21"/>
                    </w:rPr>
                  </w:pPr>
                  <w:r>
                    <w:rPr>
                      <w:sz w:val="21"/>
                      <w:szCs w:val="21"/>
                    </w:rPr>
                    <w:t>达标</w:t>
                  </w:r>
                </w:p>
              </w:tc>
            </w:tr>
            <w:tr w14:paraId="633CF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5" w:hRule="atLeast"/>
                <w:jc w:val="center"/>
              </w:trPr>
              <w:tc>
                <w:tcPr>
                  <w:tcW w:w="1351" w:type="pct"/>
                  <w:vMerge w:val="continue"/>
                  <w:tcBorders>
                    <w:tl2br w:val="nil"/>
                    <w:tr2bl w:val="nil"/>
                  </w:tcBorders>
                  <w:vAlign w:val="center"/>
                </w:tcPr>
                <w:p w14:paraId="7B185821">
                  <w:pPr>
                    <w:spacing w:line="240" w:lineRule="auto"/>
                    <w:jc w:val="center"/>
                  </w:pPr>
                </w:p>
              </w:tc>
              <w:tc>
                <w:tcPr>
                  <w:tcW w:w="1553" w:type="pct"/>
                  <w:vMerge w:val="continue"/>
                  <w:tcBorders>
                    <w:tl2br w:val="nil"/>
                    <w:tr2bl w:val="nil"/>
                  </w:tcBorders>
                  <w:vAlign w:val="center"/>
                </w:tcPr>
                <w:p w14:paraId="2E69DD67">
                  <w:pPr>
                    <w:spacing w:line="240" w:lineRule="auto"/>
                    <w:jc w:val="center"/>
                  </w:pPr>
                </w:p>
              </w:tc>
              <w:tc>
                <w:tcPr>
                  <w:tcW w:w="2630" w:type="dxa"/>
                  <w:tcBorders>
                    <w:tl2br w:val="nil"/>
                    <w:tr2bl w:val="nil"/>
                  </w:tcBorders>
                  <w:vAlign w:val="center"/>
                </w:tcPr>
                <w:p w14:paraId="4D9FE578">
                  <w:pPr>
                    <w:spacing w:line="240" w:lineRule="auto"/>
                    <w:jc w:val="center"/>
                    <w:rPr>
                      <w:rFonts w:hint="eastAsia"/>
                      <w:sz w:val="21"/>
                      <w:szCs w:val="21"/>
                    </w:rPr>
                  </w:pPr>
                  <w:r>
                    <w:rPr>
                      <w:rFonts w:hint="eastAsia"/>
                      <w:sz w:val="21"/>
                      <w:szCs w:val="21"/>
                      <w:lang w:val="en-US" w:eastAsia="zh-CN"/>
                    </w:rPr>
                    <w:t>50（夜间）</w:t>
                  </w:r>
                </w:p>
              </w:tc>
              <w:tc>
                <w:tcPr>
                  <w:tcW w:w="1048" w:type="pct"/>
                  <w:tcBorders>
                    <w:tl2br w:val="nil"/>
                    <w:tr2bl w:val="nil"/>
                  </w:tcBorders>
                  <w:vAlign w:val="center"/>
                </w:tcPr>
                <w:p w14:paraId="3B04F9A3">
                  <w:pPr>
                    <w:spacing w:line="240" w:lineRule="auto"/>
                    <w:jc w:val="center"/>
                    <w:rPr>
                      <w:rFonts w:hint="eastAsia"/>
                      <w:sz w:val="21"/>
                      <w:szCs w:val="21"/>
                    </w:rPr>
                  </w:pPr>
                  <w:r>
                    <w:rPr>
                      <w:sz w:val="21"/>
                      <w:szCs w:val="21"/>
                    </w:rPr>
                    <w:t>达标</w:t>
                  </w:r>
                </w:p>
              </w:tc>
            </w:tr>
            <w:tr w14:paraId="6CF15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51" w:type="pct"/>
                  <w:vMerge w:val="restart"/>
                  <w:tcBorders>
                    <w:tl2br w:val="nil"/>
                    <w:tr2bl w:val="nil"/>
                  </w:tcBorders>
                  <w:vAlign w:val="center"/>
                </w:tcPr>
                <w:p w14:paraId="507C6B87">
                  <w:pPr>
                    <w:autoSpaceDE w:val="0"/>
                    <w:autoSpaceDN w:val="0"/>
                    <w:spacing w:line="300" w:lineRule="exact"/>
                    <w:jc w:val="center"/>
                    <w:rPr>
                      <w:sz w:val="21"/>
                      <w:szCs w:val="21"/>
                    </w:rPr>
                  </w:pPr>
                  <w:r>
                    <w:rPr>
                      <w:sz w:val="21"/>
                      <w:szCs w:val="21"/>
                    </w:rPr>
                    <w:t>N4（北</w:t>
                  </w:r>
                  <w:r>
                    <w:rPr>
                      <w:kern w:val="0"/>
                      <w:sz w:val="21"/>
                      <w:szCs w:val="21"/>
                    </w:rPr>
                    <w:t>厂界</w:t>
                  </w:r>
                  <w:r>
                    <w:rPr>
                      <w:sz w:val="21"/>
                      <w:szCs w:val="21"/>
                    </w:rPr>
                    <w:t>）</w:t>
                  </w:r>
                </w:p>
              </w:tc>
              <w:tc>
                <w:tcPr>
                  <w:tcW w:w="1553" w:type="pct"/>
                  <w:vMerge w:val="restart"/>
                  <w:tcBorders>
                    <w:tl2br w:val="nil"/>
                    <w:tr2bl w:val="nil"/>
                  </w:tcBorders>
                  <w:vAlign w:val="center"/>
                </w:tcPr>
                <w:p w14:paraId="2E1E3722">
                  <w:pPr>
                    <w:spacing w:line="240" w:lineRule="auto"/>
                    <w:jc w:val="center"/>
                    <w:rPr>
                      <w:rFonts w:hint="eastAsia"/>
                      <w:sz w:val="21"/>
                      <w:szCs w:val="21"/>
                    </w:rPr>
                  </w:pPr>
                  <w:r>
                    <w:rPr>
                      <w:rFonts w:hint="default"/>
                      <w:sz w:val="21"/>
                      <w:szCs w:val="21"/>
                      <w:lang w:val="en-US" w:eastAsia="zh-CN"/>
                    </w:rPr>
                    <w:t xml:space="preserve">48.1 </w:t>
                  </w:r>
                </w:p>
              </w:tc>
              <w:tc>
                <w:tcPr>
                  <w:tcW w:w="2630" w:type="dxa"/>
                  <w:tcBorders>
                    <w:tl2br w:val="nil"/>
                    <w:tr2bl w:val="nil"/>
                  </w:tcBorders>
                  <w:vAlign w:val="center"/>
                </w:tcPr>
                <w:p w14:paraId="47A614CF">
                  <w:pPr>
                    <w:spacing w:line="240" w:lineRule="auto"/>
                    <w:jc w:val="center"/>
                    <w:rPr>
                      <w:sz w:val="21"/>
                      <w:szCs w:val="21"/>
                    </w:rPr>
                  </w:pPr>
                  <w:r>
                    <w:rPr>
                      <w:rFonts w:hint="eastAsia"/>
                      <w:sz w:val="21"/>
                      <w:szCs w:val="21"/>
                      <w:lang w:val="en-US" w:eastAsia="zh-CN"/>
                    </w:rPr>
                    <w:t>60（昼间）</w:t>
                  </w:r>
                </w:p>
              </w:tc>
              <w:tc>
                <w:tcPr>
                  <w:tcW w:w="1048" w:type="pct"/>
                  <w:tcBorders>
                    <w:tl2br w:val="nil"/>
                    <w:tr2bl w:val="nil"/>
                  </w:tcBorders>
                  <w:vAlign w:val="center"/>
                </w:tcPr>
                <w:p w14:paraId="66607062">
                  <w:pPr>
                    <w:spacing w:line="240" w:lineRule="auto"/>
                    <w:jc w:val="center"/>
                    <w:rPr>
                      <w:sz w:val="21"/>
                      <w:szCs w:val="21"/>
                    </w:rPr>
                  </w:pPr>
                  <w:r>
                    <w:rPr>
                      <w:sz w:val="21"/>
                      <w:szCs w:val="21"/>
                    </w:rPr>
                    <w:t>达标</w:t>
                  </w:r>
                </w:p>
              </w:tc>
            </w:tr>
            <w:tr w14:paraId="3B05F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51" w:type="pct"/>
                  <w:vMerge w:val="continue"/>
                  <w:tcBorders>
                    <w:tl2br w:val="nil"/>
                    <w:tr2bl w:val="nil"/>
                  </w:tcBorders>
                  <w:vAlign w:val="center"/>
                </w:tcPr>
                <w:p w14:paraId="502587B5">
                  <w:pPr>
                    <w:autoSpaceDE w:val="0"/>
                    <w:autoSpaceDN w:val="0"/>
                    <w:spacing w:line="300" w:lineRule="exact"/>
                    <w:jc w:val="center"/>
                    <w:rPr>
                      <w:sz w:val="21"/>
                      <w:szCs w:val="21"/>
                    </w:rPr>
                  </w:pPr>
                </w:p>
              </w:tc>
              <w:tc>
                <w:tcPr>
                  <w:tcW w:w="1553" w:type="pct"/>
                  <w:vMerge w:val="continue"/>
                  <w:tcBorders>
                    <w:tl2br w:val="nil"/>
                    <w:tr2bl w:val="nil"/>
                  </w:tcBorders>
                  <w:vAlign w:val="center"/>
                </w:tcPr>
                <w:p w14:paraId="7A74BC06">
                  <w:pPr>
                    <w:spacing w:line="240" w:lineRule="auto"/>
                    <w:jc w:val="center"/>
                    <w:rPr>
                      <w:rFonts w:hint="default"/>
                      <w:sz w:val="21"/>
                      <w:szCs w:val="21"/>
                      <w:lang w:val="en-US" w:eastAsia="zh-CN"/>
                    </w:rPr>
                  </w:pPr>
                </w:p>
              </w:tc>
              <w:tc>
                <w:tcPr>
                  <w:tcW w:w="2630" w:type="dxa"/>
                  <w:tcBorders>
                    <w:tl2br w:val="nil"/>
                    <w:tr2bl w:val="nil"/>
                  </w:tcBorders>
                  <w:vAlign w:val="center"/>
                </w:tcPr>
                <w:p w14:paraId="282F21E5">
                  <w:pPr>
                    <w:spacing w:line="240" w:lineRule="auto"/>
                    <w:jc w:val="center"/>
                    <w:rPr>
                      <w:rFonts w:hint="eastAsia"/>
                      <w:sz w:val="21"/>
                      <w:szCs w:val="21"/>
                    </w:rPr>
                  </w:pPr>
                  <w:r>
                    <w:rPr>
                      <w:rFonts w:hint="eastAsia"/>
                      <w:sz w:val="21"/>
                      <w:szCs w:val="21"/>
                      <w:lang w:val="en-US" w:eastAsia="zh-CN"/>
                    </w:rPr>
                    <w:t>50（夜间）</w:t>
                  </w:r>
                </w:p>
              </w:tc>
              <w:tc>
                <w:tcPr>
                  <w:tcW w:w="1048" w:type="pct"/>
                  <w:tcBorders>
                    <w:tl2br w:val="nil"/>
                    <w:tr2bl w:val="nil"/>
                  </w:tcBorders>
                  <w:vAlign w:val="center"/>
                </w:tcPr>
                <w:p w14:paraId="410D44AF">
                  <w:pPr>
                    <w:spacing w:line="240" w:lineRule="auto"/>
                    <w:jc w:val="center"/>
                    <w:rPr>
                      <w:sz w:val="21"/>
                      <w:szCs w:val="21"/>
                    </w:rPr>
                  </w:pPr>
                  <w:r>
                    <w:rPr>
                      <w:sz w:val="21"/>
                      <w:szCs w:val="21"/>
                    </w:rPr>
                    <w:t>达标</w:t>
                  </w:r>
                </w:p>
              </w:tc>
            </w:tr>
          </w:tbl>
          <w:p w14:paraId="02F0B312">
            <w:pPr>
              <w:pStyle w:val="16"/>
              <w:spacing w:before="0" w:beforeAutospacing="0" w:after="0" w:afterAutospacing="0" w:line="480" w:lineRule="exact"/>
              <w:ind w:firstLine="480" w:firstLineChars="200"/>
              <w:jc w:val="both"/>
              <w:rPr>
                <w:rFonts w:ascii="Times New Roman" w:hAnsi="Times New Roman"/>
              </w:rPr>
            </w:pPr>
            <w:r>
              <w:rPr>
                <w:rFonts w:ascii="Times New Roman" w:hAnsi="Times New Roman"/>
              </w:rPr>
              <w:t>由预测结果可见，建设项目高噪声设备经厂房隔声、减振等措施治理后，</w:t>
            </w:r>
            <w:r>
              <w:rPr>
                <w:rFonts w:hint="eastAsia" w:ascii="Times New Roman" w:hAnsi="Times New Roman"/>
                <w:lang w:val="en-US" w:eastAsia="zh-CN"/>
              </w:rPr>
              <w:t>四周</w:t>
            </w:r>
            <w:r>
              <w:rPr>
                <w:rFonts w:ascii="Times New Roman" w:hAnsi="Times New Roman"/>
              </w:rPr>
              <w:t>厂界的昼间噪声</w:t>
            </w:r>
            <w:r>
              <w:rPr>
                <w:rFonts w:ascii="Times New Roman" w:hAnsi="Times New Roman"/>
                <w:szCs w:val="24"/>
              </w:rPr>
              <w:t>预测贡献值小于6</w:t>
            </w:r>
            <w:r>
              <w:rPr>
                <w:rFonts w:hint="eastAsia" w:ascii="Times New Roman" w:hAnsi="Times New Roman"/>
                <w:szCs w:val="24"/>
              </w:rPr>
              <w:t>0</w:t>
            </w:r>
            <w:r>
              <w:rPr>
                <w:rFonts w:ascii="Times New Roman" w:hAnsi="Times New Roman"/>
                <w:szCs w:val="24"/>
              </w:rPr>
              <w:t>dB（A）</w:t>
            </w:r>
            <w:r>
              <w:rPr>
                <w:rFonts w:hint="eastAsia" w:ascii="Times New Roman" w:hAnsi="Times New Roman"/>
              </w:rPr>
              <w:t>，</w:t>
            </w:r>
            <w:r>
              <w:rPr>
                <w:rFonts w:hint="eastAsia" w:ascii="Times New Roman" w:hAnsi="Times New Roman"/>
                <w:lang w:val="en-US" w:eastAsia="zh-CN"/>
              </w:rPr>
              <w:t>夜</w:t>
            </w:r>
            <w:r>
              <w:rPr>
                <w:rFonts w:ascii="Times New Roman" w:hAnsi="Times New Roman"/>
              </w:rPr>
              <w:t>间噪声</w:t>
            </w:r>
            <w:r>
              <w:rPr>
                <w:rFonts w:ascii="Times New Roman" w:hAnsi="Times New Roman"/>
                <w:szCs w:val="24"/>
              </w:rPr>
              <w:t>预测贡献值小于</w:t>
            </w:r>
            <w:r>
              <w:rPr>
                <w:rFonts w:hint="eastAsia" w:ascii="Times New Roman" w:hAnsi="Times New Roman"/>
                <w:szCs w:val="24"/>
                <w:lang w:val="en-US" w:eastAsia="zh-CN"/>
              </w:rPr>
              <w:t>5</w:t>
            </w:r>
            <w:r>
              <w:rPr>
                <w:rFonts w:hint="eastAsia" w:ascii="Times New Roman" w:hAnsi="Times New Roman"/>
                <w:szCs w:val="24"/>
              </w:rPr>
              <w:t>0</w:t>
            </w:r>
            <w:r>
              <w:rPr>
                <w:rFonts w:ascii="Times New Roman" w:hAnsi="Times New Roman"/>
                <w:szCs w:val="24"/>
              </w:rPr>
              <w:t>dB（A）</w:t>
            </w:r>
            <w:r>
              <w:rPr>
                <w:rFonts w:hint="eastAsia" w:ascii="Times New Roman" w:hAnsi="Times New Roman"/>
                <w:szCs w:val="24"/>
                <w:lang w:eastAsia="zh-CN"/>
              </w:rPr>
              <w:t>，</w:t>
            </w:r>
            <w:r>
              <w:rPr>
                <w:rFonts w:ascii="Times New Roman" w:hAnsi="Times New Roman"/>
              </w:rPr>
              <w:t>可使项目</w:t>
            </w:r>
            <w:r>
              <w:rPr>
                <w:rFonts w:hint="eastAsia" w:ascii="Times New Roman" w:hAnsi="Times New Roman"/>
                <w:lang w:val="en-US" w:eastAsia="zh-CN"/>
              </w:rPr>
              <w:t>四周</w:t>
            </w:r>
            <w:r>
              <w:rPr>
                <w:rFonts w:ascii="Times New Roman" w:hAnsi="Times New Roman"/>
              </w:rPr>
              <w:t>厂界噪声排放符合《工业企业厂界环境噪声排放标准》（GB12348-2008）表1中</w:t>
            </w:r>
            <w:r>
              <w:rPr>
                <w:rFonts w:hint="eastAsia" w:ascii="Times New Roman" w:hAnsi="Times New Roman"/>
              </w:rPr>
              <w:t>2</w:t>
            </w:r>
            <w:r>
              <w:rPr>
                <w:rFonts w:ascii="Times New Roman" w:hAnsi="Times New Roman"/>
              </w:rPr>
              <w:t>类功能区对应标准限值</w:t>
            </w:r>
            <w:r>
              <w:rPr>
                <w:rFonts w:hint="eastAsia" w:ascii="Times New Roman" w:hAnsi="Times New Roman"/>
              </w:rPr>
              <w:t>，</w:t>
            </w:r>
            <w:r>
              <w:rPr>
                <w:rFonts w:ascii="Times New Roman" w:hAnsi="Times New Roman"/>
              </w:rPr>
              <w:t>可达标排放。</w:t>
            </w:r>
          </w:p>
          <w:p w14:paraId="523B5BF1">
            <w:pPr>
              <w:spacing w:line="480" w:lineRule="exact"/>
              <w:ind w:firstLine="480" w:firstLineChars="200"/>
            </w:pPr>
            <w:r>
              <w:t>因此，建设项目噪声防治措施可行，厂界噪声可以达标，项目建成运营后对周边的声环境影响很小，不会产生扰民现象。</w:t>
            </w:r>
          </w:p>
          <w:p w14:paraId="55FAB793">
            <w:pPr>
              <w:spacing w:line="480" w:lineRule="exact"/>
              <w:ind w:firstLine="482" w:firstLineChars="200"/>
              <w:rPr>
                <w:b/>
              </w:rPr>
            </w:pPr>
            <w:r>
              <w:rPr>
                <w:rFonts w:hint="eastAsia"/>
                <w:b/>
              </w:rPr>
              <w:t>3.4</w:t>
            </w:r>
            <w:r>
              <w:rPr>
                <w:b/>
              </w:rPr>
              <w:t>噪声</w:t>
            </w:r>
            <w:r>
              <w:rPr>
                <w:rFonts w:hint="eastAsia"/>
                <w:b/>
              </w:rPr>
              <w:t>监测计划</w:t>
            </w:r>
          </w:p>
          <w:p w14:paraId="0679C8C0">
            <w:pPr>
              <w:spacing w:line="480" w:lineRule="exact"/>
              <w:ind w:firstLine="480" w:firstLineChars="200"/>
            </w:pPr>
            <w:r>
              <w:t>监测点位：厂界四周布设4个点位；</w:t>
            </w:r>
          </w:p>
          <w:p w14:paraId="1CAB4CAD">
            <w:pPr>
              <w:spacing w:line="480" w:lineRule="exact"/>
              <w:ind w:firstLine="480" w:firstLineChars="200"/>
            </w:pPr>
            <w:r>
              <w:t>监测频次：</w:t>
            </w:r>
            <w:r>
              <w:rPr>
                <w:rFonts w:hint="default" w:ascii="Times New Roman" w:hAnsi="Times New Roman" w:cs="Times New Roman"/>
              </w:rPr>
              <w:t>《排污单位自行监测技术指南</w:t>
            </w:r>
            <w:r>
              <w:rPr>
                <w:rFonts w:hint="eastAsia" w:ascii="Times New Roman" w:hAnsi="Times New Roman" w:cs="Times New Roman"/>
                <w:lang w:val="en-US" w:eastAsia="zh-CN"/>
              </w:rPr>
              <w:t xml:space="preserve"> </w:t>
            </w:r>
            <w:r>
              <w:rPr>
                <w:rFonts w:hint="default" w:ascii="Times New Roman" w:hAnsi="Times New Roman" w:cs="Times New Roman"/>
              </w:rPr>
              <w:t>金属铸造工业》（HJ1251</w:t>
            </w:r>
            <w:r>
              <w:rPr>
                <w:rFonts w:hint="eastAsia" w:ascii="Times New Roman" w:hAnsi="Times New Roman" w:cs="Times New Roman"/>
                <w:lang w:val="en-US" w:eastAsia="zh-CN"/>
              </w:rPr>
              <w:t>-</w:t>
            </w:r>
            <w:r>
              <w:rPr>
                <w:rFonts w:hint="default" w:ascii="Times New Roman" w:hAnsi="Times New Roman" w:cs="Times New Roman"/>
              </w:rPr>
              <w:t>2022）</w:t>
            </w:r>
            <w:r>
              <w:rPr>
                <w:rFonts w:ascii="Times New Roman" w:hAnsi="Times New Roman" w:cs="Times New Roman"/>
              </w:rPr>
              <w:t>要求每季度监测一</w:t>
            </w:r>
            <w:r>
              <w:t>次。</w:t>
            </w:r>
          </w:p>
          <w:p w14:paraId="7F248A79">
            <w:pPr>
              <w:spacing w:line="480" w:lineRule="exact"/>
              <w:ind w:firstLine="480" w:firstLineChars="200"/>
              <w:rPr>
                <w:rFonts w:hint="default" w:eastAsia="仿宋"/>
                <w:lang w:val="en-US" w:eastAsia="zh-CN"/>
              </w:rPr>
            </w:pPr>
            <w:r>
              <w:t>监测因子：</w:t>
            </w:r>
            <w:r>
              <w:rPr>
                <w:bCs/>
              </w:rPr>
              <w:t>厂界噪声</w:t>
            </w:r>
            <w:r>
              <w:t>昼间</w:t>
            </w:r>
            <w:r>
              <w:rPr>
                <w:rFonts w:hint="eastAsia"/>
              </w:rPr>
              <w:t>、夜间</w:t>
            </w:r>
            <w:r>
              <w:rPr>
                <w:bCs/>
              </w:rPr>
              <w:t>等效连续A声级</w:t>
            </w:r>
            <w:r>
              <w:t>Leq（A）。</w:t>
            </w:r>
            <w:r>
              <w:rPr>
                <w:rFonts w:hint="eastAsia"/>
                <w:lang w:val="en-US" w:eastAsia="zh-CN"/>
              </w:rPr>
              <w:t>夜间有频发、偶发噪声影响时，同时监测频发、偶发最大声级。</w:t>
            </w:r>
          </w:p>
          <w:p w14:paraId="2A62E415">
            <w:pPr>
              <w:spacing w:line="480" w:lineRule="exact"/>
              <w:ind w:firstLine="480" w:firstLineChars="200"/>
            </w:pPr>
            <w:r>
              <w:t>噪声监测位置、监测因子、频率等详见表</w:t>
            </w:r>
            <w:r>
              <w:rPr>
                <w:rFonts w:hint="eastAsia"/>
              </w:rPr>
              <w:t>4-</w:t>
            </w:r>
            <w:r>
              <w:rPr>
                <w:rFonts w:hint="eastAsia"/>
                <w:lang w:val="en-US" w:eastAsia="zh-CN"/>
              </w:rPr>
              <w:t>22</w:t>
            </w:r>
            <w:r>
              <w:rPr>
                <w:rFonts w:hint="eastAsia"/>
              </w:rPr>
              <w:t>。</w:t>
            </w:r>
          </w:p>
          <w:p w14:paraId="21E6C9D5">
            <w:pPr>
              <w:spacing w:line="240" w:lineRule="auto"/>
              <w:jc w:val="center"/>
              <w:rPr>
                <w:b/>
                <w:bCs/>
                <w:sz w:val="21"/>
                <w:szCs w:val="21"/>
              </w:rPr>
            </w:pPr>
            <w:r>
              <w:rPr>
                <w:rFonts w:hint="eastAsia"/>
                <w:b/>
                <w:bCs/>
                <w:sz w:val="21"/>
                <w:szCs w:val="21"/>
              </w:rPr>
              <w:t>表4-</w:t>
            </w:r>
            <w:r>
              <w:rPr>
                <w:rFonts w:hint="eastAsia"/>
                <w:b/>
                <w:bCs/>
                <w:sz w:val="21"/>
                <w:szCs w:val="21"/>
                <w:lang w:val="en-US" w:eastAsia="zh-CN"/>
              </w:rPr>
              <w:t>22</w:t>
            </w:r>
            <w:r>
              <w:rPr>
                <w:rFonts w:hint="eastAsia"/>
                <w:b/>
                <w:bCs/>
                <w:sz w:val="21"/>
                <w:szCs w:val="21"/>
              </w:rPr>
              <w:t xml:space="preserve">  项目噪声监测计划一览表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057"/>
              <w:gridCol w:w="1735"/>
              <w:gridCol w:w="1101"/>
              <w:gridCol w:w="6201"/>
            </w:tblGrid>
            <w:tr w14:paraId="4A9EC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vAlign w:val="center"/>
                </w:tcPr>
                <w:p w14:paraId="1C8525BC">
                  <w:pPr>
                    <w:pStyle w:val="2"/>
                    <w:spacing w:before="0" w:after="0" w:line="240" w:lineRule="auto"/>
                    <w:ind w:right="0"/>
                    <w:jc w:val="center"/>
                    <w:rPr>
                      <w:rFonts w:ascii="仿宋" w:hAnsi="仿宋" w:cs="仿宋"/>
                      <w:b/>
                      <w:bCs/>
                      <w:sz w:val="21"/>
                      <w:szCs w:val="21"/>
                    </w:rPr>
                  </w:pPr>
                  <w:r>
                    <w:rPr>
                      <w:rFonts w:hint="eastAsia" w:ascii="仿宋" w:hAnsi="仿宋" w:cs="仿宋"/>
                      <w:b/>
                      <w:bCs/>
                      <w:sz w:val="21"/>
                      <w:szCs w:val="21"/>
                    </w:rPr>
                    <w:t>编号</w:t>
                  </w:r>
                </w:p>
              </w:tc>
              <w:tc>
                <w:tcPr>
                  <w:tcW w:w="818" w:type="pct"/>
                  <w:tcBorders>
                    <w:tl2br w:val="nil"/>
                    <w:tr2bl w:val="nil"/>
                  </w:tcBorders>
                  <w:vAlign w:val="center"/>
                </w:tcPr>
                <w:p w14:paraId="64C1605C">
                  <w:pPr>
                    <w:pStyle w:val="2"/>
                    <w:spacing w:before="0" w:after="0" w:line="240" w:lineRule="auto"/>
                    <w:ind w:right="0"/>
                    <w:jc w:val="center"/>
                    <w:rPr>
                      <w:rFonts w:ascii="仿宋" w:hAnsi="仿宋" w:cs="仿宋"/>
                      <w:b/>
                      <w:bCs/>
                      <w:sz w:val="21"/>
                      <w:szCs w:val="21"/>
                    </w:rPr>
                  </w:pPr>
                  <w:r>
                    <w:rPr>
                      <w:rFonts w:hint="eastAsia" w:ascii="仿宋" w:hAnsi="仿宋" w:cs="仿宋"/>
                      <w:b/>
                      <w:bCs/>
                      <w:sz w:val="21"/>
                      <w:szCs w:val="21"/>
                    </w:rPr>
                    <w:t>监测点位</w:t>
                  </w:r>
                </w:p>
              </w:tc>
              <w:tc>
                <w:tcPr>
                  <w:tcW w:w="690" w:type="pct"/>
                  <w:tcBorders>
                    <w:tl2br w:val="nil"/>
                    <w:tr2bl w:val="nil"/>
                  </w:tcBorders>
                  <w:vAlign w:val="center"/>
                </w:tcPr>
                <w:p w14:paraId="46A82224">
                  <w:pPr>
                    <w:pStyle w:val="2"/>
                    <w:spacing w:before="0" w:after="0" w:line="240" w:lineRule="auto"/>
                    <w:ind w:right="0"/>
                    <w:jc w:val="center"/>
                    <w:rPr>
                      <w:rFonts w:ascii="仿宋" w:hAnsi="仿宋" w:cs="仿宋"/>
                      <w:b/>
                      <w:bCs/>
                      <w:sz w:val="21"/>
                      <w:szCs w:val="21"/>
                    </w:rPr>
                  </w:pPr>
                  <w:r>
                    <w:rPr>
                      <w:rFonts w:hint="eastAsia" w:ascii="仿宋" w:hAnsi="仿宋" w:cs="仿宋"/>
                      <w:b/>
                      <w:bCs/>
                      <w:sz w:val="21"/>
                      <w:szCs w:val="21"/>
                    </w:rPr>
                    <w:t>监测项目</w:t>
                  </w:r>
                </w:p>
              </w:tc>
              <w:tc>
                <w:tcPr>
                  <w:tcW w:w="438" w:type="pct"/>
                  <w:tcBorders>
                    <w:tl2br w:val="nil"/>
                    <w:tr2bl w:val="nil"/>
                  </w:tcBorders>
                  <w:vAlign w:val="center"/>
                </w:tcPr>
                <w:p w14:paraId="42008A73">
                  <w:pPr>
                    <w:pStyle w:val="2"/>
                    <w:spacing w:before="0" w:after="0" w:line="240" w:lineRule="auto"/>
                    <w:ind w:right="0"/>
                    <w:jc w:val="center"/>
                    <w:rPr>
                      <w:rFonts w:ascii="仿宋" w:hAnsi="仿宋" w:cs="仿宋"/>
                      <w:b/>
                      <w:bCs/>
                      <w:sz w:val="21"/>
                      <w:szCs w:val="21"/>
                    </w:rPr>
                  </w:pPr>
                  <w:r>
                    <w:rPr>
                      <w:rFonts w:hint="eastAsia" w:ascii="仿宋" w:hAnsi="仿宋" w:cs="仿宋"/>
                      <w:b/>
                      <w:bCs/>
                      <w:sz w:val="21"/>
                      <w:szCs w:val="21"/>
                    </w:rPr>
                    <w:t>监测频次</w:t>
                  </w:r>
                </w:p>
              </w:tc>
              <w:tc>
                <w:tcPr>
                  <w:tcW w:w="2466" w:type="pct"/>
                  <w:tcBorders>
                    <w:tl2br w:val="nil"/>
                    <w:tr2bl w:val="nil"/>
                  </w:tcBorders>
                  <w:vAlign w:val="center"/>
                </w:tcPr>
                <w:p w14:paraId="7A1AA860">
                  <w:pPr>
                    <w:pStyle w:val="2"/>
                    <w:spacing w:before="0" w:after="0" w:line="240" w:lineRule="auto"/>
                    <w:ind w:right="0"/>
                    <w:jc w:val="center"/>
                    <w:rPr>
                      <w:rFonts w:ascii="仿宋" w:hAnsi="仿宋" w:cs="仿宋"/>
                      <w:b/>
                      <w:bCs/>
                      <w:sz w:val="21"/>
                      <w:szCs w:val="21"/>
                    </w:rPr>
                  </w:pPr>
                  <w:r>
                    <w:rPr>
                      <w:rFonts w:hint="eastAsia" w:ascii="仿宋" w:hAnsi="仿宋" w:cs="仿宋"/>
                      <w:b/>
                      <w:bCs/>
                      <w:sz w:val="21"/>
                      <w:szCs w:val="21"/>
                    </w:rPr>
                    <w:t>执行标准</w:t>
                  </w:r>
                </w:p>
              </w:tc>
            </w:tr>
            <w:tr w14:paraId="7A918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l2br w:val="nil"/>
                    <w:tr2bl w:val="nil"/>
                  </w:tcBorders>
                </w:tcPr>
                <w:p w14:paraId="6812EFC8">
                  <w:pPr>
                    <w:spacing w:line="320" w:lineRule="exact"/>
                    <w:jc w:val="center"/>
                    <w:rPr>
                      <w:sz w:val="21"/>
                      <w:szCs w:val="21"/>
                    </w:rPr>
                  </w:pPr>
                  <w:r>
                    <w:rPr>
                      <w:rFonts w:hint="eastAsia"/>
                      <w:sz w:val="21"/>
                      <w:szCs w:val="21"/>
                    </w:rPr>
                    <w:t>N1</w:t>
                  </w:r>
                </w:p>
              </w:tc>
              <w:tc>
                <w:tcPr>
                  <w:tcW w:w="818" w:type="pct"/>
                  <w:tcBorders>
                    <w:tl2br w:val="nil"/>
                    <w:tr2bl w:val="nil"/>
                  </w:tcBorders>
                </w:tcPr>
                <w:p w14:paraId="268F3953">
                  <w:pPr>
                    <w:spacing w:line="320" w:lineRule="exact"/>
                    <w:jc w:val="center"/>
                    <w:rPr>
                      <w:sz w:val="21"/>
                      <w:szCs w:val="21"/>
                    </w:rPr>
                  </w:pPr>
                  <w:r>
                    <w:rPr>
                      <w:rFonts w:hint="eastAsia"/>
                      <w:sz w:val="21"/>
                      <w:szCs w:val="21"/>
                    </w:rPr>
                    <w:t>东厂界外1m</w:t>
                  </w:r>
                </w:p>
              </w:tc>
              <w:tc>
                <w:tcPr>
                  <w:tcW w:w="690" w:type="pct"/>
                  <w:vMerge w:val="restart"/>
                  <w:tcBorders>
                    <w:tl2br w:val="nil"/>
                    <w:tr2bl w:val="nil"/>
                  </w:tcBorders>
                  <w:vAlign w:val="center"/>
                </w:tcPr>
                <w:p w14:paraId="193A9AE0">
                  <w:pPr>
                    <w:spacing w:line="320" w:lineRule="exact"/>
                    <w:jc w:val="center"/>
                    <w:rPr>
                      <w:sz w:val="21"/>
                      <w:szCs w:val="21"/>
                    </w:rPr>
                  </w:pPr>
                  <w:r>
                    <w:rPr>
                      <w:sz w:val="21"/>
                      <w:szCs w:val="21"/>
                    </w:rPr>
                    <w:t>等效连续A声级</w:t>
                  </w:r>
                </w:p>
                <w:p w14:paraId="4F1D1007">
                  <w:pPr>
                    <w:spacing w:line="320" w:lineRule="exact"/>
                    <w:jc w:val="center"/>
                    <w:rPr>
                      <w:sz w:val="21"/>
                      <w:szCs w:val="21"/>
                    </w:rPr>
                  </w:pPr>
                  <w:r>
                    <w:rPr>
                      <w:rFonts w:hint="eastAsia"/>
                      <w:sz w:val="21"/>
                      <w:szCs w:val="21"/>
                    </w:rPr>
                    <w:t>（昼间</w:t>
                  </w:r>
                  <w:r>
                    <w:rPr>
                      <w:rFonts w:hint="eastAsia"/>
                      <w:sz w:val="21"/>
                      <w:szCs w:val="21"/>
                      <w:lang w:eastAsia="zh-CN"/>
                    </w:rPr>
                    <w:t>、</w:t>
                  </w:r>
                  <w:r>
                    <w:rPr>
                      <w:rFonts w:hint="eastAsia"/>
                      <w:sz w:val="21"/>
                      <w:szCs w:val="21"/>
                      <w:lang w:val="en-US" w:eastAsia="zh-CN"/>
                    </w:rPr>
                    <w:t>夜间</w:t>
                  </w:r>
                  <w:r>
                    <w:rPr>
                      <w:rFonts w:hint="eastAsia"/>
                      <w:sz w:val="21"/>
                      <w:szCs w:val="21"/>
                    </w:rPr>
                    <w:t>）</w:t>
                  </w:r>
                </w:p>
              </w:tc>
              <w:tc>
                <w:tcPr>
                  <w:tcW w:w="438" w:type="pct"/>
                  <w:vMerge w:val="restart"/>
                  <w:tcBorders>
                    <w:tl2br w:val="nil"/>
                    <w:tr2bl w:val="nil"/>
                  </w:tcBorders>
                  <w:vAlign w:val="center"/>
                </w:tcPr>
                <w:p w14:paraId="191AE72B">
                  <w:pPr>
                    <w:spacing w:line="320" w:lineRule="exact"/>
                    <w:jc w:val="center"/>
                    <w:rPr>
                      <w:sz w:val="21"/>
                      <w:szCs w:val="21"/>
                    </w:rPr>
                  </w:pPr>
                  <w:r>
                    <w:rPr>
                      <w:rFonts w:hint="eastAsia"/>
                      <w:sz w:val="21"/>
                      <w:szCs w:val="21"/>
                    </w:rPr>
                    <w:t>季度/</w:t>
                  </w:r>
                  <w:r>
                    <w:rPr>
                      <w:sz w:val="21"/>
                      <w:szCs w:val="21"/>
                    </w:rPr>
                    <w:t>次</w:t>
                  </w:r>
                </w:p>
              </w:tc>
              <w:tc>
                <w:tcPr>
                  <w:tcW w:w="2466" w:type="pct"/>
                  <w:vMerge w:val="restart"/>
                  <w:tcBorders>
                    <w:tl2br w:val="nil"/>
                    <w:tr2bl w:val="nil"/>
                  </w:tcBorders>
                  <w:vAlign w:val="center"/>
                </w:tcPr>
                <w:p w14:paraId="4F00BB92">
                  <w:pPr>
                    <w:spacing w:line="320" w:lineRule="exact"/>
                    <w:jc w:val="center"/>
                    <w:rPr>
                      <w:sz w:val="21"/>
                      <w:szCs w:val="21"/>
                    </w:rPr>
                  </w:pPr>
                  <w:r>
                    <w:rPr>
                      <w:sz w:val="21"/>
                      <w:szCs w:val="21"/>
                    </w:rPr>
                    <w:t>《工业企业厂界环境噪声排放标准》</w:t>
                  </w:r>
                  <w:r>
                    <w:rPr>
                      <w:rFonts w:hint="eastAsia" w:ascii="仿宋" w:hAnsi="仿宋" w:cs="仿宋"/>
                      <w:sz w:val="21"/>
                      <w:szCs w:val="21"/>
                      <w:lang w:eastAsia="zh-CN"/>
                    </w:rPr>
                    <w:t>（</w:t>
                  </w:r>
                  <w:r>
                    <w:rPr>
                      <w:sz w:val="21"/>
                      <w:szCs w:val="21"/>
                    </w:rPr>
                    <w:t>GB12348-2008</w:t>
                  </w:r>
                  <w:r>
                    <w:rPr>
                      <w:rFonts w:hint="eastAsia" w:ascii="仿宋" w:hAnsi="仿宋" w:cs="仿宋"/>
                      <w:sz w:val="21"/>
                      <w:szCs w:val="21"/>
                      <w:lang w:eastAsia="zh-CN"/>
                    </w:rPr>
                    <w:t>）</w:t>
                  </w:r>
                  <w:r>
                    <w:rPr>
                      <w:rFonts w:hint="eastAsia"/>
                      <w:sz w:val="21"/>
                      <w:szCs w:val="21"/>
                    </w:rPr>
                    <w:t>2类</w:t>
                  </w:r>
                  <w:r>
                    <w:rPr>
                      <w:sz w:val="21"/>
                      <w:szCs w:val="21"/>
                    </w:rPr>
                    <w:t>标准</w:t>
                  </w:r>
                </w:p>
              </w:tc>
            </w:tr>
            <w:tr w14:paraId="344C7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l2br w:val="nil"/>
                    <w:tr2bl w:val="nil"/>
                  </w:tcBorders>
                </w:tcPr>
                <w:p w14:paraId="43E7FA24">
                  <w:pPr>
                    <w:spacing w:line="320" w:lineRule="exact"/>
                    <w:jc w:val="center"/>
                    <w:rPr>
                      <w:sz w:val="21"/>
                      <w:szCs w:val="21"/>
                    </w:rPr>
                  </w:pPr>
                  <w:r>
                    <w:rPr>
                      <w:rFonts w:hint="eastAsia"/>
                      <w:sz w:val="21"/>
                      <w:szCs w:val="21"/>
                    </w:rPr>
                    <w:t>N2</w:t>
                  </w:r>
                </w:p>
              </w:tc>
              <w:tc>
                <w:tcPr>
                  <w:tcW w:w="818" w:type="pct"/>
                  <w:tcBorders>
                    <w:tl2br w:val="nil"/>
                    <w:tr2bl w:val="nil"/>
                  </w:tcBorders>
                </w:tcPr>
                <w:p w14:paraId="5E661ED7">
                  <w:pPr>
                    <w:spacing w:line="320" w:lineRule="exact"/>
                    <w:jc w:val="center"/>
                    <w:rPr>
                      <w:sz w:val="21"/>
                      <w:szCs w:val="21"/>
                    </w:rPr>
                  </w:pPr>
                  <w:r>
                    <w:rPr>
                      <w:rFonts w:hint="eastAsia"/>
                      <w:sz w:val="21"/>
                      <w:szCs w:val="21"/>
                    </w:rPr>
                    <w:t>南厂界外1m</w:t>
                  </w:r>
                </w:p>
              </w:tc>
              <w:tc>
                <w:tcPr>
                  <w:tcW w:w="690" w:type="pct"/>
                  <w:vMerge w:val="continue"/>
                  <w:tcBorders>
                    <w:tl2br w:val="nil"/>
                    <w:tr2bl w:val="nil"/>
                  </w:tcBorders>
                </w:tcPr>
                <w:p w14:paraId="67E592A1">
                  <w:pPr>
                    <w:pStyle w:val="2"/>
                    <w:spacing w:before="0" w:after="0" w:line="240" w:lineRule="auto"/>
                    <w:ind w:right="0"/>
                  </w:pPr>
                </w:p>
              </w:tc>
              <w:tc>
                <w:tcPr>
                  <w:tcW w:w="438" w:type="pct"/>
                  <w:vMerge w:val="continue"/>
                  <w:tcBorders>
                    <w:tl2br w:val="nil"/>
                    <w:tr2bl w:val="nil"/>
                  </w:tcBorders>
                  <w:vAlign w:val="center"/>
                </w:tcPr>
                <w:p w14:paraId="6EFCE5F5">
                  <w:pPr>
                    <w:pStyle w:val="2"/>
                    <w:spacing w:before="0" w:after="0" w:line="240" w:lineRule="auto"/>
                    <w:ind w:right="0"/>
                  </w:pPr>
                </w:p>
              </w:tc>
              <w:tc>
                <w:tcPr>
                  <w:tcW w:w="2466" w:type="pct"/>
                  <w:vMerge w:val="continue"/>
                  <w:tcBorders>
                    <w:tl2br w:val="nil"/>
                    <w:tr2bl w:val="nil"/>
                  </w:tcBorders>
                  <w:vAlign w:val="center"/>
                </w:tcPr>
                <w:p w14:paraId="179AC192">
                  <w:pPr>
                    <w:pStyle w:val="2"/>
                    <w:spacing w:before="0" w:after="0" w:line="240" w:lineRule="auto"/>
                    <w:ind w:right="0"/>
                  </w:pPr>
                </w:p>
              </w:tc>
            </w:tr>
            <w:tr w14:paraId="2C33A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tcPr>
                <w:p w14:paraId="5BA378DD">
                  <w:pPr>
                    <w:spacing w:line="320" w:lineRule="exact"/>
                    <w:jc w:val="center"/>
                    <w:rPr>
                      <w:sz w:val="21"/>
                      <w:szCs w:val="21"/>
                    </w:rPr>
                  </w:pPr>
                  <w:r>
                    <w:rPr>
                      <w:rFonts w:hint="eastAsia"/>
                      <w:sz w:val="21"/>
                      <w:szCs w:val="21"/>
                    </w:rPr>
                    <w:t>N3</w:t>
                  </w:r>
                </w:p>
              </w:tc>
              <w:tc>
                <w:tcPr>
                  <w:tcW w:w="818" w:type="pct"/>
                  <w:tcBorders>
                    <w:tl2br w:val="nil"/>
                    <w:tr2bl w:val="nil"/>
                  </w:tcBorders>
                </w:tcPr>
                <w:p w14:paraId="2A0B96F6">
                  <w:pPr>
                    <w:spacing w:line="320" w:lineRule="exact"/>
                    <w:jc w:val="center"/>
                    <w:rPr>
                      <w:sz w:val="21"/>
                      <w:szCs w:val="21"/>
                    </w:rPr>
                  </w:pPr>
                  <w:r>
                    <w:rPr>
                      <w:rFonts w:hint="eastAsia"/>
                      <w:sz w:val="21"/>
                      <w:szCs w:val="21"/>
                    </w:rPr>
                    <w:t>西厂界外1m</w:t>
                  </w:r>
                </w:p>
              </w:tc>
              <w:tc>
                <w:tcPr>
                  <w:tcW w:w="690" w:type="pct"/>
                  <w:vMerge w:val="continue"/>
                  <w:tcBorders>
                    <w:tl2br w:val="nil"/>
                    <w:tr2bl w:val="nil"/>
                  </w:tcBorders>
                </w:tcPr>
                <w:p w14:paraId="4A8DD507">
                  <w:pPr>
                    <w:pStyle w:val="2"/>
                    <w:spacing w:before="0" w:after="0" w:line="240" w:lineRule="auto"/>
                    <w:ind w:right="0"/>
                  </w:pPr>
                </w:p>
              </w:tc>
              <w:tc>
                <w:tcPr>
                  <w:tcW w:w="438" w:type="pct"/>
                  <w:vMerge w:val="continue"/>
                  <w:tcBorders>
                    <w:tl2br w:val="nil"/>
                    <w:tr2bl w:val="nil"/>
                  </w:tcBorders>
                  <w:vAlign w:val="center"/>
                </w:tcPr>
                <w:p w14:paraId="5F67F062">
                  <w:pPr>
                    <w:pStyle w:val="2"/>
                    <w:spacing w:before="0" w:after="0" w:line="240" w:lineRule="auto"/>
                    <w:ind w:right="0"/>
                  </w:pPr>
                </w:p>
              </w:tc>
              <w:tc>
                <w:tcPr>
                  <w:tcW w:w="2466" w:type="pct"/>
                  <w:vMerge w:val="continue"/>
                  <w:tcBorders>
                    <w:tl2br w:val="nil"/>
                    <w:tr2bl w:val="nil"/>
                  </w:tcBorders>
                  <w:vAlign w:val="center"/>
                </w:tcPr>
                <w:p w14:paraId="4892D784">
                  <w:pPr>
                    <w:pStyle w:val="2"/>
                    <w:spacing w:before="0" w:after="0" w:line="240" w:lineRule="auto"/>
                    <w:ind w:right="0"/>
                  </w:pPr>
                </w:p>
              </w:tc>
            </w:tr>
            <w:tr w14:paraId="48F7B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vAlign w:val="center"/>
                </w:tcPr>
                <w:p w14:paraId="1032C4DE">
                  <w:pPr>
                    <w:spacing w:line="320" w:lineRule="exact"/>
                    <w:jc w:val="center"/>
                    <w:rPr>
                      <w:sz w:val="21"/>
                      <w:szCs w:val="21"/>
                    </w:rPr>
                  </w:pPr>
                  <w:r>
                    <w:rPr>
                      <w:rFonts w:hint="eastAsia"/>
                      <w:sz w:val="21"/>
                      <w:szCs w:val="21"/>
                    </w:rPr>
                    <w:t>N4</w:t>
                  </w:r>
                </w:p>
              </w:tc>
              <w:tc>
                <w:tcPr>
                  <w:tcW w:w="818" w:type="pct"/>
                  <w:tcBorders>
                    <w:tl2br w:val="nil"/>
                    <w:tr2bl w:val="nil"/>
                  </w:tcBorders>
                  <w:vAlign w:val="center"/>
                </w:tcPr>
                <w:p w14:paraId="0E08C2C8">
                  <w:pPr>
                    <w:spacing w:line="320" w:lineRule="exact"/>
                    <w:jc w:val="center"/>
                    <w:rPr>
                      <w:sz w:val="21"/>
                      <w:szCs w:val="21"/>
                    </w:rPr>
                  </w:pPr>
                  <w:r>
                    <w:rPr>
                      <w:rFonts w:hint="eastAsia"/>
                      <w:sz w:val="21"/>
                      <w:szCs w:val="21"/>
                    </w:rPr>
                    <w:t>北厂界外1m</w:t>
                  </w:r>
                </w:p>
              </w:tc>
              <w:tc>
                <w:tcPr>
                  <w:tcW w:w="690" w:type="pct"/>
                  <w:vMerge w:val="continue"/>
                  <w:tcBorders>
                    <w:tl2br w:val="nil"/>
                    <w:tr2bl w:val="nil"/>
                  </w:tcBorders>
                </w:tcPr>
                <w:p w14:paraId="75E52AC3">
                  <w:pPr>
                    <w:pStyle w:val="2"/>
                    <w:spacing w:before="0" w:after="0" w:line="240" w:lineRule="auto"/>
                    <w:ind w:right="0"/>
                  </w:pPr>
                </w:p>
              </w:tc>
              <w:tc>
                <w:tcPr>
                  <w:tcW w:w="438" w:type="pct"/>
                  <w:vMerge w:val="continue"/>
                  <w:tcBorders>
                    <w:tl2br w:val="nil"/>
                    <w:tr2bl w:val="nil"/>
                  </w:tcBorders>
                  <w:vAlign w:val="center"/>
                </w:tcPr>
                <w:p w14:paraId="27EDA6C4">
                  <w:pPr>
                    <w:pStyle w:val="2"/>
                    <w:spacing w:before="0" w:after="0" w:line="240" w:lineRule="auto"/>
                    <w:ind w:right="0"/>
                  </w:pPr>
                </w:p>
              </w:tc>
              <w:tc>
                <w:tcPr>
                  <w:tcW w:w="2466" w:type="pct"/>
                  <w:vMerge w:val="continue"/>
                  <w:tcBorders>
                    <w:tl2br w:val="nil"/>
                    <w:tr2bl w:val="nil"/>
                  </w:tcBorders>
                  <w:vAlign w:val="center"/>
                </w:tcPr>
                <w:p w14:paraId="7ABEFD1A">
                  <w:pPr>
                    <w:spacing w:line="320" w:lineRule="exact"/>
                    <w:jc w:val="center"/>
                    <w:rPr>
                      <w:sz w:val="21"/>
                      <w:szCs w:val="21"/>
                    </w:rPr>
                  </w:pPr>
                </w:p>
              </w:tc>
            </w:tr>
          </w:tbl>
          <w:p w14:paraId="69E352F7">
            <w:pPr>
              <w:spacing w:line="480" w:lineRule="exact"/>
              <w:ind w:firstLine="482" w:firstLineChars="200"/>
              <w:rPr>
                <w:b/>
                <w:bCs/>
              </w:rPr>
            </w:pPr>
            <w:r>
              <w:rPr>
                <w:b/>
                <w:bCs/>
              </w:rPr>
              <w:t>4、固体废物</w:t>
            </w:r>
          </w:p>
          <w:p w14:paraId="79BEA8D3">
            <w:pPr>
              <w:spacing w:line="480" w:lineRule="exact"/>
              <w:ind w:firstLine="480" w:firstLineChars="200"/>
              <w:rPr>
                <w:bCs/>
                <w:color w:val="auto"/>
              </w:rPr>
            </w:pPr>
            <w:r>
              <w:rPr>
                <w:bCs/>
                <w:color w:val="auto"/>
              </w:rPr>
              <w:t>本项目固体废物主要为边角料</w:t>
            </w:r>
            <w:r>
              <w:rPr>
                <w:rFonts w:hint="eastAsia"/>
                <w:bCs/>
                <w:color w:val="auto"/>
              </w:rPr>
              <w:t>、</w:t>
            </w:r>
            <w:r>
              <w:rPr>
                <w:rFonts w:hint="eastAsia"/>
                <w:bCs/>
                <w:color w:val="auto"/>
                <w:lang w:val="en-US" w:eastAsia="zh-CN"/>
              </w:rPr>
              <w:t>不合格品、炉渣</w:t>
            </w:r>
            <w:r>
              <w:rPr>
                <w:rFonts w:hint="eastAsia"/>
                <w:bCs/>
                <w:color w:val="auto"/>
              </w:rPr>
              <w:t>、废</w:t>
            </w:r>
            <w:r>
              <w:rPr>
                <w:rFonts w:hint="eastAsia"/>
                <w:bCs/>
                <w:color w:val="auto"/>
                <w:lang w:val="en-US" w:eastAsia="zh-CN"/>
              </w:rPr>
              <w:t>活性炭</w:t>
            </w:r>
            <w:r>
              <w:rPr>
                <w:rFonts w:hint="eastAsia"/>
                <w:bCs/>
                <w:color w:val="auto"/>
                <w:lang w:eastAsia="zh-CN"/>
              </w:rPr>
              <w:t>、</w:t>
            </w:r>
            <w:r>
              <w:rPr>
                <w:rFonts w:hint="eastAsia"/>
                <w:bCs/>
                <w:color w:val="auto"/>
                <w:lang w:val="en-US" w:eastAsia="zh-CN"/>
              </w:rPr>
              <w:t>喷淋废液、废包装桶、废机油和含油劳保用品</w:t>
            </w:r>
            <w:r>
              <w:rPr>
                <w:bCs/>
                <w:color w:val="auto"/>
              </w:rPr>
              <w:t>。</w:t>
            </w:r>
          </w:p>
          <w:p w14:paraId="6F898541">
            <w:pPr>
              <w:spacing w:line="480" w:lineRule="exact"/>
              <w:ind w:firstLine="482" w:firstLineChars="200"/>
              <w:rPr>
                <w:b/>
                <w:color w:val="auto"/>
              </w:rPr>
            </w:pPr>
            <w:r>
              <w:rPr>
                <w:b/>
                <w:color w:val="auto"/>
              </w:rPr>
              <w:t>4.1一般固废</w:t>
            </w:r>
          </w:p>
          <w:p w14:paraId="6B06E6BF">
            <w:pPr>
              <w:spacing w:line="480" w:lineRule="exact"/>
              <w:ind w:firstLine="482" w:firstLineChars="200"/>
              <w:rPr>
                <w:rFonts w:hint="eastAsia"/>
                <w:bCs/>
                <w:color w:val="auto"/>
              </w:rPr>
            </w:pPr>
            <w:r>
              <w:rPr>
                <w:b/>
                <w:color w:val="auto"/>
              </w:rPr>
              <w:t>边角料：</w:t>
            </w:r>
            <w:r>
              <w:rPr>
                <w:bCs/>
                <w:color w:val="auto"/>
              </w:rPr>
              <w:t>本项目</w:t>
            </w:r>
            <w:r>
              <w:rPr>
                <w:rFonts w:hint="eastAsia" w:cs="Times New Roman"/>
                <w:b w:val="0"/>
                <w:bCs/>
                <w:color w:val="auto"/>
                <w:sz w:val="24"/>
                <w:szCs w:val="24"/>
                <w:highlight w:val="none"/>
                <w:lang w:val="en-US" w:eastAsia="zh-CN"/>
              </w:rPr>
              <w:t>机加工</w:t>
            </w:r>
            <w:r>
              <w:rPr>
                <w:rFonts w:hint="eastAsia" w:eastAsia="仿宋" w:cs="Times New Roman"/>
                <w:b w:val="0"/>
                <w:bCs/>
                <w:color w:val="auto"/>
                <w:sz w:val="24"/>
                <w:szCs w:val="24"/>
                <w:highlight w:val="none"/>
                <w:lang w:val="en-US" w:eastAsia="zh-CN"/>
              </w:rPr>
              <w:t>过程中有边角料产生</w:t>
            </w:r>
            <w:r>
              <w:rPr>
                <w:bCs/>
                <w:color w:val="auto"/>
              </w:rPr>
              <w:t>，产生量约为</w:t>
            </w:r>
            <w:r>
              <w:rPr>
                <w:rFonts w:hint="eastAsia"/>
                <w:bCs/>
                <w:color w:val="auto"/>
                <w:lang w:val="en-US" w:eastAsia="zh-CN"/>
              </w:rPr>
              <w:t>50</w:t>
            </w:r>
            <w:r>
              <w:rPr>
                <w:bCs/>
                <w:color w:val="auto"/>
              </w:rPr>
              <w:t>t/a，收集后</w:t>
            </w:r>
            <w:r>
              <w:rPr>
                <w:rFonts w:hint="eastAsia"/>
                <w:bCs/>
                <w:color w:val="auto"/>
                <w:lang w:val="en-US" w:eastAsia="zh-CN"/>
              </w:rPr>
              <w:t>可回用于熔化工段</w:t>
            </w:r>
            <w:r>
              <w:rPr>
                <w:rFonts w:hint="eastAsia"/>
                <w:bCs/>
                <w:color w:val="auto"/>
              </w:rPr>
              <w:t>。</w:t>
            </w:r>
          </w:p>
          <w:p w14:paraId="61DBEF84">
            <w:pPr>
              <w:spacing w:line="480" w:lineRule="exact"/>
              <w:ind w:firstLine="482" w:firstLineChars="200"/>
              <w:rPr>
                <w:rFonts w:hint="default" w:ascii="Times New Roman" w:hAnsi="Times New Roman" w:eastAsia="仿宋" w:cs="Times New Roman"/>
                <w:b/>
                <w:color w:val="auto"/>
                <w:lang w:val="en-US" w:eastAsia="zh-CN"/>
              </w:rPr>
            </w:pPr>
            <w:r>
              <w:rPr>
                <w:rFonts w:hint="eastAsia" w:ascii="Times New Roman" w:hAnsi="Times New Roman" w:cs="Times New Roman"/>
                <w:b/>
                <w:color w:val="auto"/>
                <w:lang w:val="en-US" w:eastAsia="zh-CN"/>
              </w:rPr>
              <w:t>不合格品：</w:t>
            </w:r>
            <w:r>
              <w:rPr>
                <w:bCs/>
                <w:color w:val="auto"/>
              </w:rPr>
              <w:t>本项目</w:t>
            </w:r>
            <w:r>
              <w:rPr>
                <w:rFonts w:hint="eastAsia"/>
                <w:bCs/>
                <w:color w:val="auto"/>
                <w:lang w:val="en-US" w:eastAsia="zh-CN"/>
              </w:rPr>
              <w:t>检验工段会产生不合格品</w:t>
            </w:r>
            <w:r>
              <w:rPr>
                <w:bCs/>
                <w:color w:val="auto"/>
              </w:rPr>
              <w:t>，产生量约为</w:t>
            </w:r>
            <w:r>
              <w:rPr>
                <w:rFonts w:hint="eastAsia"/>
                <w:bCs/>
                <w:color w:val="auto"/>
                <w:lang w:val="en-US" w:eastAsia="zh-CN"/>
              </w:rPr>
              <w:t>10</w:t>
            </w:r>
            <w:r>
              <w:rPr>
                <w:bCs/>
                <w:color w:val="auto"/>
              </w:rPr>
              <w:t>t/a，收集后</w:t>
            </w:r>
            <w:r>
              <w:rPr>
                <w:rFonts w:hint="eastAsia"/>
                <w:bCs/>
                <w:color w:val="auto"/>
                <w:lang w:val="en-US" w:eastAsia="zh-CN"/>
              </w:rPr>
              <w:t>可回用于熔化工段</w:t>
            </w:r>
            <w:r>
              <w:rPr>
                <w:rFonts w:hint="eastAsia"/>
                <w:bCs/>
                <w:color w:val="auto"/>
              </w:rPr>
              <w:t>。</w:t>
            </w:r>
          </w:p>
          <w:p w14:paraId="6FE1D569">
            <w:pPr>
              <w:spacing w:line="480" w:lineRule="exact"/>
              <w:ind w:firstLine="482" w:firstLineChars="200"/>
              <w:rPr>
                <w:b/>
                <w:bCs/>
                <w:color w:val="auto"/>
              </w:rPr>
            </w:pPr>
            <w:r>
              <w:rPr>
                <w:b/>
                <w:bCs/>
                <w:color w:val="auto"/>
              </w:rPr>
              <w:t>4.2危险固废</w:t>
            </w:r>
          </w:p>
          <w:p w14:paraId="15EA6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val="0"/>
                <w:bCs/>
                <w:color w:val="auto"/>
                <w:kern w:val="2"/>
                <w:sz w:val="24"/>
                <w:szCs w:val="24"/>
                <w:highlight w:val="none"/>
                <w:lang w:val="en-US" w:eastAsia="zh-CN" w:bidi="ar-SA"/>
              </w:rPr>
            </w:pPr>
            <w:r>
              <w:rPr>
                <w:rFonts w:hint="default" w:ascii="Times New Roman" w:hAnsi="Times New Roman" w:eastAsia="仿宋" w:cs="Times New Roman"/>
                <w:b/>
                <w:bCs w:val="0"/>
                <w:color w:val="auto"/>
                <w:kern w:val="2"/>
                <w:sz w:val="24"/>
                <w:szCs w:val="24"/>
                <w:highlight w:val="none"/>
                <w:lang w:val="en-US" w:eastAsia="zh-CN" w:bidi="ar-SA"/>
              </w:rPr>
              <w:t>废活性炭：</w:t>
            </w:r>
            <w:r>
              <w:rPr>
                <w:rFonts w:hint="eastAsia" w:ascii="Times New Roman" w:hAnsi="Times New Roman" w:cs="Times New Roman"/>
                <w:b w:val="0"/>
                <w:bCs/>
                <w:color w:val="auto"/>
                <w:kern w:val="2"/>
                <w:sz w:val="24"/>
                <w:szCs w:val="24"/>
                <w:highlight w:val="none"/>
                <w:lang w:val="en-US" w:eastAsia="zh-CN" w:bidi="ar-SA"/>
              </w:rPr>
              <w:t>本项目</w:t>
            </w:r>
            <w:r>
              <w:rPr>
                <w:rFonts w:hint="eastAsia" w:cs="Times New Roman"/>
                <w:b w:val="0"/>
                <w:bCs/>
                <w:color w:val="auto"/>
                <w:kern w:val="2"/>
                <w:sz w:val="24"/>
                <w:szCs w:val="24"/>
                <w:highlight w:val="none"/>
                <w:lang w:val="en-US" w:eastAsia="zh-CN" w:bidi="ar-SA"/>
              </w:rPr>
              <w:t>压铸</w:t>
            </w:r>
            <w:r>
              <w:rPr>
                <w:rFonts w:hint="default" w:ascii="Times New Roman" w:hAnsi="Times New Roman" w:eastAsia="仿宋" w:cs="Times New Roman"/>
                <w:b w:val="0"/>
                <w:bCs/>
                <w:color w:val="auto"/>
                <w:kern w:val="2"/>
                <w:sz w:val="24"/>
                <w:szCs w:val="24"/>
                <w:highlight w:val="none"/>
                <w:lang w:val="en-US" w:eastAsia="zh-CN" w:bidi="ar-SA"/>
              </w:rPr>
              <w:t>工段产生的有机废气</w:t>
            </w:r>
            <w:r>
              <w:rPr>
                <w:rFonts w:hint="eastAsia" w:cs="Times New Roman"/>
                <w:b w:val="0"/>
                <w:bCs/>
                <w:color w:val="auto"/>
                <w:kern w:val="2"/>
                <w:sz w:val="24"/>
                <w:szCs w:val="24"/>
                <w:highlight w:val="none"/>
                <w:lang w:val="en-US" w:eastAsia="zh-CN" w:bidi="ar-SA"/>
              </w:rPr>
              <w:t>经一套水喷淋+干式过滤+二级活性炭吸附装置</w:t>
            </w:r>
            <w:r>
              <w:rPr>
                <w:rFonts w:hint="default" w:ascii="Times New Roman" w:hAnsi="Times New Roman" w:eastAsia="仿宋" w:cs="Times New Roman"/>
                <w:b w:val="0"/>
                <w:bCs/>
                <w:color w:val="auto"/>
                <w:kern w:val="2"/>
                <w:sz w:val="24"/>
                <w:szCs w:val="24"/>
                <w:highlight w:val="none"/>
                <w:lang w:val="en-US" w:eastAsia="zh-CN" w:bidi="ar-SA"/>
              </w:rPr>
              <w:t>处理后有组织排放</w:t>
            </w:r>
            <w:r>
              <w:rPr>
                <w:rFonts w:hint="eastAsia" w:ascii="Times New Roman" w:hAnsi="Times New Roman" w:cs="Times New Roman"/>
                <w:b w:val="0"/>
                <w:bCs/>
                <w:color w:val="auto"/>
                <w:kern w:val="2"/>
                <w:sz w:val="24"/>
                <w:szCs w:val="24"/>
                <w:highlight w:val="none"/>
                <w:lang w:val="en-US" w:eastAsia="zh-CN" w:bidi="ar-SA"/>
              </w:rPr>
              <w:t>；</w:t>
            </w:r>
            <w:r>
              <w:rPr>
                <w:rFonts w:hint="default" w:eastAsia="仿宋"/>
                <w:sz w:val="24"/>
                <w:szCs w:val="32"/>
              </w:rPr>
              <w:t>涉活性炭吸附排污单位的排污许可管理要求，参照以下公式计算活性炭更换周期</w:t>
            </w:r>
            <w:r>
              <w:rPr>
                <w:rFonts w:hint="eastAsia" w:ascii="Times New Roman" w:hAnsi="Times New Roman" w:eastAsia="仿宋" w:cs="Times New Roman"/>
                <w:b w:val="0"/>
                <w:bCs/>
                <w:color w:val="auto"/>
                <w:kern w:val="2"/>
                <w:sz w:val="24"/>
                <w:szCs w:val="24"/>
                <w:highlight w:val="none"/>
                <w:lang w:val="en-US" w:eastAsia="zh-CN" w:bidi="ar-SA"/>
              </w:rPr>
              <w:t>：</w:t>
            </w:r>
          </w:p>
          <w:p w14:paraId="1BFFC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 w:cs="Times New Roman"/>
                <w:color w:val="auto"/>
                <w:kern w:val="0"/>
                <w:sz w:val="24"/>
                <w:szCs w:val="24"/>
                <w:lang w:val="en-US" w:eastAsia="zh-CN" w:bidi="ar-SA"/>
              </w:rPr>
            </w:pPr>
            <w:r>
              <w:rPr>
                <w:rFonts w:hint="default" w:eastAsia="仿宋" w:cs="Times New Roman"/>
                <w:color w:val="auto"/>
                <w:sz w:val="24"/>
                <w:szCs w:val="32"/>
              </w:rPr>
              <w:t>T=m</w:t>
            </w:r>
            <w:r>
              <w:rPr>
                <w:rFonts w:hint="default" w:ascii="Times New Roman" w:hAnsi="Times New Roman" w:eastAsia="仿宋" w:cs="Times New Roman"/>
                <w:color w:val="auto"/>
                <w:kern w:val="0"/>
                <w:sz w:val="24"/>
                <w:szCs w:val="24"/>
                <w:lang w:val="en-US" w:eastAsia="zh-CN" w:bidi="ar-SA"/>
              </w:rPr>
              <w:t>×s÷（c×10</w:t>
            </w:r>
            <w:r>
              <w:rPr>
                <w:rFonts w:hint="default" w:ascii="Times New Roman" w:hAnsi="Times New Roman" w:eastAsia="仿宋" w:cs="Times New Roman"/>
                <w:color w:val="auto"/>
                <w:kern w:val="0"/>
                <w:sz w:val="24"/>
                <w:szCs w:val="24"/>
                <w:vertAlign w:val="superscript"/>
                <w:lang w:val="en-US" w:eastAsia="zh-CN" w:bidi="ar-SA"/>
              </w:rPr>
              <w:t>-6</w:t>
            </w:r>
            <w:r>
              <w:rPr>
                <w:rFonts w:hint="default" w:ascii="Times New Roman" w:hAnsi="Times New Roman" w:eastAsia="仿宋" w:cs="Times New Roman"/>
                <w:color w:val="auto"/>
                <w:kern w:val="0"/>
                <w:sz w:val="24"/>
                <w:szCs w:val="24"/>
                <w:lang w:val="en-US" w:eastAsia="zh-CN" w:bidi="ar-SA"/>
              </w:rPr>
              <w:t>×Q×t）</w:t>
            </w:r>
          </w:p>
          <w:p w14:paraId="30D09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式中：</w:t>
            </w:r>
          </w:p>
          <w:p w14:paraId="4E06B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T—更换周期，天；</w:t>
            </w:r>
          </w:p>
          <w:p w14:paraId="6FAF6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m—活性炭的用量，kg；</w:t>
            </w:r>
          </w:p>
          <w:p w14:paraId="78C6C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s—动态吸附量，%；</w:t>
            </w:r>
          </w:p>
          <w:p w14:paraId="70B43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c—活性炭削减的VOCs浓度，mg/m</w:t>
            </w:r>
            <w:r>
              <w:rPr>
                <w:rFonts w:hint="default" w:ascii="Times New Roman" w:hAnsi="Times New Roman" w:eastAsia="仿宋" w:cs="Times New Roman"/>
                <w:color w:val="auto"/>
                <w:kern w:val="0"/>
                <w:sz w:val="24"/>
                <w:szCs w:val="24"/>
                <w:vertAlign w:val="superscript"/>
                <w:lang w:val="en-US" w:eastAsia="zh-CN" w:bidi="ar-SA"/>
              </w:rPr>
              <w:t>3</w:t>
            </w:r>
            <w:r>
              <w:rPr>
                <w:rFonts w:hint="default" w:ascii="Times New Roman" w:hAnsi="Times New Roman" w:eastAsia="仿宋" w:cs="Times New Roman"/>
                <w:color w:val="auto"/>
                <w:kern w:val="0"/>
                <w:sz w:val="24"/>
                <w:szCs w:val="24"/>
                <w:lang w:val="en-US" w:eastAsia="zh-CN" w:bidi="ar-SA"/>
              </w:rPr>
              <w:t>；</w:t>
            </w:r>
          </w:p>
          <w:p w14:paraId="17F55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Q—风量，单位m</w:t>
            </w:r>
            <w:r>
              <w:rPr>
                <w:rFonts w:hint="default" w:ascii="Times New Roman" w:hAnsi="Times New Roman" w:eastAsia="仿宋" w:cs="Times New Roman"/>
                <w:color w:val="auto"/>
                <w:kern w:val="0"/>
                <w:sz w:val="24"/>
                <w:szCs w:val="24"/>
                <w:vertAlign w:val="superscript"/>
                <w:lang w:val="en-US" w:eastAsia="zh-CN" w:bidi="ar-SA"/>
              </w:rPr>
              <w:t>3</w:t>
            </w:r>
            <w:r>
              <w:rPr>
                <w:rFonts w:hint="default" w:ascii="Times New Roman" w:hAnsi="Times New Roman" w:eastAsia="仿宋" w:cs="Times New Roman"/>
                <w:color w:val="auto"/>
                <w:kern w:val="0"/>
                <w:sz w:val="24"/>
                <w:szCs w:val="24"/>
                <w:lang w:val="en-US" w:eastAsia="zh-CN" w:bidi="ar-SA"/>
              </w:rPr>
              <w:t>/h；</w:t>
            </w:r>
          </w:p>
          <w:p w14:paraId="4B4BD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t—运行时间，单位h/d。</w:t>
            </w:r>
          </w:p>
          <w:p w14:paraId="567EDBF1">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表4-</w:t>
            </w:r>
            <w:r>
              <w:rPr>
                <w:rFonts w:hint="eastAsia" w:cs="Times New Roman"/>
                <w:b/>
                <w:bCs/>
                <w:color w:val="auto"/>
                <w:sz w:val="21"/>
                <w:szCs w:val="21"/>
                <w:lang w:val="en-US" w:eastAsia="zh-CN"/>
              </w:rPr>
              <w:t>23</w:t>
            </w:r>
            <w:r>
              <w:rPr>
                <w:rFonts w:hint="eastAsia" w:ascii="Times New Roman" w:hAnsi="Times New Roman" w:eastAsia="仿宋" w:cs="Times New Roman"/>
                <w:b/>
                <w:bCs/>
                <w:color w:val="auto"/>
                <w:sz w:val="21"/>
                <w:szCs w:val="21"/>
                <w:lang w:val="en-US" w:eastAsia="zh-CN"/>
              </w:rPr>
              <w:t xml:space="preserve"> </w:t>
            </w:r>
            <w:r>
              <w:rPr>
                <w:rFonts w:hint="eastAsia" w:ascii="Times New Roman" w:hAnsi="Times New Roman" w:eastAsia="仿宋" w:cs="Times New Roman"/>
                <w:b/>
                <w:bCs/>
                <w:color w:val="auto"/>
                <w:sz w:val="21"/>
                <w:szCs w:val="21"/>
                <w:lang w:eastAsia="zh-CN"/>
              </w:rPr>
              <w:t xml:space="preserve"> </w:t>
            </w:r>
            <w:r>
              <w:rPr>
                <w:rFonts w:hint="eastAsia" w:ascii="Times New Roman" w:hAnsi="Times New Roman" w:cs="Times New Roman"/>
                <w:b/>
                <w:bCs/>
                <w:color w:val="auto"/>
                <w:sz w:val="21"/>
                <w:szCs w:val="21"/>
                <w:lang w:val="en-US" w:eastAsia="zh-CN"/>
              </w:rPr>
              <w:t>本项目</w:t>
            </w:r>
            <w:r>
              <w:rPr>
                <w:rFonts w:hint="eastAsia" w:cs="Times New Roman"/>
                <w:b/>
                <w:bCs/>
                <w:color w:val="auto"/>
                <w:sz w:val="21"/>
                <w:szCs w:val="21"/>
                <w:lang w:val="en-US" w:eastAsia="zh-CN"/>
              </w:rPr>
              <w:t>二级活性炭</w:t>
            </w:r>
            <w:r>
              <w:rPr>
                <w:rFonts w:hint="eastAsia" w:ascii="Times New Roman" w:hAnsi="Times New Roman" w:cs="Times New Roman"/>
                <w:b/>
                <w:bCs/>
                <w:color w:val="auto"/>
                <w:sz w:val="21"/>
                <w:szCs w:val="21"/>
                <w:lang w:val="en-US" w:eastAsia="zh-CN"/>
              </w:rPr>
              <w:t>吸附装置中</w:t>
            </w:r>
            <w:r>
              <w:rPr>
                <w:rFonts w:hint="eastAsia" w:ascii="Times New Roman" w:hAnsi="Times New Roman" w:eastAsia="仿宋" w:cs="Times New Roman"/>
                <w:b/>
                <w:bCs/>
                <w:color w:val="auto"/>
                <w:sz w:val="21"/>
                <w:szCs w:val="21"/>
                <w:lang w:eastAsia="zh-CN"/>
              </w:rPr>
              <w:t>活性炭更换周期计算</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585"/>
              <w:gridCol w:w="1572"/>
              <w:gridCol w:w="1650"/>
              <w:gridCol w:w="2611"/>
              <w:gridCol w:w="1897"/>
              <w:gridCol w:w="1363"/>
              <w:gridCol w:w="1072"/>
            </w:tblGrid>
            <w:tr w14:paraId="481C6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tcBorders>
                    <w:tl2br w:val="nil"/>
                    <w:tr2bl w:val="nil"/>
                  </w:tcBorders>
                  <w:noWrap w:val="0"/>
                  <w:vAlign w:val="center"/>
                </w:tcPr>
                <w:p w14:paraId="1196FE1B">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设备</w:t>
                  </w:r>
                </w:p>
              </w:tc>
              <w:tc>
                <w:tcPr>
                  <w:tcW w:w="630" w:type="pct"/>
                  <w:tcBorders>
                    <w:tl2br w:val="nil"/>
                    <w:tr2bl w:val="nil"/>
                  </w:tcBorders>
                  <w:noWrap w:val="0"/>
                  <w:vAlign w:val="center"/>
                </w:tcPr>
                <w:p w14:paraId="2D7D11F1">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工段</w:t>
                  </w:r>
                </w:p>
              </w:tc>
              <w:tc>
                <w:tcPr>
                  <w:tcW w:w="625" w:type="pct"/>
                  <w:tcBorders>
                    <w:tl2br w:val="nil"/>
                    <w:tr2bl w:val="nil"/>
                  </w:tcBorders>
                  <w:noWrap w:val="0"/>
                  <w:vAlign w:val="center"/>
                </w:tcPr>
                <w:p w14:paraId="194902B2">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活性炭用量</w:t>
                  </w:r>
                  <w:r>
                    <w:rPr>
                      <w:rFonts w:hint="eastAsia" w:cs="Times New Roman"/>
                      <w:b/>
                      <w:bCs/>
                      <w:color w:val="auto"/>
                      <w:sz w:val="21"/>
                      <w:szCs w:val="21"/>
                      <w:vertAlign w:val="baseline"/>
                      <w:lang w:val="en-US" w:eastAsia="zh-CN"/>
                    </w:rPr>
                    <w:t>kg</w:t>
                  </w:r>
                </w:p>
              </w:tc>
              <w:tc>
                <w:tcPr>
                  <w:tcW w:w="656" w:type="pct"/>
                  <w:tcBorders>
                    <w:tl2br w:val="nil"/>
                    <w:tr2bl w:val="nil"/>
                  </w:tcBorders>
                  <w:noWrap w:val="0"/>
                  <w:vAlign w:val="center"/>
                </w:tcPr>
                <w:p w14:paraId="03794030">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动态吸附量%</w:t>
                  </w:r>
                </w:p>
              </w:tc>
              <w:tc>
                <w:tcPr>
                  <w:tcW w:w="1038" w:type="pct"/>
                  <w:tcBorders>
                    <w:tl2br w:val="nil"/>
                    <w:tr2bl w:val="nil"/>
                  </w:tcBorders>
                  <w:noWrap w:val="0"/>
                  <w:vAlign w:val="center"/>
                </w:tcPr>
                <w:p w14:paraId="58A8E3F5">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活性炭削减VOCs浓度（mg/m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w:t>
                  </w:r>
                </w:p>
              </w:tc>
              <w:tc>
                <w:tcPr>
                  <w:tcW w:w="754" w:type="pct"/>
                  <w:tcBorders>
                    <w:tl2br w:val="nil"/>
                    <w:tr2bl w:val="nil"/>
                  </w:tcBorders>
                  <w:noWrap w:val="0"/>
                  <w:vAlign w:val="center"/>
                </w:tcPr>
                <w:p w14:paraId="62B51EEE">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风量（m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/h）</w:t>
                  </w:r>
                </w:p>
              </w:tc>
              <w:tc>
                <w:tcPr>
                  <w:tcW w:w="542" w:type="pct"/>
                  <w:tcBorders>
                    <w:tl2br w:val="nil"/>
                    <w:tr2bl w:val="nil"/>
                  </w:tcBorders>
                  <w:noWrap w:val="0"/>
                  <w:vAlign w:val="center"/>
                </w:tcPr>
                <w:p w14:paraId="2C6A27F2">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运行时间（h/d</w:t>
                  </w:r>
                  <w:r>
                    <w:rPr>
                      <w:rFonts w:hint="eastAsia" w:cs="Times New Roman"/>
                      <w:b/>
                      <w:bCs/>
                      <w:color w:val="auto"/>
                      <w:sz w:val="21"/>
                      <w:szCs w:val="21"/>
                      <w:vertAlign w:val="baseline"/>
                      <w:lang w:val="en-US" w:eastAsia="zh-CN"/>
                    </w:rPr>
                    <w:t>）</w:t>
                  </w:r>
                </w:p>
              </w:tc>
              <w:tc>
                <w:tcPr>
                  <w:tcW w:w="426" w:type="pct"/>
                  <w:tcBorders>
                    <w:tl2br w:val="nil"/>
                    <w:tr2bl w:val="nil"/>
                  </w:tcBorders>
                  <w:noWrap w:val="0"/>
                  <w:vAlign w:val="center"/>
                </w:tcPr>
                <w:p w14:paraId="6DA90612">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更换周期</w:t>
                  </w:r>
                </w:p>
                <w:p w14:paraId="6292509C">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（天）</w:t>
                  </w:r>
                </w:p>
              </w:tc>
            </w:tr>
            <w:tr w14:paraId="4325E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tcBorders>
                    <w:tl2br w:val="nil"/>
                    <w:tr2bl w:val="nil"/>
                  </w:tcBorders>
                  <w:noWrap w:val="0"/>
                  <w:vAlign w:val="center"/>
                </w:tcPr>
                <w:p w14:paraId="32B74303">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TA00</w:t>
                  </w:r>
                  <w:r>
                    <w:rPr>
                      <w:rFonts w:hint="eastAsia" w:cs="Times New Roman"/>
                      <w:color w:val="auto"/>
                      <w:sz w:val="21"/>
                      <w:szCs w:val="21"/>
                      <w:lang w:val="en-US" w:eastAsia="zh-CN"/>
                    </w:rPr>
                    <w:t>1</w:t>
                  </w:r>
                </w:p>
              </w:tc>
              <w:tc>
                <w:tcPr>
                  <w:tcW w:w="630" w:type="pct"/>
                  <w:tcBorders>
                    <w:tl2br w:val="nil"/>
                    <w:tr2bl w:val="nil"/>
                  </w:tcBorders>
                  <w:noWrap w:val="0"/>
                  <w:vAlign w:val="center"/>
                </w:tcPr>
                <w:p w14:paraId="4BAC628B">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压铸工段</w:t>
                  </w:r>
                </w:p>
              </w:tc>
              <w:tc>
                <w:tcPr>
                  <w:tcW w:w="625" w:type="pct"/>
                  <w:tcBorders>
                    <w:tl2br w:val="nil"/>
                    <w:tr2bl w:val="nil"/>
                  </w:tcBorders>
                  <w:noWrap w:val="0"/>
                  <w:vAlign w:val="center"/>
                </w:tcPr>
                <w:p w14:paraId="5C87E44D">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rPr>
                  </w:pPr>
                  <w:r>
                    <w:rPr>
                      <w:rFonts w:hint="eastAsia" w:cs="Times New Roman"/>
                      <w:color w:val="auto"/>
                      <w:sz w:val="21"/>
                      <w:szCs w:val="21"/>
                      <w:lang w:val="en-US" w:eastAsia="zh-CN"/>
                    </w:rPr>
                    <w:t>2500</w:t>
                  </w:r>
                </w:p>
              </w:tc>
              <w:tc>
                <w:tcPr>
                  <w:tcW w:w="656" w:type="pct"/>
                  <w:tcBorders>
                    <w:tl2br w:val="nil"/>
                    <w:tr2bl w:val="nil"/>
                  </w:tcBorders>
                  <w:noWrap w:val="0"/>
                  <w:vAlign w:val="center"/>
                </w:tcPr>
                <w:p w14:paraId="30C46C63">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20</w:t>
                  </w:r>
                </w:p>
              </w:tc>
              <w:tc>
                <w:tcPr>
                  <w:tcW w:w="1038" w:type="pct"/>
                  <w:tcBorders>
                    <w:tl2br w:val="nil"/>
                    <w:tr2bl w:val="nil"/>
                  </w:tcBorders>
                  <w:noWrap w:val="0"/>
                  <w:vAlign w:val="center"/>
                </w:tcPr>
                <w:p w14:paraId="7FDC82C6">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12.051</w:t>
                  </w:r>
                </w:p>
              </w:tc>
              <w:tc>
                <w:tcPr>
                  <w:tcW w:w="754" w:type="pct"/>
                  <w:tcBorders>
                    <w:tl2br w:val="nil"/>
                    <w:tr2bl w:val="nil"/>
                  </w:tcBorders>
                  <w:noWrap w:val="0"/>
                  <w:vAlign w:val="center"/>
                </w:tcPr>
                <w:p w14:paraId="59BD98D2">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28</w:t>
                  </w:r>
                  <w:r>
                    <w:rPr>
                      <w:rFonts w:hint="default" w:ascii="Times New Roman" w:hAnsi="Times New Roman" w:eastAsia="仿宋" w:cs="Times New Roman"/>
                      <w:color w:val="auto"/>
                      <w:sz w:val="21"/>
                      <w:szCs w:val="21"/>
                    </w:rPr>
                    <w:t>000</w:t>
                  </w:r>
                </w:p>
              </w:tc>
              <w:tc>
                <w:tcPr>
                  <w:tcW w:w="542" w:type="pct"/>
                  <w:tcBorders>
                    <w:tl2br w:val="nil"/>
                    <w:tr2bl w:val="nil"/>
                  </w:tcBorders>
                  <w:noWrap w:val="0"/>
                  <w:vAlign w:val="center"/>
                </w:tcPr>
                <w:p w14:paraId="1E66C4DE">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24</w:t>
                  </w:r>
                </w:p>
              </w:tc>
              <w:tc>
                <w:tcPr>
                  <w:tcW w:w="426" w:type="pct"/>
                  <w:tcBorders>
                    <w:tl2br w:val="nil"/>
                    <w:tr2bl w:val="nil"/>
                  </w:tcBorders>
                  <w:noWrap w:val="0"/>
                  <w:vAlign w:val="center"/>
                </w:tcPr>
                <w:p w14:paraId="5645F4FC">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61</w:t>
                  </w:r>
                </w:p>
              </w:tc>
            </w:tr>
          </w:tbl>
          <w:p w14:paraId="12EBCB21">
            <w:pPr>
              <w:spacing w:line="480" w:lineRule="exact"/>
              <w:ind w:firstLine="480" w:firstLineChars="200"/>
              <w:rPr>
                <w:bCs/>
                <w:color w:val="auto"/>
              </w:rPr>
            </w:pPr>
            <w:r>
              <w:rPr>
                <w:rFonts w:hint="eastAsia" w:cs="Times New Roman"/>
                <w:bCs/>
                <w:color w:val="auto"/>
                <w:sz w:val="24"/>
                <w:szCs w:val="24"/>
                <w:highlight w:val="none"/>
                <w:lang w:val="en-US" w:eastAsia="zh-CN"/>
              </w:rPr>
              <w:t>本项目年生产300天，由上表可知</w:t>
            </w:r>
            <w:r>
              <w:rPr>
                <w:rFonts w:hint="default" w:ascii="Times New Roman" w:hAnsi="Times New Roman" w:eastAsia="仿宋" w:cs="Times New Roman"/>
                <w:bCs/>
                <w:color w:val="auto"/>
                <w:sz w:val="24"/>
                <w:szCs w:val="24"/>
                <w:highlight w:val="none"/>
                <w:lang w:val="en-US" w:eastAsia="zh-CN"/>
              </w:rPr>
              <w:t>，</w:t>
            </w:r>
            <w:r>
              <w:rPr>
                <w:rFonts w:hint="eastAsia" w:cs="Times New Roman"/>
                <w:bCs/>
                <w:color w:val="auto"/>
                <w:sz w:val="24"/>
                <w:szCs w:val="24"/>
                <w:highlight w:val="none"/>
                <w:lang w:val="en-US" w:eastAsia="zh-CN"/>
              </w:rPr>
              <w:t>废气处理设施TA001废活性炭更换周期为61天，更换频次为5次/年，</w:t>
            </w:r>
            <w:r>
              <w:rPr>
                <w:rFonts w:hint="default" w:ascii="Times New Roman" w:hAnsi="Times New Roman" w:eastAsia="仿宋" w:cs="Times New Roman"/>
                <w:bCs/>
                <w:color w:val="auto"/>
                <w:sz w:val="24"/>
                <w:szCs w:val="24"/>
                <w:highlight w:val="none"/>
                <w:lang w:val="en-US" w:eastAsia="zh-CN"/>
              </w:rPr>
              <w:t>则本项目废活性炭（含</w:t>
            </w:r>
            <w:r>
              <w:rPr>
                <w:rFonts w:hint="eastAsia" w:cs="Times New Roman"/>
                <w:bCs/>
                <w:color w:val="auto"/>
                <w:sz w:val="24"/>
                <w:szCs w:val="24"/>
                <w:highlight w:val="none"/>
                <w:lang w:val="en-US" w:eastAsia="zh-CN"/>
              </w:rPr>
              <w:t>有机废气</w:t>
            </w:r>
            <w:r>
              <w:rPr>
                <w:rFonts w:hint="default" w:ascii="Times New Roman" w:hAnsi="Times New Roman" w:eastAsia="仿宋" w:cs="Times New Roman"/>
                <w:bCs/>
                <w:color w:val="auto"/>
                <w:sz w:val="24"/>
                <w:szCs w:val="24"/>
                <w:highlight w:val="none"/>
                <w:lang w:val="en-US" w:eastAsia="zh-CN"/>
              </w:rPr>
              <w:t>）产生量为</w:t>
            </w:r>
            <w:r>
              <w:rPr>
                <w:rFonts w:hint="eastAsia" w:cs="Times New Roman"/>
                <w:bCs/>
                <w:color w:val="auto"/>
                <w:sz w:val="24"/>
                <w:szCs w:val="24"/>
                <w:highlight w:val="none"/>
                <w:lang w:val="en-US" w:eastAsia="zh-CN"/>
              </w:rPr>
              <w:t>14.93</w:t>
            </w:r>
            <w:r>
              <w:rPr>
                <w:rFonts w:hint="default" w:ascii="Times New Roman" w:hAnsi="Times New Roman" w:eastAsia="仿宋" w:cs="Times New Roman"/>
                <w:bCs/>
                <w:color w:val="auto"/>
                <w:sz w:val="24"/>
                <w:szCs w:val="24"/>
                <w:highlight w:val="none"/>
                <w:lang w:val="en-US" w:eastAsia="zh-CN"/>
              </w:rPr>
              <w:t>t/a，属于HW49类危废，收集后暂存于危废仓库，定期委托有资质单位处置</w:t>
            </w:r>
            <w:r>
              <w:rPr>
                <w:rFonts w:hint="eastAsia" w:cs="Times New Roman"/>
                <w:bCs/>
                <w:color w:val="auto"/>
                <w:sz w:val="24"/>
                <w:szCs w:val="24"/>
                <w:highlight w:val="none"/>
                <w:lang w:val="en-US" w:eastAsia="zh-CN"/>
              </w:rPr>
              <w:t>。</w:t>
            </w:r>
          </w:p>
          <w:p w14:paraId="70E67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val="0"/>
                <w:bCs/>
                <w:color w:val="auto"/>
                <w:kern w:val="2"/>
                <w:sz w:val="24"/>
                <w:szCs w:val="24"/>
                <w:highlight w:val="none"/>
                <w:lang w:val="en-US" w:eastAsia="zh-CN" w:bidi="ar-SA"/>
              </w:rPr>
            </w:pPr>
            <w:r>
              <w:rPr>
                <w:rFonts w:hint="eastAsia" w:cs="Times New Roman"/>
                <w:b/>
                <w:bCs w:val="0"/>
                <w:color w:val="auto"/>
                <w:kern w:val="2"/>
                <w:sz w:val="24"/>
                <w:szCs w:val="24"/>
                <w:highlight w:val="none"/>
                <w:lang w:val="en-US" w:eastAsia="zh-CN" w:bidi="ar-SA"/>
              </w:rPr>
              <w:t>炉渣</w:t>
            </w:r>
            <w:r>
              <w:rPr>
                <w:rFonts w:hint="eastAsia" w:ascii="Times New Roman" w:hAnsi="Times New Roman" w:eastAsia="仿宋" w:cs="Times New Roman"/>
                <w:b/>
                <w:bCs w:val="0"/>
                <w:color w:val="auto"/>
                <w:kern w:val="2"/>
                <w:sz w:val="24"/>
                <w:szCs w:val="24"/>
                <w:highlight w:val="none"/>
                <w:lang w:val="en-US" w:eastAsia="zh-CN" w:bidi="ar-SA"/>
              </w:rPr>
              <w:t>：</w:t>
            </w:r>
            <w:r>
              <w:rPr>
                <w:rFonts w:hint="default" w:ascii="Times New Roman" w:hAnsi="Times New Roman" w:eastAsia="仿宋" w:cs="Times New Roman"/>
                <w:b w:val="0"/>
                <w:bCs/>
                <w:color w:val="auto"/>
                <w:kern w:val="2"/>
                <w:sz w:val="24"/>
                <w:szCs w:val="24"/>
                <w:highlight w:val="none"/>
                <w:lang w:val="en-US" w:eastAsia="zh-CN" w:bidi="ar-SA"/>
              </w:rPr>
              <w:t>本项目</w:t>
            </w:r>
            <w:r>
              <w:rPr>
                <w:rFonts w:hint="eastAsia" w:ascii="Times New Roman" w:hAnsi="Times New Roman" w:cs="Times New Roman"/>
                <w:b w:val="0"/>
                <w:bCs/>
                <w:color w:val="auto"/>
                <w:kern w:val="2"/>
                <w:sz w:val="24"/>
                <w:szCs w:val="24"/>
                <w:highlight w:val="none"/>
                <w:lang w:val="en-US" w:eastAsia="zh-CN" w:bidi="ar-SA"/>
              </w:rPr>
              <w:t>熔化时需打捞金属液表面的</w:t>
            </w:r>
            <w:r>
              <w:rPr>
                <w:rFonts w:hint="eastAsia" w:cs="Times New Roman"/>
                <w:b w:val="0"/>
                <w:bCs/>
                <w:color w:val="auto"/>
                <w:kern w:val="2"/>
                <w:sz w:val="24"/>
                <w:szCs w:val="24"/>
                <w:highlight w:val="none"/>
                <w:lang w:val="en-US" w:eastAsia="zh-CN" w:bidi="ar-SA"/>
              </w:rPr>
              <w:t>炉渣</w:t>
            </w:r>
            <w:r>
              <w:rPr>
                <w:rFonts w:hint="default" w:ascii="Times New Roman" w:hAnsi="Times New Roman" w:eastAsia="仿宋" w:cs="Times New Roman"/>
                <w:b w:val="0"/>
                <w:bCs/>
                <w:color w:val="auto"/>
                <w:kern w:val="2"/>
                <w:sz w:val="24"/>
                <w:szCs w:val="24"/>
                <w:highlight w:val="none"/>
                <w:lang w:val="en-US" w:eastAsia="zh-CN" w:bidi="ar-SA"/>
              </w:rPr>
              <w:t>，</w:t>
            </w:r>
            <w:r>
              <w:rPr>
                <w:rFonts w:hint="eastAsia" w:ascii="Times New Roman" w:hAnsi="Times New Roman" w:eastAsia="仿宋" w:cs="Times New Roman"/>
                <w:b w:val="0"/>
                <w:bCs/>
                <w:color w:val="auto"/>
                <w:kern w:val="2"/>
                <w:sz w:val="24"/>
                <w:szCs w:val="24"/>
                <w:highlight w:val="none"/>
                <w:lang w:val="en-US" w:eastAsia="zh-CN" w:bidi="ar-SA"/>
              </w:rPr>
              <w:t>水喷淋塔定期捞渣也会产生</w:t>
            </w:r>
            <w:r>
              <w:rPr>
                <w:rFonts w:hint="eastAsia" w:cs="Times New Roman"/>
                <w:b w:val="0"/>
                <w:bCs/>
                <w:color w:val="auto"/>
                <w:kern w:val="2"/>
                <w:sz w:val="24"/>
                <w:szCs w:val="24"/>
                <w:highlight w:val="none"/>
                <w:lang w:val="en-US" w:eastAsia="zh-CN" w:bidi="ar-SA"/>
              </w:rPr>
              <w:t>废渣</w:t>
            </w:r>
            <w:r>
              <w:rPr>
                <w:rFonts w:hint="eastAsia" w:ascii="Times New Roman" w:hAnsi="Times New Roman" w:eastAsia="仿宋" w:cs="Times New Roman"/>
                <w:b w:val="0"/>
                <w:bCs/>
                <w:color w:val="auto"/>
                <w:kern w:val="2"/>
                <w:sz w:val="24"/>
                <w:szCs w:val="24"/>
                <w:highlight w:val="none"/>
                <w:lang w:val="en-US" w:eastAsia="zh-CN" w:bidi="ar-SA"/>
              </w:rPr>
              <w:t>，</w:t>
            </w:r>
            <w:r>
              <w:rPr>
                <w:rFonts w:hint="default" w:ascii="Times New Roman" w:hAnsi="Times New Roman" w:eastAsia="仿宋" w:cs="Times New Roman"/>
                <w:b w:val="0"/>
                <w:bCs/>
                <w:color w:val="auto"/>
                <w:kern w:val="2"/>
                <w:sz w:val="24"/>
                <w:szCs w:val="24"/>
                <w:highlight w:val="none"/>
                <w:lang w:val="en-US" w:eastAsia="zh-CN" w:bidi="ar-SA"/>
              </w:rPr>
              <w:t>产生量约为</w:t>
            </w:r>
            <w:r>
              <w:rPr>
                <w:rFonts w:hint="eastAsia" w:ascii="Times New Roman" w:hAnsi="Times New Roman" w:eastAsia="仿宋" w:cs="Times New Roman"/>
                <w:b w:val="0"/>
                <w:bCs/>
                <w:color w:val="auto"/>
                <w:kern w:val="2"/>
                <w:sz w:val="24"/>
                <w:szCs w:val="24"/>
                <w:highlight w:val="none"/>
                <w:lang w:val="en-US" w:eastAsia="zh-CN" w:bidi="ar-SA"/>
              </w:rPr>
              <w:t>30</w:t>
            </w:r>
            <w:r>
              <w:rPr>
                <w:rFonts w:hint="default" w:ascii="Times New Roman" w:hAnsi="Times New Roman" w:eastAsia="仿宋" w:cs="Times New Roman"/>
                <w:b w:val="0"/>
                <w:bCs/>
                <w:color w:val="auto"/>
                <w:kern w:val="2"/>
                <w:sz w:val="24"/>
                <w:szCs w:val="24"/>
                <w:highlight w:val="none"/>
                <w:lang w:val="en-US" w:eastAsia="zh-CN" w:bidi="ar-SA"/>
              </w:rPr>
              <w:t>t/a，</w:t>
            </w:r>
            <w:r>
              <w:rPr>
                <w:rFonts w:hint="eastAsia" w:ascii="Times New Roman" w:hAnsi="Times New Roman" w:eastAsia="仿宋" w:cs="Times New Roman"/>
                <w:b w:val="0"/>
                <w:bCs/>
                <w:color w:val="auto"/>
                <w:kern w:val="2"/>
                <w:sz w:val="24"/>
                <w:szCs w:val="24"/>
                <w:highlight w:val="none"/>
                <w:lang w:val="en-US" w:eastAsia="zh-CN" w:bidi="ar-SA"/>
              </w:rPr>
              <w:t>属于HW48类危废，</w:t>
            </w:r>
            <w:r>
              <w:rPr>
                <w:rFonts w:hint="default" w:ascii="Times New Roman" w:hAnsi="Times New Roman" w:eastAsia="仿宋" w:cs="Times New Roman"/>
                <w:b w:val="0"/>
                <w:bCs/>
                <w:color w:val="auto"/>
                <w:kern w:val="2"/>
                <w:sz w:val="24"/>
                <w:szCs w:val="24"/>
                <w:highlight w:val="none"/>
                <w:lang w:val="en-US" w:eastAsia="zh-CN" w:bidi="ar-SA"/>
              </w:rPr>
              <w:t>经收集后暂存于</w:t>
            </w:r>
            <w:r>
              <w:rPr>
                <w:rFonts w:hint="eastAsia" w:ascii="Times New Roman" w:hAnsi="Times New Roman" w:eastAsia="仿宋" w:cs="Times New Roman"/>
                <w:b w:val="0"/>
                <w:bCs/>
                <w:color w:val="auto"/>
                <w:kern w:val="2"/>
                <w:sz w:val="24"/>
                <w:szCs w:val="24"/>
                <w:highlight w:val="none"/>
                <w:lang w:val="en-US" w:eastAsia="zh-CN" w:bidi="ar-SA"/>
              </w:rPr>
              <w:t>危废</w:t>
            </w:r>
            <w:r>
              <w:rPr>
                <w:rFonts w:hint="default" w:ascii="Times New Roman" w:hAnsi="Times New Roman" w:eastAsia="仿宋" w:cs="Times New Roman"/>
                <w:b w:val="0"/>
                <w:bCs/>
                <w:color w:val="auto"/>
                <w:kern w:val="2"/>
                <w:sz w:val="24"/>
                <w:szCs w:val="24"/>
                <w:highlight w:val="none"/>
                <w:lang w:val="en-US" w:eastAsia="zh-CN" w:bidi="ar-SA"/>
              </w:rPr>
              <w:t>仓库，</w:t>
            </w:r>
            <w:r>
              <w:rPr>
                <w:rFonts w:hint="eastAsia" w:ascii="Times New Roman" w:hAnsi="Times New Roman" w:eastAsia="仿宋" w:cs="Times New Roman"/>
                <w:b w:val="0"/>
                <w:bCs/>
                <w:color w:val="auto"/>
                <w:kern w:val="2"/>
                <w:sz w:val="24"/>
                <w:szCs w:val="24"/>
                <w:highlight w:val="none"/>
                <w:lang w:val="en-US" w:eastAsia="zh-CN" w:bidi="ar-SA"/>
              </w:rPr>
              <w:t>定期委托有资质单位处置</w:t>
            </w:r>
            <w:r>
              <w:rPr>
                <w:rFonts w:hint="default" w:ascii="Times New Roman" w:hAnsi="Times New Roman" w:eastAsia="仿宋" w:cs="Times New Roman"/>
                <w:b w:val="0"/>
                <w:bCs/>
                <w:color w:val="auto"/>
                <w:kern w:val="2"/>
                <w:sz w:val="24"/>
                <w:szCs w:val="24"/>
                <w:highlight w:val="none"/>
                <w:lang w:val="en-US" w:eastAsia="zh-CN" w:bidi="ar-SA"/>
              </w:rPr>
              <w:t>。</w:t>
            </w:r>
          </w:p>
          <w:p w14:paraId="67D10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val="0"/>
                <w:bCs/>
                <w:color w:val="auto"/>
                <w:kern w:val="2"/>
                <w:sz w:val="24"/>
                <w:szCs w:val="24"/>
                <w:highlight w:val="none"/>
                <w:lang w:val="en-US" w:eastAsia="zh-CN" w:bidi="ar-SA"/>
              </w:rPr>
            </w:pPr>
            <w:r>
              <w:rPr>
                <w:rFonts w:hint="eastAsia" w:cs="Times New Roman"/>
                <w:b/>
                <w:bCs w:val="0"/>
                <w:color w:val="auto"/>
                <w:kern w:val="2"/>
                <w:sz w:val="24"/>
                <w:szCs w:val="24"/>
                <w:highlight w:val="none"/>
                <w:lang w:val="en-US" w:eastAsia="zh-CN" w:bidi="ar-SA"/>
              </w:rPr>
              <w:t>废过滤材料：</w:t>
            </w:r>
            <w:r>
              <w:rPr>
                <w:rFonts w:hint="eastAsia" w:ascii="Times New Roman" w:hAnsi="Times New Roman" w:eastAsia="仿宋" w:cs="Times New Roman"/>
                <w:b w:val="0"/>
                <w:bCs/>
                <w:color w:val="auto"/>
                <w:kern w:val="2"/>
                <w:sz w:val="24"/>
                <w:szCs w:val="24"/>
                <w:highlight w:val="none"/>
                <w:lang w:val="en-US" w:eastAsia="zh-CN" w:bidi="ar-SA"/>
              </w:rPr>
              <w:t>本项目脱模剂回用系统配备过滤装置，</w:t>
            </w:r>
            <w:r>
              <w:rPr>
                <w:rFonts w:hint="eastAsia" w:cs="Times New Roman"/>
                <w:b w:val="0"/>
                <w:bCs/>
                <w:color w:val="auto"/>
                <w:kern w:val="2"/>
                <w:sz w:val="24"/>
                <w:szCs w:val="24"/>
                <w:highlight w:val="none"/>
                <w:lang w:val="en-US" w:eastAsia="zh-CN" w:bidi="ar-SA"/>
              </w:rPr>
              <w:t>每年更换一次</w:t>
            </w:r>
            <w:r>
              <w:rPr>
                <w:rFonts w:hint="eastAsia" w:ascii="Times New Roman" w:hAnsi="Times New Roman" w:eastAsia="仿宋" w:cs="Times New Roman"/>
                <w:b w:val="0"/>
                <w:bCs/>
                <w:color w:val="auto"/>
                <w:kern w:val="2"/>
                <w:sz w:val="24"/>
                <w:szCs w:val="24"/>
                <w:highlight w:val="none"/>
                <w:lang w:val="en-US" w:eastAsia="zh-CN" w:bidi="ar-SA"/>
              </w:rPr>
              <w:t>定期清理更换产生废过滤材料；同时干式过滤装置</w:t>
            </w:r>
            <w:r>
              <w:rPr>
                <w:rFonts w:hint="eastAsia" w:cs="Times New Roman"/>
                <w:b w:val="0"/>
                <w:bCs/>
                <w:color w:val="auto"/>
                <w:kern w:val="2"/>
                <w:sz w:val="24"/>
                <w:szCs w:val="24"/>
                <w:highlight w:val="none"/>
                <w:lang w:val="en-US" w:eastAsia="zh-CN" w:bidi="ar-SA"/>
              </w:rPr>
              <w:t>每年更换一次</w:t>
            </w:r>
            <w:r>
              <w:rPr>
                <w:rFonts w:hint="eastAsia" w:ascii="Times New Roman" w:hAnsi="Times New Roman" w:eastAsia="仿宋" w:cs="Times New Roman"/>
                <w:b w:val="0"/>
                <w:bCs/>
                <w:color w:val="auto"/>
                <w:kern w:val="2"/>
                <w:sz w:val="24"/>
                <w:szCs w:val="24"/>
                <w:highlight w:val="none"/>
                <w:lang w:val="en-US" w:eastAsia="zh-CN" w:bidi="ar-SA"/>
              </w:rPr>
              <w:t>更换废过滤棉；废过滤材料</w:t>
            </w:r>
            <w:r>
              <w:rPr>
                <w:rFonts w:hint="eastAsia" w:cs="Times New Roman"/>
                <w:b w:val="0"/>
                <w:bCs/>
                <w:color w:val="auto"/>
                <w:kern w:val="2"/>
                <w:sz w:val="24"/>
                <w:szCs w:val="24"/>
                <w:highlight w:val="none"/>
                <w:lang w:val="en-US" w:eastAsia="zh-CN" w:bidi="ar-SA"/>
              </w:rPr>
              <w:t>合计</w:t>
            </w:r>
            <w:r>
              <w:rPr>
                <w:rFonts w:hint="eastAsia" w:ascii="Times New Roman" w:hAnsi="Times New Roman" w:eastAsia="仿宋" w:cs="Times New Roman"/>
                <w:b w:val="0"/>
                <w:bCs/>
                <w:color w:val="auto"/>
                <w:kern w:val="2"/>
                <w:sz w:val="24"/>
                <w:szCs w:val="24"/>
                <w:highlight w:val="none"/>
                <w:lang w:val="en-US" w:eastAsia="zh-CN" w:bidi="ar-SA"/>
              </w:rPr>
              <w:t>产生量为0.</w:t>
            </w:r>
            <w:r>
              <w:rPr>
                <w:rFonts w:hint="eastAsia" w:cs="Times New Roman"/>
                <w:b w:val="0"/>
                <w:bCs/>
                <w:color w:val="auto"/>
                <w:kern w:val="2"/>
                <w:sz w:val="24"/>
                <w:szCs w:val="24"/>
                <w:highlight w:val="none"/>
                <w:lang w:val="en-US" w:eastAsia="zh-CN" w:bidi="ar-SA"/>
              </w:rPr>
              <w:t>1</w:t>
            </w:r>
            <w:r>
              <w:rPr>
                <w:rFonts w:hint="eastAsia" w:ascii="Times New Roman" w:hAnsi="Times New Roman" w:eastAsia="仿宋" w:cs="Times New Roman"/>
                <w:b w:val="0"/>
                <w:bCs/>
                <w:color w:val="auto"/>
                <w:kern w:val="2"/>
                <w:sz w:val="24"/>
                <w:szCs w:val="24"/>
                <w:highlight w:val="none"/>
                <w:lang w:val="en-US" w:eastAsia="zh-CN" w:bidi="ar-SA"/>
              </w:rPr>
              <w:t>t/a，</w:t>
            </w:r>
            <w:r>
              <w:rPr>
                <w:rFonts w:hint="default" w:ascii="Times New Roman" w:hAnsi="Times New Roman" w:eastAsia="仿宋" w:cs="Times New Roman"/>
                <w:b w:val="0"/>
                <w:bCs/>
                <w:color w:val="auto"/>
                <w:kern w:val="2"/>
                <w:sz w:val="24"/>
                <w:szCs w:val="24"/>
                <w:highlight w:val="none"/>
                <w:lang w:val="en-US" w:eastAsia="zh-CN" w:bidi="ar-SA"/>
              </w:rPr>
              <w:t>属于HW49类危废，收集后暂存于危废仓库，定期委托有资质单位处置</w:t>
            </w:r>
            <w:r>
              <w:rPr>
                <w:rFonts w:hint="eastAsia" w:ascii="Times New Roman" w:hAnsi="Times New Roman" w:eastAsia="仿宋" w:cs="Times New Roman"/>
                <w:b w:val="0"/>
                <w:bCs/>
                <w:color w:val="auto"/>
                <w:kern w:val="2"/>
                <w:sz w:val="24"/>
                <w:szCs w:val="24"/>
                <w:highlight w:val="none"/>
                <w:lang w:val="en-US" w:eastAsia="zh-CN" w:bidi="ar-SA"/>
              </w:rPr>
              <w:t>。</w:t>
            </w:r>
          </w:p>
          <w:p w14:paraId="416D7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val="0"/>
                <w:bCs/>
                <w:color w:val="auto"/>
                <w:kern w:val="2"/>
                <w:sz w:val="24"/>
                <w:szCs w:val="24"/>
                <w:highlight w:val="none"/>
                <w:lang w:val="en-US" w:eastAsia="zh-CN" w:bidi="ar-SA"/>
              </w:rPr>
            </w:pPr>
            <w:r>
              <w:rPr>
                <w:rFonts w:hint="eastAsia" w:cs="Times New Roman"/>
                <w:b/>
                <w:bCs w:val="0"/>
                <w:color w:val="auto"/>
                <w:kern w:val="2"/>
                <w:sz w:val="24"/>
                <w:szCs w:val="24"/>
                <w:highlight w:val="none"/>
                <w:lang w:val="en-US" w:eastAsia="zh-CN" w:bidi="ar-SA"/>
              </w:rPr>
              <w:t>废脱模剂：</w:t>
            </w:r>
            <w:r>
              <w:rPr>
                <w:rFonts w:hint="eastAsia" w:ascii="Times New Roman" w:hAnsi="Times New Roman" w:eastAsia="仿宋" w:cs="Times New Roman"/>
                <w:b w:val="0"/>
                <w:bCs/>
                <w:color w:val="auto"/>
                <w:kern w:val="2"/>
                <w:sz w:val="24"/>
                <w:szCs w:val="24"/>
                <w:highlight w:val="none"/>
                <w:lang w:val="en-US" w:eastAsia="zh-CN" w:bidi="ar-SA"/>
              </w:rPr>
              <w:t>本项目脱模剂经回用系统过滤后循环使用，</w:t>
            </w:r>
            <w:r>
              <w:rPr>
                <w:rFonts w:hint="eastAsia" w:cs="Times New Roman"/>
                <w:b w:val="0"/>
                <w:bCs/>
                <w:color w:val="auto"/>
                <w:kern w:val="2"/>
                <w:sz w:val="24"/>
                <w:szCs w:val="24"/>
                <w:highlight w:val="none"/>
                <w:lang w:val="en-US" w:eastAsia="zh-CN" w:bidi="ar-SA"/>
              </w:rPr>
              <w:t>需</w:t>
            </w:r>
            <w:r>
              <w:rPr>
                <w:rFonts w:hint="eastAsia" w:ascii="Times New Roman" w:hAnsi="Times New Roman" w:eastAsia="仿宋" w:cs="Times New Roman"/>
                <w:b w:val="0"/>
                <w:bCs/>
                <w:color w:val="auto"/>
                <w:kern w:val="2"/>
                <w:sz w:val="24"/>
                <w:szCs w:val="24"/>
                <w:highlight w:val="none"/>
                <w:lang w:val="en-US" w:eastAsia="zh-CN" w:bidi="ar-SA"/>
              </w:rPr>
              <w:t>定期</w:t>
            </w:r>
            <w:r>
              <w:rPr>
                <w:rFonts w:hint="eastAsia" w:cs="Times New Roman"/>
                <w:b w:val="0"/>
                <w:bCs/>
                <w:color w:val="auto"/>
                <w:kern w:val="2"/>
                <w:sz w:val="24"/>
                <w:szCs w:val="24"/>
                <w:highlight w:val="none"/>
                <w:lang w:val="en-US" w:eastAsia="zh-CN" w:bidi="ar-SA"/>
              </w:rPr>
              <w:t>更换清理产生废脱模剂，产生量约为0.3t/a</w:t>
            </w:r>
            <w:r>
              <w:rPr>
                <w:rFonts w:hint="default" w:ascii="Times New Roman" w:hAnsi="Times New Roman" w:eastAsia="仿宋" w:cs="Times New Roman"/>
                <w:b w:val="0"/>
                <w:bCs/>
                <w:color w:val="auto"/>
                <w:kern w:val="2"/>
                <w:sz w:val="24"/>
                <w:szCs w:val="24"/>
                <w:highlight w:val="none"/>
                <w:lang w:val="en-US" w:eastAsia="zh-CN" w:bidi="ar-SA"/>
              </w:rPr>
              <w:t>，</w:t>
            </w:r>
            <w:r>
              <w:rPr>
                <w:rFonts w:hint="eastAsia" w:ascii="Times New Roman" w:hAnsi="Times New Roman" w:eastAsia="仿宋" w:cs="Times New Roman"/>
                <w:b w:val="0"/>
                <w:bCs/>
                <w:color w:val="auto"/>
                <w:kern w:val="2"/>
                <w:sz w:val="24"/>
                <w:szCs w:val="24"/>
                <w:highlight w:val="none"/>
                <w:lang w:val="en-US" w:eastAsia="zh-CN" w:bidi="ar-SA"/>
              </w:rPr>
              <w:t>属于HW</w:t>
            </w:r>
            <w:r>
              <w:rPr>
                <w:rFonts w:hint="eastAsia" w:cs="Times New Roman"/>
                <w:b w:val="0"/>
                <w:bCs/>
                <w:color w:val="auto"/>
                <w:kern w:val="2"/>
                <w:sz w:val="24"/>
                <w:szCs w:val="24"/>
                <w:highlight w:val="none"/>
                <w:lang w:val="en-US" w:eastAsia="zh-CN" w:bidi="ar-SA"/>
              </w:rPr>
              <w:t>09</w:t>
            </w:r>
            <w:r>
              <w:rPr>
                <w:rFonts w:hint="eastAsia" w:ascii="Times New Roman" w:hAnsi="Times New Roman" w:eastAsia="仿宋" w:cs="Times New Roman"/>
                <w:b w:val="0"/>
                <w:bCs/>
                <w:color w:val="auto"/>
                <w:kern w:val="2"/>
                <w:sz w:val="24"/>
                <w:szCs w:val="24"/>
                <w:highlight w:val="none"/>
                <w:lang w:val="en-US" w:eastAsia="zh-CN" w:bidi="ar-SA"/>
              </w:rPr>
              <w:t>类危废，</w:t>
            </w:r>
            <w:r>
              <w:rPr>
                <w:rFonts w:hint="default" w:ascii="Times New Roman" w:hAnsi="Times New Roman" w:eastAsia="仿宋" w:cs="Times New Roman"/>
                <w:b w:val="0"/>
                <w:bCs/>
                <w:color w:val="auto"/>
                <w:kern w:val="2"/>
                <w:sz w:val="24"/>
                <w:szCs w:val="24"/>
                <w:highlight w:val="none"/>
                <w:lang w:val="en-US" w:eastAsia="zh-CN" w:bidi="ar-SA"/>
              </w:rPr>
              <w:t>经收集后暂存于</w:t>
            </w:r>
            <w:r>
              <w:rPr>
                <w:rFonts w:hint="eastAsia" w:ascii="Times New Roman" w:hAnsi="Times New Roman" w:eastAsia="仿宋" w:cs="Times New Roman"/>
                <w:b w:val="0"/>
                <w:bCs/>
                <w:color w:val="auto"/>
                <w:kern w:val="2"/>
                <w:sz w:val="24"/>
                <w:szCs w:val="24"/>
                <w:highlight w:val="none"/>
                <w:lang w:val="en-US" w:eastAsia="zh-CN" w:bidi="ar-SA"/>
              </w:rPr>
              <w:t>危废</w:t>
            </w:r>
            <w:r>
              <w:rPr>
                <w:rFonts w:hint="default" w:ascii="Times New Roman" w:hAnsi="Times New Roman" w:eastAsia="仿宋" w:cs="Times New Roman"/>
                <w:b w:val="0"/>
                <w:bCs/>
                <w:color w:val="auto"/>
                <w:kern w:val="2"/>
                <w:sz w:val="24"/>
                <w:szCs w:val="24"/>
                <w:highlight w:val="none"/>
                <w:lang w:val="en-US" w:eastAsia="zh-CN" w:bidi="ar-SA"/>
              </w:rPr>
              <w:t>仓库，</w:t>
            </w:r>
            <w:r>
              <w:rPr>
                <w:rFonts w:hint="eastAsia" w:ascii="Times New Roman" w:hAnsi="Times New Roman" w:eastAsia="仿宋" w:cs="Times New Roman"/>
                <w:b w:val="0"/>
                <w:bCs/>
                <w:color w:val="auto"/>
                <w:kern w:val="2"/>
                <w:sz w:val="24"/>
                <w:szCs w:val="24"/>
                <w:highlight w:val="none"/>
                <w:lang w:val="en-US" w:eastAsia="zh-CN" w:bidi="ar-SA"/>
              </w:rPr>
              <w:t>定期委托有资质单位处置</w:t>
            </w:r>
            <w:r>
              <w:rPr>
                <w:rFonts w:hint="default" w:ascii="Times New Roman" w:hAnsi="Times New Roman" w:eastAsia="仿宋" w:cs="Times New Roman"/>
                <w:b w:val="0"/>
                <w:bCs/>
                <w:color w:val="auto"/>
                <w:kern w:val="2"/>
                <w:sz w:val="24"/>
                <w:szCs w:val="24"/>
                <w:highlight w:val="none"/>
                <w:lang w:val="en-US" w:eastAsia="zh-CN" w:bidi="ar-SA"/>
              </w:rPr>
              <w:t>。</w:t>
            </w:r>
          </w:p>
          <w:p w14:paraId="31682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val="0"/>
                <w:bCs/>
                <w:color w:val="auto"/>
                <w:kern w:val="2"/>
                <w:sz w:val="24"/>
                <w:szCs w:val="24"/>
                <w:highlight w:val="none"/>
                <w:lang w:val="en-US" w:eastAsia="zh-CN" w:bidi="ar-SA"/>
              </w:rPr>
            </w:pPr>
            <w:r>
              <w:rPr>
                <w:rFonts w:hint="eastAsia" w:ascii="Times New Roman" w:hAnsi="Times New Roman" w:eastAsia="仿宋" w:cs="Times New Roman"/>
                <w:b/>
                <w:bCs w:val="0"/>
                <w:color w:val="auto"/>
                <w:kern w:val="2"/>
                <w:sz w:val="24"/>
                <w:szCs w:val="24"/>
                <w:highlight w:val="none"/>
                <w:lang w:val="en-US" w:eastAsia="zh-CN" w:bidi="ar-SA"/>
              </w:rPr>
              <w:t>喷淋废液：</w:t>
            </w:r>
            <w:r>
              <w:rPr>
                <w:rFonts w:hint="eastAsia" w:ascii="Times New Roman" w:hAnsi="Times New Roman" w:eastAsia="仿宋" w:cs="Times New Roman"/>
                <w:b w:val="0"/>
                <w:bCs/>
                <w:color w:val="auto"/>
                <w:kern w:val="2"/>
                <w:sz w:val="24"/>
                <w:szCs w:val="24"/>
                <w:highlight w:val="none"/>
                <w:lang w:val="en-US" w:eastAsia="zh-CN" w:bidi="ar-SA"/>
              </w:rPr>
              <w:t>压铸工段产生的有机废气利用一套水喷淋+干式过滤+二级活性炭吸附装置处理，需</w:t>
            </w:r>
            <w:r>
              <w:rPr>
                <w:rFonts w:hint="eastAsia" w:cs="Times New Roman"/>
                <w:b w:val="0"/>
                <w:bCs/>
                <w:color w:val="auto"/>
                <w:kern w:val="2"/>
                <w:sz w:val="24"/>
                <w:szCs w:val="24"/>
                <w:highlight w:val="none"/>
                <w:lang w:val="en-US" w:eastAsia="zh-CN" w:bidi="ar-SA"/>
              </w:rPr>
              <w:t>半年</w:t>
            </w:r>
            <w:r>
              <w:rPr>
                <w:rFonts w:hint="eastAsia" w:ascii="Times New Roman" w:hAnsi="Times New Roman" w:eastAsia="仿宋" w:cs="Times New Roman"/>
                <w:b w:val="0"/>
                <w:bCs/>
                <w:color w:val="auto"/>
                <w:kern w:val="2"/>
                <w:sz w:val="24"/>
                <w:szCs w:val="24"/>
                <w:highlight w:val="none"/>
                <w:lang w:val="en-US" w:eastAsia="zh-CN" w:bidi="ar-SA"/>
              </w:rPr>
              <w:t>更换</w:t>
            </w:r>
            <w:r>
              <w:rPr>
                <w:rFonts w:hint="eastAsia" w:cs="Times New Roman"/>
                <w:b w:val="0"/>
                <w:bCs/>
                <w:color w:val="auto"/>
                <w:kern w:val="2"/>
                <w:sz w:val="24"/>
                <w:szCs w:val="24"/>
                <w:highlight w:val="none"/>
                <w:lang w:val="en-US" w:eastAsia="zh-CN" w:bidi="ar-SA"/>
              </w:rPr>
              <w:t>一次</w:t>
            </w:r>
            <w:bookmarkStart w:id="10" w:name="_GoBack"/>
            <w:bookmarkEnd w:id="10"/>
            <w:r>
              <w:rPr>
                <w:rFonts w:hint="eastAsia" w:ascii="Times New Roman" w:hAnsi="Times New Roman" w:eastAsia="仿宋" w:cs="Times New Roman"/>
                <w:b w:val="0"/>
                <w:bCs/>
                <w:color w:val="auto"/>
                <w:kern w:val="2"/>
                <w:sz w:val="24"/>
                <w:szCs w:val="24"/>
                <w:highlight w:val="none"/>
                <w:lang w:val="en-US" w:eastAsia="zh-CN" w:bidi="ar-SA"/>
              </w:rPr>
              <w:t>喷淋液，喷淋废液产生量为</w:t>
            </w:r>
            <w:r>
              <w:rPr>
                <w:rFonts w:hint="eastAsia" w:ascii="Times New Roman" w:hAnsi="Times New Roman" w:cs="Times New Roman"/>
                <w:b w:val="0"/>
                <w:bCs/>
                <w:color w:val="auto"/>
                <w:kern w:val="2"/>
                <w:sz w:val="24"/>
                <w:szCs w:val="24"/>
                <w:highlight w:val="none"/>
                <w:lang w:val="en-US" w:eastAsia="zh-CN" w:bidi="ar-SA"/>
              </w:rPr>
              <w:t>4</w:t>
            </w:r>
            <w:r>
              <w:rPr>
                <w:rFonts w:hint="eastAsia" w:ascii="Times New Roman" w:hAnsi="Times New Roman" w:eastAsia="仿宋" w:cs="Times New Roman"/>
                <w:b w:val="0"/>
                <w:bCs/>
                <w:color w:val="auto"/>
                <w:kern w:val="2"/>
                <w:sz w:val="24"/>
                <w:szCs w:val="24"/>
                <w:highlight w:val="none"/>
                <w:lang w:val="en-US" w:eastAsia="zh-CN" w:bidi="ar-SA"/>
              </w:rPr>
              <w:t>t/a，属于HW09类危险废物，经收集后暂存于危废仓库，定期委托有资质单位处理。</w:t>
            </w:r>
          </w:p>
          <w:p w14:paraId="597B4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val="0"/>
                <w:bCs/>
                <w:color w:val="auto"/>
                <w:kern w:val="2"/>
                <w:sz w:val="24"/>
                <w:szCs w:val="24"/>
                <w:highlight w:val="none"/>
                <w:lang w:val="en-US" w:eastAsia="zh-CN" w:bidi="ar-SA"/>
              </w:rPr>
            </w:pPr>
            <w:r>
              <w:rPr>
                <w:rFonts w:hint="eastAsia" w:ascii="Times New Roman" w:hAnsi="Times New Roman" w:eastAsia="仿宋" w:cs="Times New Roman"/>
                <w:b/>
                <w:bCs w:val="0"/>
                <w:color w:val="auto"/>
                <w:kern w:val="2"/>
                <w:sz w:val="24"/>
                <w:szCs w:val="24"/>
                <w:highlight w:val="none"/>
                <w:lang w:val="en-US" w:eastAsia="zh-CN" w:bidi="ar-SA"/>
              </w:rPr>
              <w:t>废包装桶：</w:t>
            </w:r>
            <w:r>
              <w:rPr>
                <w:rFonts w:hint="eastAsia" w:ascii="Times New Roman" w:hAnsi="Times New Roman" w:eastAsia="仿宋" w:cs="Times New Roman"/>
                <w:b w:val="0"/>
                <w:bCs/>
                <w:color w:val="auto"/>
                <w:kern w:val="2"/>
                <w:sz w:val="24"/>
                <w:szCs w:val="24"/>
                <w:highlight w:val="none"/>
                <w:lang w:val="en-US" w:eastAsia="zh-CN" w:bidi="ar-SA"/>
              </w:rPr>
              <w:t>本项目使用的脱模剂包装规格为20kg/桶，使用过程中会产生废包装桶，单只脱模剂空桶重量约1kg，本项目脱模剂用量为5t/a，则本项目废包装桶产生量约为</w:t>
            </w:r>
            <w:r>
              <w:rPr>
                <w:rFonts w:hint="eastAsia" w:cs="Times New Roman"/>
                <w:b w:val="0"/>
                <w:bCs/>
                <w:color w:val="auto"/>
                <w:kern w:val="2"/>
                <w:sz w:val="24"/>
                <w:szCs w:val="24"/>
                <w:highlight w:val="none"/>
                <w:lang w:val="en-US" w:eastAsia="zh-CN" w:bidi="ar-SA"/>
              </w:rPr>
              <w:t>25</w:t>
            </w:r>
            <w:r>
              <w:rPr>
                <w:rFonts w:hint="eastAsia" w:ascii="Times New Roman" w:hAnsi="Times New Roman" w:eastAsia="仿宋" w:cs="Times New Roman"/>
                <w:b w:val="0"/>
                <w:bCs/>
                <w:color w:val="auto"/>
                <w:kern w:val="2"/>
                <w:sz w:val="24"/>
                <w:szCs w:val="24"/>
                <w:highlight w:val="none"/>
                <w:lang w:val="en-US" w:eastAsia="zh-CN" w:bidi="ar-SA"/>
              </w:rPr>
              <w:t>0只/年（约0.</w:t>
            </w:r>
            <w:r>
              <w:rPr>
                <w:rFonts w:hint="eastAsia" w:cs="Times New Roman"/>
                <w:b w:val="0"/>
                <w:bCs/>
                <w:color w:val="auto"/>
                <w:kern w:val="2"/>
                <w:sz w:val="24"/>
                <w:szCs w:val="24"/>
                <w:highlight w:val="none"/>
                <w:lang w:val="en-US" w:eastAsia="zh-CN" w:bidi="ar-SA"/>
              </w:rPr>
              <w:t>2</w:t>
            </w:r>
            <w:r>
              <w:rPr>
                <w:rFonts w:hint="eastAsia" w:ascii="Times New Roman" w:hAnsi="Times New Roman" w:eastAsia="仿宋" w:cs="Times New Roman"/>
                <w:b w:val="0"/>
                <w:bCs/>
                <w:color w:val="auto"/>
                <w:kern w:val="2"/>
                <w:sz w:val="24"/>
                <w:szCs w:val="24"/>
                <w:highlight w:val="none"/>
                <w:lang w:val="en-US" w:eastAsia="zh-CN" w:bidi="ar-SA"/>
              </w:rPr>
              <w:t>5t/a），属于HW49类危废，经收集后暂存于危废仓库，定期委托有资质单位处置。</w:t>
            </w:r>
          </w:p>
          <w:p w14:paraId="55791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val="0"/>
                <w:bCs/>
                <w:color w:val="auto"/>
                <w:kern w:val="2"/>
                <w:sz w:val="24"/>
                <w:szCs w:val="24"/>
                <w:highlight w:val="none"/>
                <w:lang w:val="en-US" w:eastAsia="zh-CN" w:bidi="ar-SA"/>
              </w:rPr>
            </w:pPr>
            <w:r>
              <w:rPr>
                <w:rFonts w:hint="eastAsia" w:ascii="Times New Roman" w:hAnsi="Times New Roman" w:eastAsia="仿宋" w:cs="Times New Roman"/>
                <w:b/>
                <w:bCs w:val="0"/>
                <w:color w:val="auto"/>
                <w:kern w:val="2"/>
                <w:sz w:val="24"/>
                <w:szCs w:val="24"/>
                <w:highlight w:val="none"/>
                <w:lang w:val="en-US" w:eastAsia="zh-CN" w:bidi="ar-SA"/>
              </w:rPr>
              <w:t>废机油：</w:t>
            </w:r>
            <w:r>
              <w:rPr>
                <w:rFonts w:hint="eastAsia" w:ascii="Times New Roman" w:hAnsi="Times New Roman" w:eastAsia="仿宋" w:cs="Times New Roman"/>
                <w:b w:val="0"/>
                <w:bCs/>
                <w:color w:val="auto"/>
                <w:kern w:val="2"/>
                <w:sz w:val="24"/>
                <w:szCs w:val="24"/>
                <w:highlight w:val="none"/>
                <w:lang w:val="en-US" w:eastAsia="zh-CN" w:bidi="ar-SA"/>
              </w:rPr>
              <w:t>本项目机加工设备需定期维护、保养，会产生废机油0.5t/a，属于HW08类危废，经收集后暂存于危废仓库，定期委托有资质单位处置。</w:t>
            </w:r>
          </w:p>
          <w:p w14:paraId="5BB1E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bCs w:val="0"/>
                <w:color w:val="auto"/>
                <w:kern w:val="2"/>
                <w:sz w:val="24"/>
                <w:szCs w:val="24"/>
                <w:highlight w:val="none"/>
                <w:lang w:val="en-US" w:eastAsia="zh-CN" w:bidi="ar-SA"/>
              </w:rPr>
            </w:pPr>
            <w:r>
              <w:rPr>
                <w:rFonts w:hint="eastAsia" w:ascii="Times New Roman" w:hAnsi="Times New Roman" w:eastAsia="仿宋" w:cs="Times New Roman"/>
                <w:b/>
                <w:bCs w:val="0"/>
                <w:color w:val="auto"/>
                <w:kern w:val="2"/>
                <w:sz w:val="24"/>
                <w:szCs w:val="24"/>
                <w:highlight w:val="none"/>
                <w:lang w:val="en-US" w:eastAsia="zh-CN" w:bidi="ar-SA"/>
              </w:rPr>
              <w:t>含油的劳保用品：</w:t>
            </w:r>
            <w:r>
              <w:rPr>
                <w:rFonts w:hint="eastAsia" w:ascii="Times New Roman" w:hAnsi="Times New Roman" w:eastAsia="仿宋" w:cs="Times New Roman"/>
                <w:b w:val="0"/>
                <w:bCs/>
                <w:color w:val="auto"/>
                <w:kern w:val="2"/>
                <w:sz w:val="24"/>
                <w:szCs w:val="24"/>
                <w:highlight w:val="none"/>
                <w:lang w:val="en-US" w:eastAsia="zh-CN" w:bidi="ar-SA"/>
              </w:rPr>
              <w:t>本项目机加工设备需定期维护、保养，会产生油的劳保用品0.1t/a，由于本项目含油的劳保用品难以单独收集，根据《国家危险废物名录（2025年版）》，未分类收集的废弃的含油抹布、劳保用品，全过程不按危险废物管理，由环卫部门统一清运。</w:t>
            </w:r>
          </w:p>
          <w:p w14:paraId="103D72BE">
            <w:pPr>
              <w:spacing w:line="480" w:lineRule="exact"/>
              <w:ind w:firstLine="482" w:firstLineChars="200"/>
              <w:rPr>
                <w:b/>
              </w:rPr>
            </w:pPr>
            <w:r>
              <w:rPr>
                <w:b/>
              </w:rPr>
              <w:t>4.3生活垃圾</w:t>
            </w:r>
          </w:p>
          <w:p w14:paraId="17533BE7">
            <w:pPr>
              <w:spacing w:line="480" w:lineRule="exact"/>
              <w:ind w:firstLine="480" w:firstLineChars="200"/>
              <w:rPr>
                <w:bCs/>
              </w:rPr>
            </w:pPr>
            <w:r>
              <w:rPr>
                <w:bCs/>
              </w:rPr>
              <w:t>本项目</w:t>
            </w:r>
            <w:r>
              <w:rPr>
                <w:rFonts w:hint="eastAsia"/>
                <w:bCs/>
                <w:lang w:val="en-US" w:eastAsia="zh-CN"/>
              </w:rPr>
              <w:t>建成后有</w:t>
            </w:r>
            <w:r>
              <w:rPr>
                <w:bCs/>
              </w:rPr>
              <w:t>员工</w:t>
            </w:r>
            <w:r>
              <w:rPr>
                <w:rFonts w:hint="eastAsia"/>
                <w:bCs/>
                <w:lang w:val="en-US" w:eastAsia="zh-CN"/>
              </w:rPr>
              <w:t>28</w:t>
            </w:r>
            <w:r>
              <w:rPr>
                <w:bCs/>
              </w:rPr>
              <w:t>人，年工作300天，本项目生活垃圾产生量以0.5kg/人·d计，则生活垃圾的产生量为</w:t>
            </w:r>
            <w:r>
              <w:rPr>
                <w:rFonts w:hint="eastAsia"/>
                <w:bCs/>
                <w:lang w:val="en-US" w:eastAsia="zh-CN"/>
              </w:rPr>
              <w:t>4.2</w:t>
            </w:r>
            <w:r>
              <w:rPr>
                <w:bCs/>
              </w:rPr>
              <w:t>t/a，生活垃圾由当地环卫部门统一处理，不对外排放。</w:t>
            </w:r>
          </w:p>
          <w:p w14:paraId="2FD7FD38">
            <w:pPr>
              <w:spacing w:line="480" w:lineRule="exact"/>
              <w:ind w:firstLine="480" w:firstLineChars="200"/>
            </w:pPr>
            <w:r>
              <w:t>项目运营过程中产生的固体废弃物全部得到了妥善</w:t>
            </w:r>
            <w:r>
              <w:rPr>
                <w:rFonts w:hint="eastAsia"/>
                <w:lang w:eastAsia="zh-CN"/>
              </w:rPr>
              <w:t>地</w:t>
            </w:r>
            <w:r>
              <w:t>处理处置，固废控制率为100%，因此不会造成二次污染。</w:t>
            </w:r>
          </w:p>
          <w:p w14:paraId="5AAA0480">
            <w:pPr>
              <w:spacing w:line="240" w:lineRule="auto"/>
              <w:jc w:val="center"/>
              <w:rPr>
                <w:b/>
                <w:bCs/>
                <w:sz w:val="21"/>
                <w:szCs w:val="21"/>
              </w:rPr>
            </w:pPr>
          </w:p>
          <w:p w14:paraId="61CBA869">
            <w:pPr>
              <w:spacing w:line="240" w:lineRule="auto"/>
              <w:jc w:val="center"/>
              <w:rPr>
                <w:b/>
                <w:bCs/>
                <w:sz w:val="21"/>
                <w:szCs w:val="21"/>
              </w:rPr>
            </w:pPr>
          </w:p>
          <w:p w14:paraId="54B902FA">
            <w:pPr>
              <w:spacing w:line="240" w:lineRule="auto"/>
              <w:jc w:val="center"/>
              <w:rPr>
                <w:b/>
                <w:bCs/>
                <w:sz w:val="21"/>
                <w:szCs w:val="21"/>
              </w:rPr>
            </w:pPr>
          </w:p>
          <w:p w14:paraId="1CD90891">
            <w:pPr>
              <w:spacing w:line="240" w:lineRule="auto"/>
              <w:jc w:val="center"/>
              <w:rPr>
                <w:b/>
                <w:bCs/>
                <w:sz w:val="21"/>
                <w:szCs w:val="21"/>
              </w:rPr>
            </w:pPr>
          </w:p>
          <w:p w14:paraId="0ED15A59">
            <w:pPr>
              <w:spacing w:line="240" w:lineRule="auto"/>
              <w:jc w:val="center"/>
              <w:rPr>
                <w:b/>
                <w:bCs/>
                <w:sz w:val="21"/>
                <w:szCs w:val="21"/>
              </w:rPr>
            </w:pPr>
          </w:p>
          <w:p w14:paraId="42052735">
            <w:pPr>
              <w:spacing w:line="240" w:lineRule="auto"/>
              <w:jc w:val="center"/>
              <w:rPr>
                <w:b/>
                <w:bCs/>
                <w:sz w:val="21"/>
                <w:szCs w:val="21"/>
              </w:rPr>
            </w:pPr>
          </w:p>
          <w:p w14:paraId="7FF30204">
            <w:pPr>
              <w:spacing w:line="240" w:lineRule="auto"/>
              <w:jc w:val="center"/>
              <w:rPr>
                <w:b/>
                <w:bCs/>
                <w:sz w:val="21"/>
                <w:szCs w:val="21"/>
              </w:rPr>
            </w:pPr>
          </w:p>
          <w:p w14:paraId="194D35E3">
            <w:pPr>
              <w:spacing w:line="240" w:lineRule="auto"/>
              <w:jc w:val="center"/>
              <w:rPr>
                <w:b/>
                <w:bCs/>
                <w:sz w:val="21"/>
                <w:szCs w:val="21"/>
              </w:rPr>
            </w:pPr>
          </w:p>
          <w:p w14:paraId="02DCF68D">
            <w:pPr>
              <w:spacing w:line="240" w:lineRule="auto"/>
              <w:jc w:val="center"/>
              <w:rPr>
                <w:b/>
                <w:bCs/>
                <w:sz w:val="21"/>
                <w:szCs w:val="21"/>
              </w:rPr>
            </w:pPr>
            <w:r>
              <w:rPr>
                <w:b/>
                <w:bCs/>
                <w:sz w:val="21"/>
                <w:szCs w:val="21"/>
              </w:rPr>
              <w:t>表4-</w:t>
            </w:r>
            <w:r>
              <w:rPr>
                <w:rFonts w:hint="eastAsia"/>
                <w:b/>
                <w:bCs/>
                <w:sz w:val="21"/>
                <w:szCs w:val="21"/>
                <w:lang w:val="en-US" w:eastAsia="zh-CN"/>
              </w:rPr>
              <w:t>24</w:t>
            </w:r>
            <w:r>
              <w:rPr>
                <w:b/>
                <w:bCs/>
                <w:sz w:val="21"/>
                <w:szCs w:val="21"/>
              </w:rPr>
              <w:t xml:space="preserve">  本项目固体废物产生情况汇总表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18"/>
              <w:gridCol w:w="1778"/>
              <w:gridCol w:w="1723"/>
              <w:gridCol w:w="943"/>
              <w:gridCol w:w="1723"/>
              <w:gridCol w:w="1645"/>
              <w:gridCol w:w="1396"/>
              <w:gridCol w:w="1096"/>
              <w:gridCol w:w="1546"/>
            </w:tblGrid>
            <w:tr w14:paraId="2D4F7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restart"/>
                  <w:tcMar>
                    <w:left w:w="0" w:type="dxa"/>
                    <w:right w:w="0" w:type="dxa"/>
                  </w:tcMar>
                  <w:vAlign w:val="center"/>
                </w:tcPr>
                <w:p w14:paraId="032773C2">
                  <w:pPr>
                    <w:spacing w:line="300" w:lineRule="exact"/>
                    <w:jc w:val="center"/>
                    <w:rPr>
                      <w:b/>
                      <w:kern w:val="0"/>
                      <w:sz w:val="21"/>
                      <w:szCs w:val="21"/>
                    </w:rPr>
                  </w:pPr>
                  <w:r>
                    <w:rPr>
                      <w:b/>
                      <w:kern w:val="0"/>
                      <w:sz w:val="21"/>
                      <w:szCs w:val="21"/>
                    </w:rPr>
                    <w:t>序号</w:t>
                  </w:r>
                </w:p>
              </w:tc>
              <w:tc>
                <w:tcPr>
                  <w:tcW w:w="707" w:type="pct"/>
                  <w:vMerge w:val="restart"/>
                  <w:tcMar>
                    <w:left w:w="0" w:type="dxa"/>
                    <w:right w:w="0" w:type="dxa"/>
                  </w:tcMar>
                  <w:vAlign w:val="center"/>
                </w:tcPr>
                <w:p w14:paraId="3816F14F">
                  <w:pPr>
                    <w:spacing w:line="300" w:lineRule="exact"/>
                    <w:jc w:val="center"/>
                    <w:rPr>
                      <w:b/>
                      <w:kern w:val="0"/>
                      <w:sz w:val="21"/>
                      <w:szCs w:val="21"/>
                    </w:rPr>
                  </w:pPr>
                  <w:r>
                    <w:rPr>
                      <w:b/>
                      <w:kern w:val="0"/>
                      <w:sz w:val="21"/>
                      <w:szCs w:val="21"/>
                    </w:rPr>
                    <w:t>副产物名称</w:t>
                  </w:r>
                </w:p>
              </w:tc>
              <w:tc>
                <w:tcPr>
                  <w:tcW w:w="685" w:type="pct"/>
                  <w:vMerge w:val="restart"/>
                  <w:tcMar>
                    <w:left w:w="0" w:type="dxa"/>
                    <w:right w:w="0" w:type="dxa"/>
                  </w:tcMar>
                  <w:vAlign w:val="center"/>
                </w:tcPr>
                <w:p w14:paraId="28AE4220">
                  <w:pPr>
                    <w:spacing w:line="300" w:lineRule="exact"/>
                    <w:jc w:val="center"/>
                    <w:rPr>
                      <w:rFonts w:hint="eastAsia" w:eastAsia="仿宋"/>
                      <w:b/>
                      <w:kern w:val="0"/>
                      <w:sz w:val="21"/>
                      <w:szCs w:val="21"/>
                      <w:lang w:eastAsia="zh-CN"/>
                    </w:rPr>
                  </w:pPr>
                  <w:r>
                    <w:rPr>
                      <w:b/>
                      <w:kern w:val="0"/>
                      <w:sz w:val="21"/>
                      <w:szCs w:val="21"/>
                    </w:rPr>
                    <w:t>产生</w:t>
                  </w:r>
                  <w:r>
                    <w:rPr>
                      <w:rFonts w:hint="eastAsia"/>
                      <w:b/>
                      <w:kern w:val="0"/>
                      <w:sz w:val="21"/>
                      <w:szCs w:val="21"/>
                      <w:lang w:eastAsia="zh-CN"/>
                    </w:rPr>
                    <w:t>工段</w:t>
                  </w:r>
                </w:p>
              </w:tc>
              <w:tc>
                <w:tcPr>
                  <w:tcW w:w="375" w:type="pct"/>
                  <w:vMerge w:val="restart"/>
                  <w:tcMar>
                    <w:left w:w="0" w:type="dxa"/>
                    <w:right w:w="0" w:type="dxa"/>
                  </w:tcMar>
                  <w:vAlign w:val="center"/>
                </w:tcPr>
                <w:p w14:paraId="35FCE3AD">
                  <w:pPr>
                    <w:spacing w:line="300" w:lineRule="exact"/>
                    <w:jc w:val="center"/>
                    <w:rPr>
                      <w:b/>
                      <w:kern w:val="0"/>
                      <w:sz w:val="21"/>
                      <w:szCs w:val="21"/>
                    </w:rPr>
                  </w:pPr>
                  <w:r>
                    <w:rPr>
                      <w:b/>
                      <w:kern w:val="0"/>
                      <w:sz w:val="21"/>
                      <w:szCs w:val="21"/>
                    </w:rPr>
                    <w:t>形态</w:t>
                  </w:r>
                </w:p>
              </w:tc>
              <w:tc>
                <w:tcPr>
                  <w:tcW w:w="685" w:type="pct"/>
                  <w:vMerge w:val="restart"/>
                  <w:tcMar>
                    <w:left w:w="0" w:type="dxa"/>
                    <w:right w:w="0" w:type="dxa"/>
                  </w:tcMar>
                  <w:vAlign w:val="center"/>
                </w:tcPr>
                <w:p w14:paraId="30537668">
                  <w:pPr>
                    <w:spacing w:line="300" w:lineRule="exact"/>
                    <w:jc w:val="center"/>
                    <w:rPr>
                      <w:b/>
                      <w:kern w:val="0"/>
                      <w:sz w:val="21"/>
                      <w:szCs w:val="21"/>
                    </w:rPr>
                  </w:pPr>
                  <w:r>
                    <w:rPr>
                      <w:b/>
                      <w:kern w:val="0"/>
                      <w:sz w:val="21"/>
                      <w:szCs w:val="21"/>
                    </w:rPr>
                    <w:t>主要成分</w:t>
                  </w:r>
                </w:p>
              </w:tc>
              <w:tc>
                <w:tcPr>
                  <w:tcW w:w="654" w:type="pct"/>
                  <w:vMerge w:val="restart"/>
                  <w:tcMar>
                    <w:left w:w="0" w:type="dxa"/>
                    <w:right w:w="0" w:type="dxa"/>
                  </w:tcMar>
                  <w:vAlign w:val="center"/>
                </w:tcPr>
                <w:p w14:paraId="2F05F9DD">
                  <w:pPr>
                    <w:spacing w:line="300" w:lineRule="exact"/>
                    <w:jc w:val="center"/>
                    <w:rPr>
                      <w:b/>
                      <w:kern w:val="0"/>
                      <w:sz w:val="21"/>
                      <w:szCs w:val="21"/>
                    </w:rPr>
                  </w:pPr>
                  <w:r>
                    <w:rPr>
                      <w:b/>
                      <w:kern w:val="0"/>
                      <w:sz w:val="21"/>
                      <w:szCs w:val="21"/>
                    </w:rPr>
                    <w:t>预测产生量t/a</w:t>
                  </w:r>
                </w:p>
              </w:tc>
              <w:tc>
                <w:tcPr>
                  <w:tcW w:w="1606" w:type="pct"/>
                  <w:gridSpan w:val="3"/>
                  <w:vAlign w:val="center"/>
                </w:tcPr>
                <w:p w14:paraId="26BBEFBA">
                  <w:pPr>
                    <w:spacing w:line="300" w:lineRule="exact"/>
                    <w:jc w:val="center"/>
                    <w:rPr>
                      <w:b/>
                      <w:kern w:val="0"/>
                      <w:sz w:val="21"/>
                      <w:szCs w:val="21"/>
                    </w:rPr>
                  </w:pPr>
                  <w:r>
                    <w:rPr>
                      <w:b/>
                      <w:kern w:val="0"/>
                      <w:sz w:val="21"/>
                      <w:szCs w:val="21"/>
                    </w:rPr>
                    <w:t>种类判断依据</w:t>
                  </w:r>
                </w:p>
              </w:tc>
            </w:tr>
            <w:tr w14:paraId="4CEF8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tcMar>
                    <w:left w:w="0" w:type="dxa"/>
                    <w:right w:w="0" w:type="dxa"/>
                  </w:tcMar>
                  <w:vAlign w:val="center"/>
                </w:tcPr>
                <w:p w14:paraId="3C6AF047">
                  <w:pPr>
                    <w:spacing w:line="300" w:lineRule="exact"/>
                    <w:jc w:val="center"/>
                    <w:rPr>
                      <w:b/>
                      <w:kern w:val="0"/>
                      <w:sz w:val="21"/>
                      <w:szCs w:val="21"/>
                    </w:rPr>
                  </w:pPr>
                </w:p>
              </w:tc>
              <w:tc>
                <w:tcPr>
                  <w:tcW w:w="707" w:type="pct"/>
                  <w:vMerge w:val="continue"/>
                  <w:tcMar>
                    <w:left w:w="0" w:type="dxa"/>
                    <w:right w:w="0" w:type="dxa"/>
                  </w:tcMar>
                  <w:vAlign w:val="center"/>
                </w:tcPr>
                <w:p w14:paraId="176CB5EC">
                  <w:pPr>
                    <w:spacing w:line="300" w:lineRule="exact"/>
                    <w:jc w:val="center"/>
                    <w:rPr>
                      <w:b/>
                      <w:kern w:val="0"/>
                      <w:sz w:val="21"/>
                      <w:szCs w:val="21"/>
                    </w:rPr>
                  </w:pPr>
                </w:p>
              </w:tc>
              <w:tc>
                <w:tcPr>
                  <w:tcW w:w="685" w:type="pct"/>
                  <w:vMerge w:val="continue"/>
                  <w:tcMar>
                    <w:left w:w="0" w:type="dxa"/>
                    <w:right w:w="0" w:type="dxa"/>
                  </w:tcMar>
                  <w:vAlign w:val="center"/>
                </w:tcPr>
                <w:p w14:paraId="1C21E0A6">
                  <w:pPr>
                    <w:spacing w:line="300" w:lineRule="exact"/>
                    <w:jc w:val="center"/>
                    <w:rPr>
                      <w:b/>
                      <w:kern w:val="0"/>
                      <w:sz w:val="21"/>
                      <w:szCs w:val="21"/>
                    </w:rPr>
                  </w:pPr>
                </w:p>
              </w:tc>
              <w:tc>
                <w:tcPr>
                  <w:tcW w:w="375" w:type="pct"/>
                  <w:vMerge w:val="continue"/>
                  <w:tcMar>
                    <w:left w:w="0" w:type="dxa"/>
                    <w:right w:w="0" w:type="dxa"/>
                  </w:tcMar>
                  <w:vAlign w:val="center"/>
                </w:tcPr>
                <w:p w14:paraId="23586C86">
                  <w:pPr>
                    <w:spacing w:line="300" w:lineRule="exact"/>
                    <w:jc w:val="center"/>
                    <w:rPr>
                      <w:b/>
                      <w:kern w:val="0"/>
                      <w:sz w:val="21"/>
                      <w:szCs w:val="21"/>
                    </w:rPr>
                  </w:pPr>
                </w:p>
              </w:tc>
              <w:tc>
                <w:tcPr>
                  <w:tcW w:w="685" w:type="pct"/>
                  <w:vMerge w:val="continue"/>
                  <w:tcMar>
                    <w:left w:w="0" w:type="dxa"/>
                    <w:right w:w="0" w:type="dxa"/>
                  </w:tcMar>
                  <w:vAlign w:val="center"/>
                </w:tcPr>
                <w:p w14:paraId="2EC6410D">
                  <w:pPr>
                    <w:spacing w:line="300" w:lineRule="exact"/>
                    <w:jc w:val="center"/>
                    <w:rPr>
                      <w:b/>
                      <w:kern w:val="0"/>
                      <w:sz w:val="21"/>
                      <w:szCs w:val="21"/>
                    </w:rPr>
                  </w:pPr>
                </w:p>
              </w:tc>
              <w:tc>
                <w:tcPr>
                  <w:tcW w:w="654" w:type="pct"/>
                  <w:vMerge w:val="continue"/>
                  <w:tcMar>
                    <w:left w:w="0" w:type="dxa"/>
                    <w:right w:w="0" w:type="dxa"/>
                  </w:tcMar>
                  <w:vAlign w:val="center"/>
                </w:tcPr>
                <w:p w14:paraId="3496F023">
                  <w:pPr>
                    <w:spacing w:line="300" w:lineRule="exact"/>
                    <w:jc w:val="center"/>
                    <w:rPr>
                      <w:b/>
                      <w:kern w:val="0"/>
                      <w:sz w:val="21"/>
                      <w:szCs w:val="21"/>
                    </w:rPr>
                  </w:pPr>
                </w:p>
              </w:tc>
              <w:tc>
                <w:tcPr>
                  <w:tcW w:w="555" w:type="pct"/>
                  <w:vAlign w:val="center"/>
                </w:tcPr>
                <w:p w14:paraId="4A63C530">
                  <w:pPr>
                    <w:spacing w:line="300" w:lineRule="exact"/>
                    <w:jc w:val="center"/>
                    <w:rPr>
                      <w:b/>
                      <w:kern w:val="0"/>
                      <w:sz w:val="21"/>
                      <w:szCs w:val="21"/>
                    </w:rPr>
                  </w:pPr>
                  <w:r>
                    <w:rPr>
                      <w:b/>
                      <w:kern w:val="0"/>
                      <w:sz w:val="21"/>
                      <w:szCs w:val="21"/>
                    </w:rPr>
                    <w:t>固体废物</w:t>
                  </w:r>
                </w:p>
              </w:tc>
              <w:tc>
                <w:tcPr>
                  <w:tcW w:w="436" w:type="pct"/>
                  <w:vAlign w:val="center"/>
                </w:tcPr>
                <w:p w14:paraId="4EC2DAD3">
                  <w:pPr>
                    <w:spacing w:line="300" w:lineRule="exact"/>
                    <w:jc w:val="center"/>
                    <w:rPr>
                      <w:b/>
                      <w:kern w:val="0"/>
                      <w:sz w:val="21"/>
                      <w:szCs w:val="21"/>
                    </w:rPr>
                  </w:pPr>
                  <w:r>
                    <w:rPr>
                      <w:b/>
                      <w:kern w:val="0"/>
                      <w:sz w:val="21"/>
                      <w:szCs w:val="21"/>
                    </w:rPr>
                    <w:t>副产品</w:t>
                  </w:r>
                </w:p>
              </w:tc>
              <w:tc>
                <w:tcPr>
                  <w:tcW w:w="614" w:type="pct"/>
                  <w:vAlign w:val="center"/>
                </w:tcPr>
                <w:p w14:paraId="0B66E76E">
                  <w:pPr>
                    <w:spacing w:line="300" w:lineRule="exact"/>
                    <w:jc w:val="center"/>
                    <w:rPr>
                      <w:b/>
                      <w:kern w:val="0"/>
                      <w:sz w:val="21"/>
                      <w:szCs w:val="21"/>
                    </w:rPr>
                  </w:pPr>
                  <w:r>
                    <w:rPr>
                      <w:b/>
                      <w:kern w:val="0"/>
                      <w:sz w:val="21"/>
                      <w:szCs w:val="21"/>
                    </w:rPr>
                    <w:t>判定依据</w:t>
                  </w:r>
                </w:p>
              </w:tc>
            </w:tr>
            <w:tr w14:paraId="727A1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tcMar>
                    <w:left w:w="0" w:type="dxa"/>
                    <w:right w:w="0" w:type="dxa"/>
                  </w:tcMar>
                  <w:vAlign w:val="center"/>
                </w:tcPr>
                <w:p w14:paraId="1EA92EE4">
                  <w:pPr>
                    <w:spacing w:line="300" w:lineRule="exact"/>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7" w:type="pct"/>
                  <w:shd w:val="clear" w:color="auto" w:fill="auto"/>
                  <w:tcMar>
                    <w:left w:w="0" w:type="dxa"/>
                    <w:right w:w="0" w:type="dxa"/>
                  </w:tcMar>
                  <w:vAlign w:val="center"/>
                </w:tcPr>
                <w:p w14:paraId="4144F0ED">
                  <w:pPr>
                    <w:spacing w:line="300" w:lineRule="exact"/>
                    <w:jc w:val="center"/>
                    <w:rPr>
                      <w:rFonts w:hint="eastAsia" w:ascii="Times New Roman" w:hAnsi="Times New Roman" w:eastAsia="仿宋" w:cs="Times New Roman"/>
                      <w:kern w:val="0"/>
                      <w:sz w:val="21"/>
                      <w:szCs w:val="21"/>
                      <w:lang w:val="en-US" w:eastAsia="zh-CN"/>
                    </w:rPr>
                  </w:pPr>
                  <w:r>
                    <w:rPr>
                      <w:rFonts w:hint="eastAsia" w:cs="Times New Roman"/>
                      <w:kern w:val="0"/>
                      <w:sz w:val="21"/>
                      <w:szCs w:val="21"/>
                      <w:lang w:eastAsia="zh-CN"/>
                    </w:rPr>
                    <w:t>边角料</w:t>
                  </w:r>
                </w:p>
              </w:tc>
              <w:tc>
                <w:tcPr>
                  <w:tcW w:w="685" w:type="pct"/>
                  <w:shd w:val="clear" w:color="auto" w:fill="auto"/>
                  <w:tcMar>
                    <w:left w:w="0" w:type="dxa"/>
                    <w:right w:w="0" w:type="dxa"/>
                  </w:tcMar>
                  <w:vAlign w:val="center"/>
                </w:tcPr>
                <w:p w14:paraId="2C7446B2">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机加工</w:t>
                  </w:r>
                </w:p>
              </w:tc>
              <w:tc>
                <w:tcPr>
                  <w:tcW w:w="375" w:type="pct"/>
                  <w:shd w:val="clear" w:color="auto" w:fill="auto"/>
                  <w:tcMar>
                    <w:left w:w="0" w:type="dxa"/>
                    <w:right w:w="0" w:type="dxa"/>
                  </w:tcMar>
                  <w:vAlign w:val="center"/>
                </w:tcPr>
                <w:p w14:paraId="31D5892D">
                  <w:pPr>
                    <w:spacing w:line="300" w:lineRule="exact"/>
                    <w:jc w:val="center"/>
                    <w:rPr>
                      <w:rFonts w:ascii="Times New Roman" w:hAnsi="Times New Roman" w:cs="Times New Roman"/>
                      <w:kern w:val="0"/>
                      <w:sz w:val="21"/>
                      <w:szCs w:val="21"/>
                      <w:lang w:val="en-US" w:eastAsia="zh-CN"/>
                    </w:rPr>
                  </w:pPr>
                  <w:r>
                    <w:rPr>
                      <w:rFonts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46581255">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铝</w:t>
                  </w:r>
                </w:p>
              </w:tc>
              <w:tc>
                <w:tcPr>
                  <w:tcW w:w="654" w:type="pct"/>
                  <w:shd w:val="clear" w:color="auto" w:fill="auto"/>
                  <w:tcMar>
                    <w:left w:w="0" w:type="dxa"/>
                    <w:right w:w="0" w:type="dxa"/>
                  </w:tcMar>
                  <w:vAlign w:val="center"/>
                </w:tcPr>
                <w:p w14:paraId="0DD8A18B">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50</w:t>
                  </w:r>
                </w:p>
              </w:tc>
              <w:tc>
                <w:tcPr>
                  <w:tcW w:w="555" w:type="pct"/>
                  <w:vAlign w:val="center"/>
                </w:tcPr>
                <w:p w14:paraId="5699B253">
                  <w:pPr>
                    <w:spacing w:line="300" w:lineRule="exact"/>
                    <w:jc w:val="center"/>
                    <w:rPr>
                      <w:kern w:val="0"/>
                      <w:sz w:val="21"/>
                      <w:szCs w:val="21"/>
                    </w:rPr>
                  </w:pPr>
                  <w:r>
                    <w:rPr>
                      <w:kern w:val="0"/>
                      <w:sz w:val="21"/>
                      <w:szCs w:val="21"/>
                    </w:rPr>
                    <w:t>√</w:t>
                  </w:r>
                </w:p>
              </w:tc>
              <w:tc>
                <w:tcPr>
                  <w:tcW w:w="436" w:type="pct"/>
                  <w:vAlign w:val="center"/>
                </w:tcPr>
                <w:p w14:paraId="2BD491F6">
                  <w:pPr>
                    <w:spacing w:line="300" w:lineRule="exact"/>
                    <w:jc w:val="center"/>
                    <w:rPr>
                      <w:kern w:val="0"/>
                      <w:sz w:val="21"/>
                      <w:szCs w:val="21"/>
                    </w:rPr>
                  </w:pPr>
                  <w:r>
                    <w:rPr>
                      <w:kern w:val="0"/>
                      <w:sz w:val="21"/>
                      <w:szCs w:val="21"/>
                    </w:rPr>
                    <w:t>/</w:t>
                  </w:r>
                </w:p>
              </w:tc>
              <w:tc>
                <w:tcPr>
                  <w:tcW w:w="614" w:type="pct"/>
                  <w:vMerge w:val="restart"/>
                  <w:vAlign w:val="center"/>
                </w:tcPr>
                <w:p w14:paraId="4BC54013">
                  <w:pPr>
                    <w:spacing w:line="300" w:lineRule="exact"/>
                    <w:jc w:val="center"/>
                    <w:rPr>
                      <w:kern w:val="0"/>
                      <w:sz w:val="21"/>
                      <w:szCs w:val="21"/>
                    </w:rPr>
                  </w:pPr>
                  <w:r>
                    <w:rPr>
                      <w:kern w:val="0"/>
                      <w:sz w:val="21"/>
                      <w:szCs w:val="21"/>
                    </w:rPr>
                    <w:t>《固体废物鉴别标准通则》（GB34330 2017）</w:t>
                  </w:r>
                </w:p>
              </w:tc>
            </w:tr>
            <w:tr w14:paraId="0A701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5FE4F66D">
                  <w:pPr>
                    <w:spacing w:line="300" w:lineRule="exact"/>
                    <w:jc w:val="center"/>
                    <w:rPr>
                      <w:rFonts w:ascii="Times New Roman" w:hAnsi="Times New Roman" w:cs="Times New Roman"/>
                      <w:kern w:val="0"/>
                      <w:sz w:val="21"/>
                      <w:szCs w:val="21"/>
                      <w:lang w:val="en-US" w:eastAsia="zh-CN"/>
                    </w:rPr>
                  </w:pPr>
                  <w:r>
                    <w:rPr>
                      <w:rFonts w:hint="eastAsia" w:ascii="Times New Roman" w:hAnsi="Times New Roman" w:cs="Times New Roman"/>
                      <w:kern w:val="0"/>
                      <w:sz w:val="21"/>
                      <w:szCs w:val="21"/>
                    </w:rPr>
                    <w:t>2</w:t>
                  </w:r>
                </w:p>
              </w:tc>
              <w:tc>
                <w:tcPr>
                  <w:tcW w:w="707" w:type="pct"/>
                  <w:shd w:val="clear" w:color="auto" w:fill="auto"/>
                  <w:tcMar>
                    <w:left w:w="0" w:type="dxa"/>
                    <w:right w:w="0" w:type="dxa"/>
                  </w:tcMar>
                  <w:vAlign w:val="center"/>
                </w:tcPr>
                <w:p w14:paraId="06B477C0">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不合格品</w:t>
                  </w:r>
                </w:p>
              </w:tc>
              <w:tc>
                <w:tcPr>
                  <w:tcW w:w="685" w:type="pct"/>
                  <w:shd w:val="clear" w:color="auto" w:fill="auto"/>
                  <w:tcMar>
                    <w:left w:w="0" w:type="dxa"/>
                    <w:right w:w="0" w:type="dxa"/>
                  </w:tcMar>
                  <w:vAlign w:val="center"/>
                </w:tcPr>
                <w:p w14:paraId="492432BB">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检验</w:t>
                  </w:r>
                </w:p>
              </w:tc>
              <w:tc>
                <w:tcPr>
                  <w:tcW w:w="375" w:type="pct"/>
                  <w:shd w:val="clear" w:color="auto" w:fill="auto"/>
                  <w:tcMar>
                    <w:left w:w="0" w:type="dxa"/>
                    <w:right w:w="0" w:type="dxa"/>
                  </w:tcMar>
                  <w:vAlign w:val="center"/>
                </w:tcPr>
                <w:p w14:paraId="50407C5D">
                  <w:pPr>
                    <w:spacing w:line="300" w:lineRule="exact"/>
                    <w:jc w:val="center"/>
                    <w:rPr>
                      <w:rFonts w:ascii="Times New Roman" w:hAnsi="Times New Roman" w:cs="Times New Roman"/>
                      <w:kern w:val="0"/>
                      <w:sz w:val="21"/>
                      <w:szCs w:val="21"/>
                      <w:lang w:val="en-US" w:eastAsia="zh-CN"/>
                    </w:rPr>
                  </w:pPr>
                  <w:r>
                    <w:rPr>
                      <w:rFonts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0FF3106A">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铝</w:t>
                  </w:r>
                </w:p>
              </w:tc>
              <w:tc>
                <w:tcPr>
                  <w:tcW w:w="654" w:type="pct"/>
                  <w:shd w:val="clear" w:color="auto" w:fill="auto"/>
                  <w:tcMar>
                    <w:left w:w="0" w:type="dxa"/>
                    <w:right w:w="0" w:type="dxa"/>
                  </w:tcMar>
                  <w:vAlign w:val="center"/>
                </w:tcPr>
                <w:p w14:paraId="6C15647E">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10</w:t>
                  </w:r>
                </w:p>
              </w:tc>
              <w:tc>
                <w:tcPr>
                  <w:tcW w:w="555" w:type="pct"/>
                  <w:shd w:val="clear" w:color="auto" w:fill="auto"/>
                  <w:vAlign w:val="center"/>
                </w:tcPr>
                <w:p w14:paraId="69CFBE1E">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w:t>
                  </w:r>
                </w:p>
              </w:tc>
              <w:tc>
                <w:tcPr>
                  <w:tcW w:w="436" w:type="pct"/>
                  <w:shd w:val="clear" w:color="auto" w:fill="auto"/>
                  <w:vAlign w:val="center"/>
                </w:tcPr>
                <w:p w14:paraId="6C542C8D">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w:t>
                  </w:r>
                </w:p>
              </w:tc>
              <w:tc>
                <w:tcPr>
                  <w:tcW w:w="614" w:type="pct"/>
                  <w:vMerge w:val="continue"/>
                  <w:vAlign w:val="center"/>
                </w:tcPr>
                <w:p w14:paraId="57B23604">
                  <w:pPr>
                    <w:spacing w:line="300" w:lineRule="exact"/>
                    <w:jc w:val="center"/>
                    <w:rPr>
                      <w:kern w:val="0"/>
                      <w:sz w:val="21"/>
                      <w:szCs w:val="21"/>
                    </w:rPr>
                  </w:pPr>
                </w:p>
              </w:tc>
            </w:tr>
            <w:tr w14:paraId="30444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4A93E9CA">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3</w:t>
                  </w:r>
                </w:p>
              </w:tc>
              <w:tc>
                <w:tcPr>
                  <w:tcW w:w="707" w:type="pct"/>
                  <w:shd w:val="clear" w:color="auto" w:fill="auto"/>
                  <w:tcMar>
                    <w:left w:w="0" w:type="dxa"/>
                    <w:right w:w="0" w:type="dxa"/>
                  </w:tcMar>
                  <w:vAlign w:val="center"/>
                </w:tcPr>
                <w:p w14:paraId="7BC02813">
                  <w:pPr>
                    <w:spacing w:line="300" w:lineRule="exact"/>
                    <w:jc w:val="center"/>
                    <w:rPr>
                      <w:rFonts w:hint="eastAsia" w:ascii="Times New Roman" w:hAnsi="Times New Roman" w:eastAsia="仿宋" w:cs="Times New Roman"/>
                      <w:kern w:val="0"/>
                      <w:sz w:val="21"/>
                      <w:szCs w:val="21"/>
                      <w:lang w:val="en-US" w:eastAsia="zh-CN"/>
                    </w:rPr>
                  </w:pPr>
                  <w:r>
                    <w:rPr>
                      <w:rFonts w:hint="eastAsia" w:cs="Times New Roman"/>
                      <w:kern w:val="0"/>
                      <w:sz w:val="21"/>
                      <w:szCs w:val="21"/>
                      <w:lang w:eastAsia="zh-CN"/>
                    </w:rPr>
                    <w:t>炉渣</w:t>
                  </w:r>
                </w:p>
              </w:tc>
              <w:tc>
                <w:tcPr>
                  <w:tcW w:w="685" w:type="pct"/>
                  <w:shd w:val="clear" w:color="auto" w:fill="auto"/>
                  <w:tcMar>
                    <w:left w:w="0" w:type="dxa"/>
                    <w:right w:w="0" w:type="dxa"/>
                  </w:tcMar>
                  <w:vAlign w:val="center"/>
                </w:tcPr>
                <w:p w14:paraId="50D5851E">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熔化、废气处理</w:t>
                  </w:r>
                </w:p>
              </w:tc>
              <w:tc>
                <w:tcPr>
                  <w:tcW w:w="375" w:type="pct"/>
                  <w:shd w:val="clear" w:color="auto" w:fill="auto"/>
                  <w:tcMar>
                    <w:left w:w="0" w:type="dxa"/>
                    <w:right w:w="0" w:type="dxa"/>
                  </w:tcMar>
                  <w:vAlign w:val="center"/>
                </w:tcPr>
                <w:p w14:paraId="5EA72970">
                  <w:pPr>
                    <w:spacing w:line="300" w:lineRule="exact"/>
                    <w:jc w:val="center"/>
                    <w:rPr>
                      <w:rFonts w:hint="eastAsia" w:ascii="Times New Roman" w:hAnsi="Times New Roman" w:cs="Times New Roman"/>
                      <w:kern w:val="0"/>
                      <w:sz w:val="21"/>
                      <w:szCs w:val="21"/>
                      <w:lang w:val="en-US" w:eastAsia="zh-CN"/>
                    </w:rPr>
                  </w:pPr>
                  <w:r>
                    <w:rPr>
                      <w:rFonts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7AF8A10E">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铝</w:t>
                  </w:r>
                </w:p>
              </w:tc>
              <w:tc>
                <w:tcPr>
                  <w:tcW w:w="654" w:type="pct"/>
                  <w:shd w:val="clear" w:color="auto" w:fill="auto"/>
                  <w:tcMar>
                    <w:left w:w="0" w:type="dxa"/>
                    <w:right w:w="0" w:type="dxa"/>
                  </w:tcMar>
                  <w:vAlign w:val="center"/>
                </w:tcPr>
                <w:p w14:paraId="2D91218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30</w:t>
                  </w:r>
                </w:p>
              </w:tc>
              <w:tc>
                <w:tcPr>
                  <w:tcW w:w="555" w:type="pct"/>
                  <w:shd w:val="clear" w:color="auto" w:fill="auto"/>
                  <w:vAlign w:val="center"/>
                </w:tcPr>
                <w:p w14:paraId="477B4001">
                  <w:pPr>
                    <w:spacing w:line="300" w:lineRule="exact"/>
                    <w:jc w:val="center"/>
                    <w:rPr>
                      <w:kern w:val="0"/>
                      <w:sz w:val="21"/>
                      <w:szCs w:val="21"/>
                    </w:rPr>
                  </w:pPr>
                  <w:r>
                    <w:rPr>
                      <w:kern w:val="0"/>
                      <w:sz w:val="21"/>
                      <w:szCs w:val="21"/>
                    </w:rPr>
                    <w:t>√</w:t>
                  </w:r>
                </w:p>
              </w:tc>
              <w:tc>
                <w:tcPr>
                  <w:tcW w:w="436" w:type="pct"/>
                  <w:shd w:val="clear" w:color="auto" w:fill="auto"/>
                  <w:vAlign w:val="center"/>
                </w:tcPr>
                <w:p w14:paraId="4913B3A3">
                  <w:pPr>
                    <w:spacing w:line="300" w:lineRule="exact"/>
                    <w:jc w:val="center"/>
                    <w:rPr>
                      <w:kern w:val="0"/>
                      <w:sz w:val="21"/>
                      <w:szCs w:val="21"/>
                    </w:rPr>
                  </w:pPr>
                  <w:r>
                    <w:rPr>
                      <w:kern w:val="0"/>
                      <w:sz w:val="21"/>
                      <w:szCs w:val="21"/>
                    </w:rPr>
                    <w:t>/</w:t>
                  </w:r>
                </w:p>
              </w:tc>
              <w:tc>
                <w:tcPr>
                  <w:tcW w:w="614" w:type="pct"/>
                  <w:vMerge w:val="continue"/>
                  <w:vAlign w:val="center"/>
                </w:tcPr>
                <w:p w14:paraId="1F3A3A11">
                  <w:pPr>
                    <w:spacing w:line="300" w:lineRule="exact"/>
                    <w:jc w:val="center"/>
                    <w:rPr>
                      <w:kern w:val="0"/>
                      <w:sz w:val="21"/>
                      <w:szCs w:val="21"/>
                    </w:rPr>
                  </w:pPr>
                </w:p>
              </w:tc>
            </w:tr>
            <w:tr w14:paraId="7A4F9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143CF7A8">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4</w:t>
                  </w:r>
                </w:p>
              </w:tc>
              <w:tc>
                <w:tcPr>
                  <w:tcW w:w="707" w:type="pct"/>
                  <w:shd w:val="clear" w:color="auto" w:fill="auto"/>
                  <w:tcMar>
                    <w:left w:w="0" w:type="dxa"/>
                    <w:right w:w="0" w:type="dxa"/>
                  </w:tcMar>
                  <w:vAlign w:val="center"/>
                </w:tcPr>
                <w:p w14:paraId="3F22EF51">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废过滤材料</w:t>
                  </w:r>
                </w:p>
              </w:tc>
              <w:tc>
                <w:tcPr>
                  <w:tcW w:w="685" w:type="pct"/>
                  <w:shd w:val="clear" w:color="auto" w:fill="auto"/>
                  <w:tcMar>
                    <w:left w:w="0" w:type="dxa"/>
                    <w:right w:w="0" w:type="dxa"/>
                  </w:tcMar>
                  <w:vAlign w:val="center"/>
                </w:tcPr>
                <w:p w14:paraId="563289A0">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压铸、废气处理</w:t>
                  </w:r>
                </w:p>
              </w:tc>
              <w:tc>
                <w:tcPr>
                  <w:tcW w:w="375" w:type="pct"/>
                  <w:shd w:val="clear" w:color="auto" w:fill="auto"/>
                  <w:tcMar>
                    <w:left w:w="0" w:type="dxa"/>
                    <w:right w:w="0" w:type="dxa"/>
                  </w:tcMar>
                  <w:vAlign w:val="center"/>
                </w:tcPr>
                <w:p w14:paraId="79F89B12">
                  <w:pPr>
                    <w:spacing w:line="300" w:lineRule="exact"/>
                    <w:jc w:val="center"/>
                    <w:rPr>
                      <w:rFonts w:ascii="Times New Roman" w:hAnsi="Times New Roman" w:cs="Times New Roman"/>
                      <w:kern w:val="0"/>
                      <w:sz w:val="21"/>
                      <w:szCs w:val="21"/>
                    </w:rPr>
                  </w:pPr>
                  <w:r>
                    <w:rPr>
                      <w:rFonts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5F442577">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烃/水混合物</w:t>
                  </w:r>
                </w:p>
              </w:tc>
              <w:tc>
                <w:tcPr>
                  <w:tcW w:w="654" w:type="pct"/>
                  <w:shd w:val="clear" w:color="auto" w:fill="auto"/>
                  <w:tcMar>
                    <w:left w:w="0" w:type="dxa"/>
                    <w:right w:w="0" w:type="dxa"/>
                  </w:tcMar>
                  <w:vAlign w:val="center"/>
                </w:tcPr>
                <w:p w14:paraId="64B7F7FE">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0.1</w:t>
                  </w:r>
                </w:p>
              </w:tc>
              <w:tc>
                <w:tcPr>
                  <w:tcW w:w="555" w:type="pct"/>
                  <w:shd w:val="clear" w:color="auto" w:fill="auto"/>
                  <w:vAlign w:val="center"/>
                </w:tcPr>
                <w:p w14:paraId="787F2445">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w:t>
                  </w:r>
                </w:p>
              </w:tc>
              <w:tc>
                <w:tcPr>
                  <w:tcW w:w="436" w:type="pct"/>
                  <w:shd w:val="clear" w:color="auto" w:fill="auto"/>
                  <w:vAlign w:val="center"/>
                </w:tcPr>
                <w:p w14:paraId="2A3CAB27">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w:t>
                  </w:r>
                </w:p>
              </w:tc>
              <w:tc>
                <w:tcPr>
                  <w:tcW w:w="614" w:type="pct"/>
                  <w:vMerge w:val="continue"/>
                  <w:vAlign w:val="center"/>
                </w:tcPr>
                <w:p w14:paraId="09BEC6EB">
                  <w:pPr>
                    <w:spacing w:line="300" w:lineRule="exact"/>
                    <w:jc w:val="center"/>
                    <w:rPr>
                      <w:kern w:val="0"/>
                      <w:sz w:val="21"/>
                      <w:szCs w:val="21"/>
                    </w:rPr>
                  </w:pPr>
                </w:p>
              </w:tc>
            </w:tr>
            <w:tr w14:paraId="51C1B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488030B6">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5</w:t>
                  </w:r>
                </w:p>
              </w:tc>
              <w:tc>
                <w:tcPr>
                  <w:tcW w:w="707" w:type="pct"/>
                  <w:shd w:val="clear" w:color="auto" w:fill="auto"/>
                  <w:tcMar>
                    <w:left w:w="0" w:type="dxa"/>
                    <w:right w:w="0" w:type="dxa"/>
                  </w:tcMar>
                  <w:vAlign w:val="center"/>
                </w:tcPr>
                <w:p w14:paraId="5263442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废包装桶</w:t>
                  </w:r>
                </w:p>
              </w:tc>
              <w:tc>
                <w:tcPr>
                  <w:tcW w:w="685" w:type="pct"/>
                  <w:shd w:val="clear" w:color="auto" w:fill="auto"/>
                  <w:tcMar>
                    <w:left w:w="0" w:type="dxa"/>
                    <w:right w:w="0" w:type="dxa"/>
                  </w:tcMar>
                  <w:vAlign w:val="center"/>
                </w:tcPr>
                <w:p w14:paraId="5BAC13CF">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原料使用</w:t>
                  </w:r>
                </w:p>
              </w:tc>
              <w:tc>
                <w:tcPr>
                  <w:tcW w:w="375" w:type="pct"/>
                  <w:shd w:val="clear" w:color="auto" w:fill="auto"/>
                  <w:tcMar>
                    <w:left w:w="0" w:type="dxa"/>
                    <w:right w:w="0" w:type="dxa"/>
                  </w:tcMar>
                  <w:vAlign w:val="center"/>
                </w:tcPr>
                <w:p w14:paraId="3E621119">
                  <w:pPr>
                    <w:spacing w:line="300" w:lineRule="exact"/>
                    <w:jc w:val="center"/>
                    <w:rPr>
                      <w:rFonts w:hint="eastAsia" w:ascii="Times New Roman" w:hAnsi="Times New Roman" w:cs="Times New Roman"/>
                      <w:kern w:val="0"/>
                      <w:sz w:val="21"/>
                      <w:szCs w:val="21"/>
                      <w:lang w:val="en-US" w:eastAsia="zh-CN"/>
                    </w:rPr>
                  </w:pPr>
                  <w:r>
                    <w:rPr>
                      <w:rFonts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008AA9C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脱模剂</w:t>
                  </w:r>
                </w:p>
              </w:tc>
              <w:tc>
                <w:tcPr>
                  <w:tcW w:w="654" w:type="pct"/>
                  <w:shd w:val="clear" w:color="auto" w:fill="auto"/>
                  <w:tcMar>
                    <w:left w:w="0" w:type="dxa"/>
                    <w:right w:w="0" w:type="dxa"/>
                  </w:tcMar>
                  <w:vAlign w:val="center"/>
                </w:tcPr>
                <w:p w14:paraId="03245C72">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0.</w:t>
                  </w:r>
                  <w:r>
                    <w:rPr>
                      <w:rFonts w:hint="eastAsia" w:cs="Times New Roman"/>
                      <w:kern w:val="0"/>
                      <w:sz w:val="21"/>
                      <w:szCs w:val="21"/>
                      <w:lang w:val="en-US" w:eastAsia="zh-CN"/>
                    </w:rPr>
                    <w:t>2</w:t>
                  </w:r>
                  <w:r>
                    <w:rPr>
                      <w:rFonts w:hint="eastAsia" w:ascii="Times New Roman" w:hAnsi="Times New Roman" w:cs="Times New Roman"/>
                      <w:kern w:val="0"/>
                      <w:sz w:val="21"/>
                      <w:szCs w:val="21"/>
                    </w:rPr>
                    <w:t>5</w:t>
                  </w:r>
                </w:p>
              </w:tc>
              <w:tc>
                <w:tcPr>
                  <w:tcW w:w="555" w:type="pct"/>
                  <w:shd w:val="clear" w:color="auto" w:fill="auto"/>
                  <w:vAlign w:val="center"/>
                </w:tcPr>
                <w:p w14:paraId="7AEFAA49">
                  <w:pPr>
                    <w:spacing w:line="300" w:lineRule="exact"/>
                    <w:jc w:val="center"/>
                    <w:rPr>
                      <w:kern w:val="0"/>
                      <w:sz w:val="21"/>
                      <w:szCs w:val="21"/>
                    </w:rPr>
                  </w:pPr>
                  <w:r>
                    <w:rPr>
                      <w:kern w:val="0"/>
                      <w:sz w:val="21"/>
                      <w:szCs w:val="21"/>
                    </w:rPr>
                    <w:t>√</w:t>
                  </w:r>
                </w:p>
              </w:tc>
              <w:tc>
                <w:tcPr>
                  <w:tcW w:w="436" w:type="pct"/>
                  <w:shd w:val="clear" w:color="auto" w:fill="auto"/>
                  <w:vAlign w:val="center"/>
                </w:tcPr>
                <w:p w14:paraId="139968B2">
                  <w:pPr>
                    <w:spacing w:line="300" w:lineRule="exact"/>
                    <w:jc w:val="center"/>
                    <w:rPr>
                      <w:kern w:val="0"/>
                      <w:sz w:val="21"/>
                      <w:szCs w:val="21"/>
                    </w:rPr>
                  </w:pPr>
                  <w:r>
                    <w:rPr>
                      <w:kern w:val="0"/>
                      <w:sz w:val="21"/>
                      <w:szCs w:val="21"/>
                    </w:rPr>
                    <w:t>/</w:t>
                  </w:r>
                </w:p>
              </w:tc>
              <w:tc>
                <w:tcPr>
                  <w:tcW w:w="614" w:type="pct"/>
                  <w:vMerge w:val="continue"/>
                  <w:vAlign w:val="center"/>
                </w:tcPr>
                <w:p w14:paraId="55A1B37F">
                  <w:pPr>
                    <w:spacing w:line="300" w:lineRule="exact"/>
                    <w:jc w:val="center"/>
                    <w:rPr>
                      <w:kern w:val="0"/>
                      <w:sz w:val="21"/>
                      <w:szCs w:val="21"/>
                    </w:rPr>
                  </w:pPr>
                </w:p>
              </w:tc>
            </w:tr>
            <w:tr w14:paraId="31E61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46F4FB8B">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6</w:t>
                  </w:r>
                </w:p>
              </w:tc>
              <w:tc>
                <w:tcPr>
                  <w:tcW w:w="707" w:type="pct"/>
                  <w:shd w:val="clear" w:color="auto" w:fill="auto"/>
                  <w:tcMar>
                    <w:left w:w="0" w:type="dxa"/>
                    <w:right w:w="0" w:type="dxa"/>
                  </w:tcMar>
                  <w:vAlign w:val="center"/>
                </w:tcPr>
                <w:p w14:paraId="33625F64">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废活性炭</w:t>
                  </w:r>
                </w:p>
              </w:tc>
              <w:tc>
                <w:tcPr>
                  <w:tcW w:w="685" w:type="pct"/>
                  <w:shd w:val="clear" w:color="auto" w:fill="auto"/>
                  <w:tcMar>
                    <w:left w:w="0" w:type="dxa"/>
                    <w:right w:w="0" w:type="dxa"/>
                  </w:tcMar>
                  <w:vAlign w:val="center"/>
                </w:tcPr>
                <w:p w14:paraId="3E3586B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废气处理</w:t>
                  </w:r>
                </w:p>
              </w:tc>
              <w:tc>
                <w:tcPr>
                  <w:tcW w:w="375" w:type="pct"/>
                  <w:shd w:val="clear" w:color="auto" w:fill="auto"/>
                  <w:tcMar>
                    <w:left w:w="0" w:type="dxa"/>
                    <w:right w:w="0" w:type="dxa"/>
                  </w:tcMar>
                  <w:vAlign w:val="center"/>
                </w:tcPr>
                <w:p w14:paraId="403876BC">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414D2B3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有机废气</w:t>
                  </w:r>
                </w:p>
              </w:tc>
              <w:tc>
                <w:tcPr>
                  <w:tcW w:w="654" w:type="pct"/>
                  <w:shd w:val="clear" w:color="auto" w:fill="auto"/>
                  <w:tcMar>
                    <w:left w:w="0" w:type="dxa"/>
                    <w:right w:w="0" w:type="dxa"/>
                  </w:tcMar>
                  <w:vAlign w:val="center"/>
                </w:tcPr>
                <w:p w14:paraId="0F22EC7C">
                  <w:pPr>
                    <w:spacing w:line="300" w:lineRule="exact"/>
                    <w:jc w:val="center"/>
                    <w:rPr>
                      <w:rFonts w:hint="eastAsia" w:ascii="Times New Roman" w:hAnsi="Times New Roman" w:cs="Times New Roman"/>
                      <w:kern w:val="0"/>
                      <w:sz w:val="21"/>
                      <w:szCs w:val="21"/>
                      <w:lang w:val="en-US" w:eastAsia="zh-CN"/>
                    </w:rPr>
                  </w:pPr>
                  <w:r>
                    <w:rPr>
                      <w:rFonts w:hint="eastAsia" w:cs="Times New Roman"/>
                      <w:kern w:val="0"/>
                      <w:sz w:val="21"/>
                      <w:szCs w:val="21"/>
                      <w:lang w:eastAsia="zh-CN"/>
                    </w:rPr>
                    <w:t>14.93</w:t>
                  </w:r>
                </w:p>
              </w:tc>
              <w:tc>
                <w:tcPr>
                  <w:tcW w:w="555" w:type="pct"/>
                  <w:shd w:val="clear" w:color="auto" w:fill="auto"/>
                  <w:vAlign w:val="center"/>
                </w:tcPr>
                <w:p w14:paraId="070B185E">
                  <w:pPr>
                    <w:spacing w:line="300" w:lineRule="exact"/>
                    <w:jc w:val="center"/>
                    <w:rPr>
                      <w:kern w:val="0"/>
                      <w:sz w:val="21"/>
                      <w:szCs w:val="21"/>
                    </w:rPr>
                  </w:pPr>
                  <w:r>
                    <w:rPr>
                      <w:kern w:val="0"/>
                      <w:sz w:val="21"/>
                      <w:szCs w:val="21"/>
                    </w:rPr>
                    <w:t>√</w:t>
                  </w:r>
                </w:p>
              </w:tc>
              <w:tc>
                <w:tcPr>
                  <w:tcW w:w="436" w:type="pct"/>
                  <w:shd w:val="clear" w:color="auto" w:fill="auto"/>
                  <w:vAlign w:val="center"/>
                </w:tcPr>
                <w:p w14:paraId="6CA8C750">
                  <w:pPr>
                    <w:spacing w:line="300" w:lineRule="exact"/>
                    <w:jc w:val="center"/>
                    <w:rPr>
                      <w:kern w:val="0"/>
                      <w:sz w:val="21"/>
                      <w:szCs w:val="21"/>
                    </w:rPr>
                  </w:pPr>
                  <w:r>
                    <w:rPr>
                      <w:kern w:val="0"/>
                      <w:sz w:val="21"/>
                      <w:szCs w:val="21"/>
                    </w:rPr>
                    <w:t>/</w:t>
                  </w:r>
                </w:p>
              </w:tc>
              <w:tc>
                <w:tcPr>
                  <w:tcW w:w="614" w:type="pct"/>
                  <w:vMerge w:val="continue"/>
                  <w:vAlign w:val="center"/>
                </w:tcPr>
                <w:p w14:paraId="559EA24F">
                  <w:pPr>
                    <w:spacing w:line="300" w:lineRule="exact"/>
                    <w:jc w:val="center"/>
                    <w:rPr>
                      <w:kern w:val="0"/>
                      <w:sz w:val="21"/>
                      <w:szCs w:val="21"/>
                    </w:rPr>
                  </w:pPr>
                </w:p>
              </w:tc>
            </w:tr>
            <w:tr w14:paraId="51E74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51C9076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7</w:t>
                  </w:r>
                </w:p>
              </w:tc>
              <w:tc>
                <w:tcPr>
                  <w:tcW w:w="707" w:type="pct"/>
                  <w:shd w:val="clear" w:color="auto" w:fill="auto"/>
                  <w:tcMar>
                    <w:left w:w="0" w:type="dxa"/>
                    <w:right w:w="0" w:type="dxa"/>
                  </w:tcMar>
                  <w:vAlign w:val="center"/>
                </w:tcPr>
                <w:p w14:paraId="1FD31B25">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废脱模剂</w:t>
                  </w:r>
                </w:p>
              </w:tc>
              <w:tc>
                <w:tcPr>
                  <w:tcW w:w="685" w:type="pct"/>
                  <w:shd w:val="clear" w:color="auto" w:fill="auto"/>
                  <w:tcMar>
                    <w:left w:w="0" w:type="dxa"/>
                    <w:right w:w="0" w:type="dxa"/>
                  </w:tcMar>
                  <w:vAlign w:val="center"/>
                </w:tcPr>
                <w:p w14:paraId="6A09768D">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压铸</w:t>
                  </w:r>
                </w:p>
              </w:tc>
              <w:tc>
                <w:tcPr>
                  <w:tcW w:w="375" w:type="pct"/>
                  <w:shd w:val="clear" w:color="auto" w:fill="auto"/>
                  <w:tcMar>
                    <w:left w:w="0" w:type="dxa"/>
                    <w:right w:w="0" w:type="dxa"/>
                  </w:tcMar>
                  <w:vAlign w:val="center"/>
                </w:tcPr>
                <w:p w14:paraId="35ACD866">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液态</w:t>
                  </w:r>
                </w:p>
              </w:tc>
              <w:tc>
                <w:tcPr>
                  <w:tcW w:w="685" w:type="pct"/>
                  <w:shd w:val="clear" w:color="auto" w:fill="auto"/>
                  <w:tcMar>
                    <w:left w:w="0" w:type="dxa"/>
                    <w:right w:w="0" w:type="dxa"/>
                  </w:tcMar>
                  <w:vAlign w:val="center"/>
                </w:tcPr>
                <w:p w14:paraId="4E796DEC">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烃/水混合物</w:t>
                  </w:r>
                </w:p>
              </w:tc>
              <w:tc>
                <w:tcPr>
                  <w:tcW w:w="654" w:type="pct"/>
                  <w:shd w:val="clear" w:color="auto" w:fill="auto"/>
                  <w:tcMar>
                    <w:left w:w="0" w:type="dxa"/>
                    <w:right w:w="0" w:type="dxa"/>
                  </w:tcMar>
                  <w:vAlign w:val="center"/>
                </w:tcPr>
                <w:p w14:paraId="4D6413F0">
                  <w:pPr>
                    <w:spacing w:line="300" w:lineRule="exact"/>
                    <w:jc w:val="center"/>
                    <w:rPr>
                      <w:rFonts w:hint="default" w:cs="Times New Roman"/>
                      <w:kern w:val="0"/>
                      <w:sz w:val="21"/>
                      <w:szCs w:val="21"/>
                      <w:lang w:val="en-US" w:eastAsia="zh-CN"/>
                    </w:rPr>
                  </w:pPr>
                  <w:r>
                    <w:rPr>
                      <w:rFonts w:hint="eastAsia" w:cs="Times New Roman"/>
                      <w:kern w:val="0"/>
                      <w:sz w:val="21"/>
                      <w:szCs w:val="21"/>
                      <w:lang w:val="en-US" w:eastAsia="zh-CN"/>
                    </w:rPr>
                    <w:t>0.3</w:t>
                  </w:r>
                </w:p>
              </w:tc>
              <w:tc>
                <w:tcPr>
                  <w:tcW w:w="555" w:type="pct"/>
                  <w:shd w:val="clear" w:color="auto" w:fill="auto"/>
                  <w:vAlign w:val="center"/>
                </w:tcPr>
                <w:p w14:paraId="6BFCDE00">
                  <w:pPr>
                    <w:spacing w:line="300" w:lineRule="exact"/>
                    <w:jc w:val="center"/>
                    <w:rPr>
                      <w:kern w:val="0"/>
                      <w:sz w:val="21"/>
                      <w:szCs w:val="21"/>
                    </w:rPr>
                  </w:pPr>
                </w:p>
              </w:tc>
              <w:tc>
                <w:tcPr>
                  <w:tcW w:w="436" w:type="pct"/>
                  <w:shd w:val="clear" w:color="auto" w:fill="auto"/>
                  <w:vAlign w:val="center"/>
                </w:tcPr>
                <w:p w14:paraId="24CB0A54">
                  <w:pPr>
                    <w:spacing w:line="300" w:lineRule="exact"/>
                    <w:jc w:val="center"/>
                    <w:rPr>
                      <w:kern w:val="0"/>
                      <w:sz w:val="21"/>
                      <w:szCs w:val="21"/>
                    </w:rPr>
                  </w:pPr>
                </w:p>
              </w:tc>
              <w:tc>
                <w:tcPr>
                  <w:tcW w:w="614" w:type="pct"/>
                  <w:vMerge w:val="continue"/>
                  <w:vAlign w:val="center"/>
                </w:tcPr>
                <w:p w14:paraId="37992912">
                  <w:pPr>
                    <w:spacing w:line="300" w:lineRule="exact"/>
                    <w:jc w:val="center"/>
                    <w:rPr>
                      <w:kern w:val="0"/>
                      <w:sz w:val="21"/>
                      <w:szCs w:val="21"/>
                    </w:rPr>
                  </w:pPr>
                </w:p>
              </w:tc>
            </w:tr>
            <w:tr w14:paraId="3D5D7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2E13E26F">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8</w:t>
                  </w:r>
                </w:p>
              </w:tc>
              <w:tc>
                <w:tcPr>
                  <w:tcW w:w="707" w:type="pct"/>
                  <w:shd w:val="clear" w:color="auto" w:fill="auto"/>
                  <w:tcMar>
                    <w:left w:w="0" w:type="dxa"/>
                    <w:right w:w="0" w:type="dxa"/>
                  </w:tcMar>
                  <w:vAlign w:val="center"/>
                </w:tcPr>
                <w:p w14:paraId="2F50072C">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喷淋废液</w:t>
                  </w:r>
                </w:p>
              </w:tc>
              <w:tc>
                <w:tcPr>
                  <w:tcW w:w="685" w:type="pct"/>
                  <w:shd w:val="clear" w:color="auto" w:fill="auto"/>
                  <w:tcMar>
                    <w:left w:w="0" w:type="dxa"/>
                    <w:right w:w="0" w:type="dxa"/>
                  </w:tcMar>
                  <w:vAlign w:val="center"/>
                </w:tcPr>
                <w:p w14:paraId="47F43330">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废气处理</w:t>
                  </w:r>
                </w:p>
              </w:tc>
              <w:tc>
                <w:tcPr>
                  <w:tcW w:w="375" w:type="pct"/>
                  <w:shd w:val="clear" w:color="auto" w:fill="auto"/>
                  <w:tcMar>
                    <w:left w:w="0" w:type="dxa"/>
                    <w:right w:w="0" w:type="dxa"/>
                  </w:tcMar>
                  <w:vAlign w:val="center"/>
                </w:tcPr>
                <w:p w14:paraId="729EC5E1">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液态</w:t>
                  </w:r>
                </w:p>
              </w:tc>
              <w:tc>
                <w:tcPr>
                  <w:tcW w:w="685" w:type="pct"/>
                  <w:shd w:val="clear" w:color="auto" w:fill="auto"/>
                  <w:tcMar>
                    <w:left w:w="0" w:type="dxa"/>
                    <w:right w:w="0" w:type="dxa"/>
                  </w:tcMar>
                  <w:vAlign w:val="center"/>
                </w:tcPr>
                <w:p w14:paraId="66B105F9">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烃/水混合物</w:t>
                  </w:r>
                </w:p>
              </w:tc>
              <w:tc>
                <w:tcPr>
                  <w:tcW w:w="654" w:type="pct"/>
                  <w:shd w:val="clear" w:color="auto" w:fill="auto"/>
                  <w:tcMar>
                    <w:left w:w="0" w:type="dxa"/>
                    <w:right w:w="0" w:type="dxa"/>
                  </w:tcMar>
                  <w:vAlign w:val="center"/>
                </w:tcPr>
                <w:p w14:paraId="099D132E">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2</w:t>
                  </w:r>
                </w:p>
              </w:tc>
              <w:tc>
                <w:tcPr>
                  <w:tcW w:w="555" w:type="pct"/>
                  <w:shd w:val="clear" w:color="auto" w:fill="auto"/>
                  <w:vAlign w:val="center"/>
                </w:tcPr>
                <w:p w14:paraId="4EBA7E2A">
                  <w:pPr>
                    <w:spacing w:line="300" w:lineRule="exact"/>
                    <w:jc w:val="center"/>
                    <w:rPr>
                      <w:kern w:val="0"/>
                      <w:sz w:val="21"/>
                      <w:szCs w:val="21"/>
                    </w:rPr>
                  </w:pPr>
                  <w:r>
                    <w:rPr>
                      <w:kern w:val="0"/>
                      <w:sz w:val="21"/>
                      <w:szCs w:val="21"/>
                    </w:rPr>
                    <w:t>√</w:t>
                  </w:r>
                </w:p>
              </w:tc>
              <w:tc>
                <w:tcPr>
                  <w:tcW w:w="436" w:type="pct"/>
                  <w:shd w:val="clear" w:color="auto" w:fill="auto"/>
                  <w:vAlign w:val="center"/>
                </w:tcPr>
                <w:p w14:paraId="0701DB81">
                  <w:pPr>
                    <w:spacing w:line="300" w:lineRule="exact"/>
                    <w:jc w:val="center"/>
                    <w:rPr>
                      <w:kern w:val="0"/>
                      <w:sz w:val="21"/>
                      <w:szCs w:val="21"/>
                    </w:rPr>
                  </w:pPr>
                  <w:r>
                    <w:rPr>
                      <w:kern w:val="0"/>
                      <w:sz w:val="21"/>
                      <w:szCs w:val="21"/>
                    </w:rPr>
                    <w:t>/</w:t>
                  </w:r>
                </w:p>
              </w:tc>
              <w:tc>
                <w:tcPr>
                  <w:tcW w:w="614" w:type="pct"/>
                  <w:vMerge w:val="continue"/>
                  <w:vAlign w:val="center"/>
                </w:tcPr>
                <w:p w14:paraId="06A93840">
                  <w:pPr>
                    <w:spacing w:line="300" w:lineRule="exact"/>
                    <w:jc w:val="center"/>
                    <w:rPr>
                      <w:kern w:val="0"/>
                      <w:sz w:val="21"/>
                      <w:szCs w:val="21"/>
                    </w:rPr>
                  </w:pPr>
                </w:p>
              </w:tc>
            </w:tr>
            <w:tr w14:paraId="52F35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0779400F">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w:t>
                  </w:r>
                </w:p>
              </w:tc>
              <w:tc>
                <w:tcPr>
                  <w:tcW w:w="707" w:type="pct"/>
                  <w:shd w:val="clear" w:color="auto" w:fill="auto"/>
                  <w:tcMar>
                    <w:left w:w="0" w:type="dxa"/>
                    <w:right w:w="0" w:type="dxa"/>
                  </w:tcMar>
                  <w:vAlign w:val="center"/>
                </w:tcPr>
                <w:p w14:paraId="00FEDED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废机油</w:t>
                  </w:r>
                </w:p>
              </w:tc>
              <w:tc>
                <w:tcPr>
                  <w:tcW w:w="685" w:type="pct"/>
                  <w:shd w:val="clear" w:color="auto" w:fill="auto"/>
                  <w:tcMar>
                    <w:left w:w="0" w:type="dxa"/>
                    <w:right w:w="0" w:type="dxa"/>
                  </w:tcMar>
                  <w:vAlign w:val="center"/>
                </w:tcPr>
                <w:p w14:paraId="48DAC72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设备维护</w:t>
                  </w:r>
                </w:p>
              </w:tc>
              <w:tc>
                <w:tcPr>
                  <w:tcW w:w="375" w:type="pct"/>
                  <w:shd w:val="clear" w:color="auto" w:fill="auto"/>
                  <w:tcMar>
                    <w:left w:w="0" w:type="dxa"/>
                    <w:right w:w="0" w:type="dxa"/>
                  </w:tcMar>
                  <w:vAlign w:val="center"/>
                </w:tcPr>
                <w:p w14:paraId="444DD291">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液态</w:t>
                  </w:r>
                </w:p>
              </w:tc>
              <w:tc>
                <w:tcPr>
                  <w:tcW w:w="685" w:type="pct"/>
                  <w:shd w:val="clear" w:color="auto" w:fill="auto"/>
                  <w:tcMar>
                    <w:left w:w="0" w:type="dxa"/>
                    <w:right w:w="0" w:type="dxa"/>
                  </w:tcMar>
                  <w:vAlign w:val="center"/>
                </w:tcPr>
                <w:p w14:paraId="2A6D98D7">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油类</w:t>
                  </w:r>
                </w:p>
              </w:tc>
              <w:tc>
                <w:tcPr>
                  <w:tcW w:w="654" w:type="pct"/>
                  <w:shd w:val="clear" w:color="auto" w:fill="auto"/>
                  <w:tcMar>
                    <w:left w:w="0" w:type="dxa"/>
                    <w:right w:w="0" w:type="dxa"/>
                  </w:tcMar>
                  <w:vAlign w:val="center"/>
                </w:tcPr>
                <w:p w14:paraId="40393D80">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0.5</w:t>
                  </w:r>
                </w:p>
              </w:tc>
              <w:tc>
                <w:tcPr>
                  <w:tcW w:w="555" w:type="pct"/>
                  <w:shd w:val="clear" w:color="auto" w:fill="auto"/>
                  <w:vAlign w:val="center"/>
                </w:tcPr>
                <w:p w14:paraId="6D2E4D71">
                  <w:pPr>
                    <w:spacing w:line="300" w:lineRule="exact"/>
                    <w:jc w:val="center"/>
                    <w:rPr>
                      <w:kern w:val="0"/>
                      <w:sz w:val="21"/>
                      <w:szCs w:val="21"/>
                    </w:rPr>
                  </w:pPr>
                  <w:r>
                    <w:rPr>
                      <w:kern w:val="0"/>
                      <w:sz w:val="21"/>
                      <w:szCs w:val="21"/>
                    </w:rPr>
                    <w:t>√</w:t>
                  </w:r>
                </w:p>
              </w:tc>
              <w:tc>
                <w:tcPr>
                  <w:tcW w:w="436" w:type="pct"/>
                  <w:shd w:val="clear" w:color="auto" w:fill="auto"/>
                  <w:vAlign w:val="center"/>
                </w:tcPr>
                <w:p w14:paraId="632529B7">
                  <w:pPr>
                    <w:spacing w:line="300" w:lineRule="exact"/>
                    <w:jc w:val="center"/>
                    <w:rPr>
                      <w:kern w:val="0"/>
                      <w:sz w:val="21"/>
                      <w:szCs w:val="21"/>
                    </w:rPr>
                  </w:pPr>
                  <w:r>
                    <w:rPr>
                      <w:kern w:val="0"/>
                      <w:sz w:val="21"/>
                      <w:szCs w:val="21"/>
                    </w:rPr>
                    <w:t>/</w:t>
                  </w:r>
                </w:p>
              </w:tc>
              <w:tc>
                <w:tcPr>
                  <w:tcW w:w="614" w:type="pct"/>
                  <w:vMerge w:val="continue"/>
                  <w:vAlign w:val="center"/>
                </w:tcPr>
                <w:p w14:paraId="185808B1">
                  <w:pPr>
                    <w:spacing w:line="300" w:lineRule="exact"/>
                    <w:jc w:val="center"/>
                    <w:rPr>
                      <w:kern w:val="0"/>
                      <w:sz w:val="21"/>
                      <w:szCs w:val="21"/>
                    </w:rPr>
                  </w:pPr>
                </w:p>
              </w:tc>
            </w:tr>
            <w:tr w14:paraId="641BF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33520338">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10</w:t>
                  </w:r>
                </w:p>
              </w:tc>
              <w:tc>
                <w:tcPr>
                  <w:tcW w:w="707" w:type="pct"/>
                  <w:shd w:val="clear" w:color="auto" w:fill="auto"/>
                  <w:tcMar>
                    <w:left w:w="0" w:type="dxa"/>
                    <w:right w:w="0" w:type="dxa"/>
                  </w:tcMar>
                  <w:vAlign w:val="center"/>
                </w:tcPr>
                <w:p w14:paraId="13BAB828">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含油劳保用品</w:t>
                  </w:r>
                </w:p>
              </w:tc>
              <w:tc>
                <w:tcPr>
                  <w:tcW w:w="685" w:type="pct"/>
                  <w:shd w:val="clear" w:color="auto" w:fill="auto"/>
                  <w:tcMar>
                    <w:left w:w="0" w:type="dxa"/>
                    <w:right w:w="0" w:type="dxa"/>
                  </w:tcMar>
                  <w:vAlign w:val="center"/>
                </w:tcPr>
                <w:p w14:paraId="5D07DACA">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设备维护</w:t>
                  </w:r>
                </w:p>
              </w:tc>
              <w:tc>
                <w:tcPr>
                  <w:tcW w:w="375" w:type="pct"/>
                  <w:shd w:val="clear" w:color="auto" w:fill="auto"/>
                  <w:tcMar>
                    <w:left w:w="0" w:type="dxa"/>
                    <w:right w:w="0" w:type="dxa"/>
                  </w:tcMar>
                  <w:vAlign w:val="center"/>
                </w:tcPr>
                <w:p w14:paraId="13D570E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7B01B586">
                  <w:pPr>
                    <w:spacing w:line="300" w:lineRule="exact"/>
                    <w:jc w:val="center"/>
                    <w:rPr>
                      <w:rFonts w:ascii="Times New Roman" w:hAnsi="Times New Roman" w:cs="Times New Roman"/>
                      <w:kern w:val="0"/>
                      <w:sz w:val="21"/>
                      <w:szCs w:val="21"/>
                      <w:lang w:val="en-US" w:eastAsia="zh-CN"/>
                    </w:rPr>
                  </w:pPr>
                  <w:r>
                    <w:rPr>
                      <w:rFonts w:hint="eastAsia" w:ascii="Times New Roman" w:hAnsi="Times New Roman" w:cs="Times New Roman"/>
                      <w:kern w:val="0"/>
                      <w:sz w:val="21"/>
                      <w:szCs w:val="21"/>
                    </w:rPr>
                    <w:t>油类</w:t>
                  </w:r>
                </w:p>
              </w:tc>
              <w:tc>
                <w:tcPr>
                  <w:tcW w:w="654" w:type="pct"/>
                  <w:shd w:val="clear" w:color="auto" w:fill="auto"/>
                  <w:tcMar>
                    <w:left w:w="0" w:type="dxa"/>
                    <w:right w:w="0" w:type="dxa"/>
                  </w:tcMar>
                  <w:vAlign w:val="center"/>
                </w:tcPr>
                <w:p w14:paraId="348B6275">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0.1</w:t>
                  </w:r>
                </w:p>
              </w:tc>
              <w:tc>
                <w:tcPr>
                  <w:tcW w:w="555" w:type="pct"/>
                  <w:vAlign w:val="center"/>
                </w:tcPr>
                <w:p w14:paraId="306D920E">
                  <w:pPr>
                    <w:spacing w:line="300" w:lineRule="exact"/>
                    <w:jc w:val="center"/>
                    <w:rPr>
                      <w:kern w:val="0"/>
                      <w:sz w:val="21"/>
                      <w:szCs w:val="21"/>
                    </w:rPr>
                  </w:pPr>
                  <w:r>
                    <w:rPr>
                      <w:kern w:val="0"/>
                      <w:sz w:val="21"/>
                      <w:szCs w:val="21"/>
                    </w:rPr>
                    <w:t>√</w:t>
                  </w:r>
                </w:p>
              </w:tc>
              <w:tc>
                <w:tcPr>
                  <w:tcW w:w="436" w:type="pct"/>
                  <w:vAlign w:val="center"/>
                </w:tcPr>
                <w:p w14:paraId="7FA2567B">
                  <w:pPr>
                    <w:spacing w:line="300" w:lineRule="exact"/>
                    <w:jc w:val="center"/>
                    <w:rPr>
                      <w:kern w:val="0"/>
                      <w:sz w:val="21"/>
                      <w:szCs w:val="21"/>
                    </w:rPr>
                  </w:pPr>
                  <w:r>
                    <w:rPr>
                      <w:kern w:val="0"/>
                      <w:sz w:val="21"/>
                      <w:szCs w:val="21"/>
                    </w:rPr>
                    <w:t>/</w:t>
                  </w:r>
                </w:p>
              </w:tc>
              <w:tc>
                <w:tcPr>
                  <w:tcW w:w="614" w:type="pct"/>
                  <w:vMerge w:val="continue"/>
                  <w:vAlign w:val="center"/>
                </w:tcPr>
                <w:p w14:paraId="56842C3D">
                  <w:pPr>
                    <w:spacing w:line="300" w:lineRule="exact"/>
                    <w:jc w:val="center"/>
                    <w:rPr>
                      <w:kern w:val="0"/>
                      <w:szCs w:val="21"/>
                    </w:rPr>
                  </w:pPr>
                </w:p>
              </w:tc>
            </w:tr>
            <w:tr w14:paraId="146BF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6" w:type="pct"/>
                  <w:shd w:val="clear" w:color="auto" w:fill="auto"/>
                  <w:tcMar>
                    <w:left w:w="0" w:type="dxa"/>
                    <w:right w:w="0" w:type="dxa"/>
                  </w:tcMar>
                  <w:vAlign w:val="center"/>
                </w:tcPr>
                <w:p w14:paraId="6CEE6BCD">
                  <w:pPr>
                    <w:spacing w:line="300" w:lineRule="exact"/>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11</w:t>
                  </w:r>
                </w:p>
              </w:tc>
              <w:tc>
                <w:tcPr>
                  <w:tcW w:w="707" w:type="pct"/>
                  <w:shd w:val="clear" w:color="auto" w:fill="auto"/>
                  <w:tcMar>
                    <w:left w:w="0" w:type="dxa"/>
                    <w:right w:w="0" w:type="dxa"/>
                  </w:tcMar>
                  <w:vAlign w:val="center"/>
                </w:tcPr>
                <w:p w14:paraId="0A3F2E4A">
                  <w:pPr>
                    <w:spacing w:line="300" w:lineRule="exact"/>
                    <w:jc w:val="center"/>
                    <w:rPr>
                      <w:rFonts w:hint="default" w:ascii="Times New Roman" w:hAnsi="Times New Roman" w:cs="Times New Roman"/>
                      <w:kern w:val="0"/>
                      <w:sz w:val="21"/>
                      <w:szCs w:val="21"/>
                      <w:lang w:val="en-US" w:eastAsia="zh-CN"/>
                    </w:rPr>
                  </w:pPr>
                  <w:r>
                    <w:rPr>
                      <w:rFonts w:ascii="Times New Roman" w:hAnsi="Times New Roman" w:cs="Times New Roman"/>
                      <w:kern w:val="0"/>
                      <w:sz w:val="21"/>
                      <w:szCs w:val="21"/>
                    </w:rPr>
                    <w:t>生活垃圾</w:t>
                  </w:r>
                </w:p>
              </w:tc>
              <w:tc>
                <w:tcPr>
                  <w:tcW w:w="685" w:type="pct"/>
                  <w:shd w:val="clear" w:color="auto" w:fill="auto"/>
                  <w:tcMar>
                    <w:left w:w="0" w:type="dxa"/>
                    <w:right w:w="0" w:type="dxa"/>
                  </w:tcMar>
                  <w:vAlign w:val="center"/>
                </w:tcPr>
                <w:p w14:paraId="3BD2B9A7">
                  <w:pPr>
                    <w:spacing w:line="300" w:lineRule="exact"/>
                    <w:jc w:val="center"/>
                    <w:rPr>
                      <w:rFonts w:hint="default" w:ascii="Times New Roman" w:hAnsi="Times New Roman" w:cs="Times New Roman"/>
                      <w:kern w:val="0"/>
                      <w:sz w:val="21"/>
                      <w:szCs w:val="21"/>
                      <w:lang w:val="en-US" w:eastAsia="zh-CN"/>
                    </w:rPr>
                  </w:pPr>
                  <w:r>
                    <w:rPr>
                      <w:rFonts w:ascii="Times New Roman" w:hAnsi="Times New Roman" w:cs="Times New Roman"/>
                      <w:kern w:val="0"/>
                      <w:sz w:val="21"/>
                      <w:szCs w:val="21"/>
                    </w:rPr>
                    <w:t>员工生活</w:t>
                  </w:r>
                </w:p>
              </w:tc>
              <w:tc>
                <w:tcPr>
                  <w:tcW w:w="375" w:type="pct"/>
                  <w:shd w:val="clear" w:color="auto" w:fill="auto"/>
                  <w:tcMar>
                    <w:left w:w="0" w:type="dxa"/>
                    <w:right w:w="0" w:type="dxa"/>
                  </w:tcMar>
                  <w:vAlign w:val="center"/>
                </w:tcPr>
                <w:p w14:paraId="78B8F42A">
                  <w:pPr>
                    <w:spacing w:line="300" w:lineRule="exact"/>
                    <w:jc w:val="center"/>
                    <w:rPr>
                      <w:rFonts w:ascii="Times New Roman" w:hAnsi="Times New Roman" w:cs="Times New Roman"/>
                      <w:kern w:val="0"/>
                      <w:sz w:val="21"/>
                      <w:szCs w:val="21"/>
                      <w:lang w:val="en-US" w:eastAsia="zh-CN"/>
                    </w:rPr>
                  </w:pPr>
                  <w:r>
                    <w:rPr>
                      <w:rFonts w:ascii="Times New Roman" w:hAnsi="Times New Roman" w:cs="Times New Roman"/>
                      <w:kern w:val="0"/>
                      <w:sz w:val="21"/>
                      <w:szCs w:val="21"/>
                    </w:rPr>
                    <w:t>固态</w:t>
                  </w:r>
                </w:p>
              </w:tc>
              <w:tc>
                <w:tcPr>
                  <w:tcW w:w="685" w:type="pct"/>
                  <w:shd w:val="clear" w:color="auto" w:fill="auto"/>
                  <w:tcMar>
                    <w:left w:w="0" w:type="dxa"/>
                    <w:right w:w="0" w:type="dxa"/>
                  </w:tcMar>
                  <w:vAlign w:val="center"/>
                </w:tcPr>
                <w:p w14:paraId="242893A8">
                  <w:pPr>
                    <w:spacing w:line="300" w:lineRule="exact"/>
                    <w:jc w:val="center"/>
                    <w:rPr>
                      <w:rFonts w:hint="eastAsia" w:ascii="Times New Roman" w:hAnsi="Times New Roman" w:cs="Times New Roman"/>
                      <w:kern w:val="0"/>
                      <w:sz w:val="21"/>
                      <w:szCs w:val="21"/>
                      <w:lang w:val="en-US" w:eastAsia="zh-CN"/>
                    </w:rPr>
                  </w:pPr>
                  <w:r>
                    <w:rPr>
                      <w:rFonts w:ascii="Times New Roman" w:hAnsi="Times New Roman" w:cs="Times New Roman"/>
                      <w:kern w:val="0"/>
                      <w:sz w:val="21"/>
                      <w:szCs w:val="21"/>
                    </w:rPr>
                    <w:t>废纸等</w:t>
                  </w:r>
                </w:p>
              </w:tc>
              <w:tc>
                <w:tcPr>
                  <w:tcW w:w="654" w:type="pct"/>
                  <w:shd w:val="clear" w:color="auto" w:fill="auto"/>
                  <w:tcMar>
                    <w:left w:w="0" w:type="dxa"/>
                    <w:right w:w="0" w:type="dxa"/>
                  </w:tcMar>
                  <w:vAlign w:val="center"/>
                </w:tcPr>
                <w:p w14:paraId="1E4DB1F3">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4.2</w:t>
                  </w:r>
                </w:p>
              </w:tc>
              <w:tc>
                <w:tcPr>
                  <w:tcW w:w="555" w:type="pct"/>
                  <w:shd w:val="clear" w:color="auto" w:fill="auto"/>
                  <w:vAlign w:val="center"/>
                </w:tcPr>
                <w:p w14:paraId="0BB61FFF">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w:t>
                  </w:r>
                </w:p>
              </w:tc>
              <w:tc>
                <w:tcPr>
                  <w:tcW w:w="436" w:type="pct"/>
                  <w:shd w:val="clear" w:color="auto" w:fill="auto"/>
                  <w:vAlign w:val="center"/>
                </w:tcPr>
                <w:p w14:paraId="59AF946C">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w:t>
                  </w:r>
                </w:p>
              </w:tc>
              <w:tc>
                <w:tcPr>
                  <w:tcW w:w="614" w:type="pct"/>
                  <w:vMerge w:val="continue"/>
                  <w:vAlign w:val="center"/>
                </w:tcPr>
                <w:p w14:paraId="0BA63F6F">
                  <w:pPr>
                    <w:spacing w:line="300" w:lineRule="exact"/>
                    <w:jc w:val="center"/>
                    <w:rPr>
                      <w:kern w:val="0"/>
                      <w:szCs w:val="21"/>
                    </w:rPr>
                  </w:pPr>
                </w:p>
              </w:tc>
            </w:tr>
          </w:tbl>
          <w:p w14:paraId="472F98C8">
            <w:pPr>
              <w:spacing w:line="240" w:lineRule="auto"/>
              <w:jc w:val="center"/>
              <w:rPr>
                <w:b/>
                <w:bCs/>
                <w:sz w:val="21"/>
                <w:szCs w:val="21"/>
              </w:rPr>
            </w:pPr>
            <w:r>
              <w:rPr>
                <w:rFonts w:hint="eastAsia"/>
                <w:b/>
                <w:bCs/>
                <w:sz w:val="21"/>
                <w:szCs w:val="21"/>
              </w:rPr>
              <w:t>表4-</w:t>
            </w:r>
            <w:r>
              <w:rPr>
                <w:rFonts w:hint="eastAsia"/>
                <w:b/>
                <w:bCs/>
                <w:sz w:val="21"/>
                <w:szCs w:val="21"/>
                <w:lang w:val="en-US" w:eastAsia="zh-CN"/>
              </w:rPr>
              <w:t>25</w:t>
            </w:r>
            <w:r>
              <w:rPr>
                <w:rFonts w:hint="eastAsia"/>
                <w:b/>
                <w:bCs/>
                <w:sz w:val="21"/>
                <w:szCs w:val="21"/>
              </w:rPr>
              <w:t xml:space="preserve">  </w:t>
            </w:r>
            <w:r>
              <w:rPr>
                <w:b/>
                <w:bCs/>
                <w:sz w:val="21"/>
                <w:szCs w:val="21"/>
              </w:rPr>
              <w:t>本项目营运期固体废弃物分析结果汇总表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22"/>
              <w:gridCol w:w="1479"/>
              <w:gridCol w:w="961"/>
              <w:gridCol w:w="1469"/>
              <w:gridCol w:w="538"/>
              <w:gridCol w:w="1308"/>
              <w:gridCol w:w="1995"/>
              <w:gridCol w:w="913"/>
              <w:gridCol w:w="976"/>
              <w:gridCol w:w="1348"/>
              <w:gridCol w:w="1054"/>
            </w:tblGrid>
            <w:tr w14:paraId="0A28B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tcMar>
                    <w:left w:w="0" w:type="dxa"/>
                    <w:right w:w="0" w:type="dxa"/>
                  </w:tcMar>
                  <w:vAlign w:val="center"/>
                </w:tcPr>
                <w:p w14:paraId="0AF25F83">
                  <w:pPr>
                    <w:spacing w:line="300" w:lineRule="exact"/>
                    <w:jc w:val="center"/>
                    <w:rPr>
                      <w:b/>
                      <w:kern w:val="0"/>
                      <w:sz w:val="21"/>
                      <w:szCs w:val="21"/>
                    </w:rPr>
                  </w:pPr>
                  <w:r>
                    <w:rPr>
                      <w:b/>
                      <w:kern w:val="0"/>
                      <w:sz w:val="21"/>
                      <w:szCs w:val="21"/>
                    </w:rPr>
                    <w:t>序号</w:t>
                  </w:r>
                </w:p>
              </w:tc>
              <w:tc>
                <w:tcPr>
                  <w:tcW w:w="588" w:type="pct"/>
                  <w:tcMar>
                    <w:left w:w="0" w:type="dxa"/>
                    <w:right w:w="0" w:type="dxa"/>
                  </w:tcMar>
                  <w:vAlign w:val="center"/>
                </w:tcPr>
                <w:p w14:paraId="408D66C8">
                  <w:pPr>
                    <w:spacing w:line="300" w:lineRule="exact"/>
                    <w:jc w:val="center"/>
                    <w:rPr>
                      <w:b/>
                      <w:kern w:val="0"/>
                      <w:sz w:val="21"/>
                      <w:szCs w:val="21"/>
                    </w:rPr>
                  </w:pPr>
                  <w:r>
                    <w:rPr>
                      <w:b/>
                      <w:kern w:val="0"/>
                      <w:sz w:val="21"/>
                      <w:szCs w:val="21"/>
                    </w:rPr>
                    <w:t>固废名称</w:t>
                  </w:r>
                </w:p>
              </w:tc>
              <w:tc>
                <w:tcPr>
                  <w:tcW w:w="382" w:type="pct"/>
                  <w:tcMar>
                    <w:left w:w="0" w:type="dxa"/>
                    <w:right w:w="0" w:type="dxa"/>
                  </w:tcMar>
                  <w:vAlign w:val="center"/>
                </w:tcPr>
                <w:p w14:paraId="080591BB">
                  <w:pPr>
                    <w:spacing w:line="300" w:lineRule="exact"/>
                    <w:jc w:val="center"/>
                    <w:rPr>
                      <w:b/>
                      <w:kern w:val="0"/>
                      <w:sz w:val="21"/>
                      <w:szCs w:val="21"/>
                    </w:rPr>
                  </w:pPr>
                  <w:r>
                    <w:rPr>
                      <w:b/>
                      <w:kern w:val="0"/>
                      <w:sz w:val="21"/>
                      <w:szCs w:val="21"/>
                    </w:rPr>
                    <w:t>属性</w:t>
                  </w:r>
                </w:p>
              </w:tc>
              <w:tc>
                <w:tcPr>
                  <w:tcW w:w="584" w:type="pct"/>
                  <w:tcMar>
                    <w:left w:w="0" w:type="dxa"/>
                    <w:right w:w="0" w:type="dxa"/>
                  </w:tcMar>
                  <w:vAlign w:val="center"/>
                </w:tcPr>
                <w:p w14:paraId="47C9C9B6">
                  <w:pPr>
                    <w:spacing w:line="300" w:lineRule="exact"/>
                    <w:jc w:val="center"/>
                    <w:rPr>
                      <w:rFonts w:hint="eastAsia" w:eastAsia="仿宋"/>
                      <w:b/>
                      <w:kern w:val="0"/>
                      <w:sz w:val="21"/>
                      <w:szCs w:val="21"/>
                      <w:lang w:eastAsia="zh-CN"/>
                    </w:rPr>
                  </w:pPr>
                  <w:r>
                    <w:rPr>
                      <w:b/>
                      <w:kern w:val="0"/>
                      <w:sz w:val="21"/>
                      <w:szCs w:val="21"/>
                    </w:rPr>
                    <w:t>产生</w:t>
                  </w:r>
                  <w:r>
                    <w:rPr>
                      <w:rFonts w:hint="eastAsia"/>
                      <w:b/>
                      <w:kern w:val="0"/>
                      <w:sz w:val="21"/>
                      <w:szCs w:val="21"/>
                      <w:lang w:eastAsia="zh-CN"/>
                    </w:rPr>
                    <w:t>工段</w:t>
                  </w:r>
                </w:p>
              </w:tc>
              <w:tc>
                <w:tcPr>
                  <w:tcW w:w="214" w:type="pct"/>
                  <w:tcMar>
                    <w:left w:w="0" w:type="dxa"/>
                    <w:right w:w="0" w:type="dxa"/>
                  </w:tcMar>
                  <w:vAlign w:val="center"/>
                </w:tcPr>
                <w:p w14:paraId="349CFD63">
                  <w:pPr>
                    <w:spacing w:line="300" w:lineRule="exact"/>
                    <w:jc w:val="center"/>
                    <w:rPr>
                      <w:b/>
                      <w:kern w:val="0"/>
                      <w:sz w:val="21"/>
                      <w:szCs w:val="21"/>
                    </w:rPr>
                  </w:pPr>
                  <w:r>
                    <w:rPr>
                      <w:b/>
                      <w:kern w:val="0"/>
                      <w:sz w:val="21"/>
                      <w:szCs w:val="21"/>
                    </w:rPr>
                    <w:t>形态</w:t>
                  </w:r>
                </w:p>
              </w:tc>
              <w:tc>
                <w:tcPr>
                  <w:tcW w:w="520" w:type="pct"/>
                  <w:tcMar>
                    <w:left w:w="0" w:type="dxa"/>
                    <w:right w:w="0" w:type="dxa"/>
                  </w:tcMar>
                  <w:vAlign w:val="center"/>
                </w:tcPr>
                <w:p w14:paraId="377C4C2F">
                  <w:pPr>
                    <w:spacing w:line="300" w:lineRule="exact"/>
                    <w:jc w:val="center"/>
                    <w:rPr>
                      <w:b/>
                      <w:kern w:val="0"/>
                      <w:sz w:val="21"/>
                      <w:szCs w:val="21"/>
                    </w:rPr>
                  </w:pPr>
                  <w:r>
                    <w:rPr>
                      <w:b/>
                      <w:kern w:val="0"/>
                      <w:sz w:val="21"/>
                      <w:szCs w:val="21"/>
                    </w:rPr>
                    <w:t>主要成分</w:t>
                  </w:r>
                </w:p>
              </w:tc>
              <w:tc>
                <w:tcPr>
                  <w:tcW w:w="793" w:type="pct"/>
                  <w:tcMar>
                    <w:left w:w="0" w:type="dxa"/>
                    <w:right w:w="0" w:type="dxa"/>
                  </w:tcMar>
                  <w:vAlign w:val="center"/>
                </w:tcPr>
                <w:p w14:paraId="608A83FF">
                  <w:pPr>
                    <w:spacing w:line="300" w:lineRule="exact"/>
                    <w:jc w:val="center"/>
                    <w:rPr>
                      <w:b/>
                      <w:kern w:val="0"/>
                      <w:sz w:val="21"/>
                      <w:szCs w:val="21"/>
                    </w:rPr>
                  </w:pPr>
                  <w:r>
                    <w:rPr>
                      <w:b/>
                      <w:kern w:val="0"/>
                      <w:sz w:val="21"/>
                      <w:szCs w:val="21"/>
                    </w:rPr>
                    <w:t>危险特性鉴别方法</w:t>
                  </w:r>
                </w:p>
              </w:tc>
              <w:tc>
                <w:tcPr>
                  <w:tcW w:w="363" w:type="pct"/>
                  <w:vAlign w:val="center"/>
                </w:tcPr>
                <w:p w14:paraId="0DF69451">
                  <w:pPr>
                    <w:spacing w:line="300" w:lineRule="exact"/>
                    <w:jc w:val="center"/>
                    <w:rPr>
                      <w:b/>
                      <w:kern w:val="0"/>
                      <w:sz w:val="21"/>
                      <w:szCs w:val="21"/>
                    </w:rPr>
                  </w:pPr>
                  <w:r>
                    <w:rPr>
                      <w:b/>
                      <w:kern w:val="0"/>
                      <w:sz w:val="21"/>
                      <w:szCs w:val="21"/>
                    </w:rPr>
                    <w:t>危险特性</w:t>
                  </w:r>
                </w:p>
              </w:tc>
              <w:tc>
                <w:tcPr>
                  <w:tcW w:w="388" w:type="pct"/>
                  <w:vAlign w:val="center"/>
                </w:tcPr>
                <w:p w14:paraId="4BA467BB">
                  <w:pPr>
                    <w:spacing w:line="300" w:lineRule="exact"/>
                    <w:jc w:val="center"/>
                    <w:rPr>
                      <w:b/>
                      <w:kern w:val="0"/>
                      <w:sz w:val="21"/>
                      <w:szCs w:val="21"/>
                    </w:rPr>
                  </w:pPr>
                  <w:r>
                    <w:rPr>
                      <w:b/>
                      <w:kern w:val="0"/>
                      <w:sz w:val="21"/>
                      <w:szCs w:val="21"/>
                    </w:rPr>
                    <w:t>废物类别</w:t>
                  </w:r>
                </w:p>
              </w:tc>
              <w:tc>
                <w:tcPr>
                  <w:tcW w:w="536" w:type="pct"/>
                  <w:vAlign w:val="center"/>
                </w:tcPr>
                <w:p w14:paraId="3264CC07">
                  <w:pPr>
                    <w:spacing w:line="300" w:lineRule="exact"/>
                    <w:jc w:val="center"/>
                    <w:rPr>
                      <w:b/>
                      <w:kern w:val="0"/>
                      <w:sz w:val="21"/>
                      <w:szCs w:val="21"/>
                    </w:rPr>
                  </w:pPr>
                  <w:r>
                    <w:rPr>
                      <w:b/>
                      <w:kern w:val="0"/>
                      <w:sz w:val="21"/>
                      <w:szCs w:val="21"/>
                    </w:rPr>
                    <w:t>废物代码</w:t>
                  </w:r>
                </w:p>
              </w:tc>
              <w:tc>
                <w:tcPr>
                  <w:tcW w:w="419" w:type="pct"/>
                  <w:vAlign w:val="center"/>
                </w:tcPr>
                <w:p w14:paraId="10D19107">
                  <w:pPr>
                    <w:spacing w:line="300" w:lineRule="exact"/>
                    <w:jc w:val="center"/>
                    <w:rPr>
                      <w:b/>
                      <w:kern w:val="0"/>
                      <w:sz w:val="21"/>
                      <w:szCs w:val="21"/>
                    </w:rPr>
                  </w:pPr>
                  <w:r>
                    <w:rPr>
                      <w:b/>
                      <w:kern w:val="0"/>
                      <w:sz w:val="21"/>
                      <w:szCs w:val="21"/>
                    </w:rPr>
                    <w:t>估算产生量（t/a）</w:t>
                  </w:r>
                </w:p>
              </w:tc>
            </w:tr>
            <w:tr w14:paraId="2D6C1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tcMar>
                    <w:left w:w="0" w:type="dxa"/>
                    <w:right w:w="0" w:type="dxa"/>
                  </w:tcMar>
                  <w:vAlign w:val="center"/>
                </w:tcPr>
                <w:p w14:paraId="329AB173">
                  <w:pPr>
                    <w:spacing w:line="300" w:lineRule="exact"/>
                    <w:jc w:val="center"/>
                    <w:rPr>
                      <w:kern w:val="0"/>
                      <w:sz w:val="21"/>
                      <w:szCs w:val="21"/>
                    </w:rPr>
                  </w:pPr>
                  <w:r>
                    <w:rPr>
                      <w:kern w:val="0"/>
                      <w:sz w:val="21"/>
                      <w:szCs w:val="21"/>
                    </w:rPr>
                    <w:t>1</w:t>
                  </w:r>
                </w:p>
              </w:tc>
              <w:tc>
                <w:tcPr>
                  <w:tcW w:w="588" w:type="pct"/>
                  <w:shd w:val="clear" w:color="auto" w:fill="auto"/>
                  <w:tcMar>
                    <w:left w:w="0" w:type="dxa"/>
                    <w:right w:w="0" w:type="dxa"/>
                  </w:tcMar>
                  <w:vAlign w:val="center"/>
                </w:tcPr>
                <w:p w14:paraId="758A9494">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eastAsia="zh-CN"/>
                    </w:rPr>
                    <w:t>边角料</w:t>
                  </w:r>
                </w:p>
              </w:tc>
              <w:tc>
                <w:tcPr>
                  <w:tcW w:w="382" w:type="pct"/>
                  <w:vMerge w:val="restart"/>
                  <w:tcMar>
                    <w:left w:w="0" w:type="dxa"/>
                    <w:right w:w="0" w:type="dxa"/>
                  </w:tcMar>
                  <w:vAlign w:val="center"/>
                </w:tcPr>
                <w:p w14:paraId="3229CC99">
                  <w:pPr>
                    <w:spacing w:line="300" w:lineRule="exact"/>
                    <w:jc w:val="center"/>
                    <w:rPr>
                      <w:kern w:val="0"/>
                      <w:sz w:val="21"/>
                      <w:szCs w:val="21"/>
                    </w:rPr>
                  </w:pPr>
                  <w:r>
                    <w:rPr>
                      <w:kern w:val="0"/>
                      <w:sz w:val="21"/>
                      <w:szCs w:val="21"/>
                    </w:rPr>
                    <w:t>一般固废</w:t>
                  </w:r>
                </w:p>
              </w:tc>
              <w:tc>
                <w:tcPr>
                  <w:tcW w:w="584" w:type="pct"/>
                  <w:shd w:val="clear" w:color="auto" w:fill="auto"/>
                  <w:tcMar>
                    <w:left w:w="0" w:type="dxa"/>
                    <w:right w:w="0" w:type="dxa"/>
                  </w:tcMar>
                  <w:vAlign w:val="center"/>
                </w:tcPr>
                <w:p w14:paraId="74901DBE">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机加工</w:t>
                  </w:r>
                </w:p>
              </w:tc>
              <w:tc>
                <w:tcPr>
                  <w:tcW w:w="214" w:type="pct"/>
                  <w:shd w:val="clear" w:color="auto" w:fill="auto"/>
                  <w:tcMar>
                    <w:left w:w="0" w:type="dxa"/>
                    <w:right w:w="0" w:type="dxa"/>
                  </w:tcMar>
                  <w:vAlign w:val="center"/>
                </w:tcPr>
                <w:p w14:paraId="5E084DE1">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2151BBB3">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铝</w:t>
                  </w:r>
                </w:p>
              </w:tc>
              <w:tc>
                <w:tcPr>
                  <w:tcW w:w="793" w:type="pct"/>
                  <w:vMerge w:val="restart"/>
                  <w:tcMar>
                    <w:left w:w="0" w:type="dxa"/>
                    <w:right w:w="0" w:type="dxa"/>
                  </w:tcMar>
                  <w:vAlign w:val="center"/>
                </w:tcPr>
                <w:p w14:paraId="03030CE0">
                  <w:pPr>
                    <w:spacing w:line="300" w:lineRule="exact"/>
                    <w:jc w:val="center"/>
                    <w:rPr>
                      <w:rFonts w:hint="eastAsia" w:eastAsia="仿宋"/>
                      <w:kern w:val="0"/>
                      <w:sz w:val="21"/>
                      <w:szCs w:val="21"/>
                      <w:lang w:eastAsia="zh-CN"/>
                    </w:rPr>
                  </w:pPr>
                  <w:r>
                    <w:rPr>
                      <w:rFonts w:hint="eastAsia"/>
                      <w:kern w:val="0"/>
                      <w:sz w:val="21"/>
                      <w:szCs w:val="21"/>
                      <w:lang w:eastAsia="zh-CN"/>
                    </w:rPr>
                    <w:t>《</w:t>
                  </w:r>
                  <w:r>
                    <w:rPr>
                      <w:rFonts w:hint="eastAsia"/>
                      <w:kern w:val="0"/>
                      <w:sz w:val="21"/>
                      <w:szCs w:val="21"/>
                      <w:lang w:val="en-US" w:eastAsia="zh-CN"/>
                    </w:rPr>
                    <w:t>固体废物分类与代码名录</w:t>
                  </w:r>
                  <w:r>
                    <w:rPr>
                      <w:rFonts w:hint="eastAsia"/>
                      <w:kern w:val="0"/>
                      <w:sz w:val="21"/>
                      <w:szCs w:val="21"/>
                      <w:lang w:eastAsia="zh-CN"/>
                    </w:rPr>
                    <w:t>》（</w:t>
                  </w:r>
                  <w:r>
                    <w:rPr>
                      <w:rFonts w:hint="eastAsia"/>
                      <w:kern w:val="0"/>
                      <w:sz w:val="21"/>
                      <w:szCs w:val="21"/>
                      <w:lang w:val="en-US" w:eastAsia="zh-CN"/>
                    </w:rPr>
                    <w:t>2024年版</w:t>
                  </w:r>
                  <w:r>
                    <w:rPr>
                      <w:rFonts w:hint="eastAsia"/>
                      <w:kern w:val="0"/>
                      <w:sz w:val="21"/>
                      <w:szCs w:val="21"/>
                      <w:lang w:eastAsia="zh-CN"/>
                    </w:rPr>
                    <w:t>）</w:t>
                  </w:r>
                </w:p>
              </w:tc>
              <w:tc>
                <w:tcPr>
                  <w:tcW w:w="363" w:type="pct"/>
                  <w:vAlign w:val="center"/>
                </w:tcPr>
                <w:p w14:paraId="67619C9E">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388" w:type="pct"/>
                  <w:vAlign w:val="center"/>
                </w:tcPr>
                <w:p w14:paraId="686E2765">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SW17</w:t>
                  </w:r>
                </w:p>
              </w:tc>
              <w:tc>
                <w:tcPr>
                  <w:tcW w:w="536" w:type="pct"/>
                  <w:vAlign w:val="center"/>
                </w:tcPr>
                <w:p w14:paraId="7366D4D2">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900-002-S17</w:t>
                  </w:r>
                </w:p>
              </w:tc>
              <w:tc>
                <w:tcPr>
                  <w:tcW w:w="419" w:type="pct"/>
                  <w:shd w:val="clear" w:color="auto" w:fill="auto"/>
                  <w:vAlign w:val="center"/>
                </w:tcPr>
                <w:p w14:paraId="2CABAB0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p>
              </w:tc>
            </w:tr>
            <w:tr w14:paraId="2E577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shd w:val="clear" w:color="auto" w:fill="auto"/>
                  <w:tcMar>
                    <w:left w:w="0" w:type="dxa"/>
                    <w:right w:w="0" w:type="dxa"/>
                  </w:tcMar>
                  <w:vAlign w:val="center"/>
                </w:tcPr>
                <w:p w14:paraId="2C36AECD">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2</w:t>
                  </w:r>
                </w:p>
              </w:tc>
              <w:tc>
                <w:tcPr>
                  <w:tcW w:w="588" w:type="pct"/>
                  <w:shd w:val="clear" w:color="auto" w:fill="auto"/>
                  <w:tcMar>
                    <w:left w:w="0" w:type="dxa"/>
                    <w:right w:w="0" w:type="dxa"/>
                  </w:tcMar>
                  <w:vAlign w:val="center"/>
                </w:tcPr>
                <w:p w14:paraId="241829D7">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不合格品</w:t>
                  </w:r>
                </w:p>
              </w:tc>
              <w:tc>
                <w:tcPr>
                  <w:tcW w:w="382" w:type="pct"/>
                  <w:vMerge w:val="continue"/>
                  <w:tcMar>
                    <w:left w:w="0" w:type="dxa"/>
                    <w:right w:w="0" w:type="dxa"/>
                  </w:tcMar>
                  <w:vAlign w:val="center"/>
                </w:tcPr>
                <w:p w14:paraId="603D2EAB">
                  <w:pPr>
                    <w:spacing w:line="300" w:lineRule="exact"/>
                    <w:jc w:val="center"/>
                    <w:rPr>
                      <w:kern w:val="0"/>
                      <w:sz w:val="21"/>
                      <w:szCs w:val="21"/>
                    </w:rPr>
                  </w:pPr>
                </w:p>
              </w:tc>
              <w:tc>
                <w:tcPr>
                  <w:tcW w:w="584" w:type="pct"/>
                  <w:shd w:val="clear" w:color="auto" w:fill="auto"/>
                  <w:tcMar>
                    <w:left w:w="0" w:type="dxa"/>
                    <w:right w:w="0" w:type="dxa"/>
                  </w:tcMar>
                  <w:vAlign w:val="center"/>
                </w:tcPr>
                <w:p w14:paraId="71C285E2">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检验</w:t>
                  </w:r>
                </w:p>
              </w:tc>
              <w:tc>
                <w:tcPr>
                  <w:tcW w:w="214" w:type="pct"/>
                  <w:shd w:val="clear" w:color="auto" w:fill="auto"/>
                  <w:tcMar>
                    <w:left w:w="0" w:type="dxa"/>
                    <w:right w:w="0" w:type="dxa"/>
                  </w:tcMar>
                  <w:vAlign w:val="center"/>
                </w:tcPr>
                <w:p w14:paraId="4816D7B7">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6E1BDE39">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铝</w:t>
                  </w:r>
                </w:p>
              </w:tc>
              <w:tc>
                <w:tcPr>
                  <w:tcW w:w="793" w:type="pct"/>
                  <w:vMerge w:val="continue"/>
                  <w:tcMar>
                    <w:left w:w="0" w:type="dxa"/>
                    <w:right w:w="0" w:type="dxa"/>
                  </w:tcMar>
                  <w:vAlign w:val="center"/>
                </w:tcPr>
                <w:p w14:paraId="4E7AEBAA">
                  <w:pPr>
                    <w:spacing w:line="300" w:lineRule="exact"/>
                    <w:jc w:val="center"/>
                    <w:rPr>
                      <w:rFonts w:hint="eastAsia"/>
                      <w:kern w:val="0"/>
                      <w:sz w:val="21"/>
                      <w:szCs w:val="21"/>
                    </w:rPr>
                  </w:pPr>
                </w:p>
              </w:tc>
              <w:tc>
                <w:tcPr>
                  <w:tcW w:w="363" w:type="pct"/>
                  <w:vAlign w:val="center"/>
                </w:tcPr>
                <w:p w14:paraId="7A9EAC5B">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388" w:type="pct"/>
                  <w:shd w:val="clear" w:color="auto" w:fill="auto"/>
                  <w:vAlign w:val="center"/>
                </w:tcPr>
                <w:p w14:paraId="2786C070">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SW17</w:t>
                  </w:r>
                </w:p>
              </w:tc>
              <w:tc>
                <w:tcPr>
                  <w:tcW w:w="536" w:type="pct"/>
                  <w:shd w:val="clear" w:color="auto" w:fill="auto"/>
                  <w:vAlign w:val="center"/>
                </w:tcPr>
                <w:p w14:paraId="0ECD1371">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900-002-S17</w:t>
                  </w:r>
                </w:p>
              </w:tc>
              <w:tc>
                <w:tcPr>
                  <w:tcW w:w="419" w:type="pct"/>
                  <w:shd w:val="clear" w:color="auto" w:fill="auto"/>
                  <w:vAlign w:val="center"/>
                </w:tcPr>
                <w:p w14:paraId="488FD80C">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w:t>
                  </w:r>
                </w:p>
              </w:tc>
            </w:tr>
            <w:tr w14:paraId="5ECB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8" w:type="pct"/>
                  <w:shd w:val="clear" w:color="auto" w:fill="auto"/>
                  <w:tcMar>
                    <w:left w:w="0" w:type="dxa"/>
                    <w:right w:w="0" w:type="dxa"/>
                  </w:tcMar>
                  <w:vAlign w:val="center"/>
                </w:tcPr>
                <w:p w14:paraId="5A6CA2C5">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3</w:t>
                  </w:r>
                </w:p>
              </w:tc>
              <w:tc>
                <w:tcPr>
                  <w:tcW w:w="588" w:type="pct"/>
                  <w:shd w:val="clear" w:color="auto" w:fill="auto"/>
                  <w:tcMar>
                    <w:left w:w="0" w:type="dxa"/>
                    <w:right w:w="0" w:type="dxa"/>
                  </w:tcMar>
                  <w:vAlign w:val="center"/>
                </w:tcPr>
                <w:p w14:paraId="5564B7E1">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eastAsia="zh-CN"/>
                    </w:rPr>
                    <w:t>炉渣</w:t>
                  </w:r>
                </w:p>
              </w:tc>
              <w:tc>
                <w:tcPr>
                  <w:tcW w:w="382" w:type="pct"/>
                  <w:vMerge w:val="restart"/>
                  <w:tcMar>
                    <w:left w:w="0" w:type="dxa"/>
                    <w:right w:w="0" w:type="dxa"/>
                  </w:tcMar>
                  <w:vAlign w:val="center"/>
                </w:tcPr>
                <w:p w14:paraId="722608D5">
                  <w:pPr>
                    <w:spacing w:line="300" w:lineRule="exact"/>
                    <w:jc w:val="center"/>
                    <w:rPr>
                      <w:kern w:val="0"/>
                      <w:sz w:val="21"/>
                      <w:szCs w:val="21"/>
                    </w:rPr>
                  </w:pPr>
                  <w:r>
                    <w:rPr>
                      <w:kern w:val="0"/>
                      <w:sz w:val="21"/>
                      <w:szCs w:val="21"/>
                    </w:rPr>
                    <w:t>危险废物</w:t>
                  </w:r>
                </w:p>
              </w:tc>
              <w:tc>
                <w:tcPr>
                  <w:tcW w:w="584" w:type="pct"/>
                  <w:shd w:val="clear" w:color="auto" w:fill="auto"/>
                  <w:tcMar>
                    <w:left w:w="0" w:type="dxa"/>
                    <w:right w:w="0" w:type="dxa"/>
                  </w:tcMar>
                  <w:vAlign w:val="center"/>
                </w:tcPr>
                <w:p w14:paraId="56CD3D81">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熔化、废气处理</w:t>
                  </w:r>
                </w:p>
              </w:tc>
              <w:tc>
                <w:tcPr>
                  <w:tcW w:w="214" w:type="pct"/>
                  <w:shd w:val="clear" w:color="auto" w:fill="auto"/>
                  <w:tcMar>
                    <w:left w:w="0" w:type="dxa"/>
                    <w:right w:w="0" w:type="dxa"/>
                  </w:tcMar>
                  <w:vAlign w:val="center"/>
                </w:tcPr>
                <w:p w14:paraId="611481BA">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081212B8">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铝</w:t>
                  </w:r>
                </w:p>
              </w:tc>
              <w:tc>
                <w:tcPr>
                  <w:tcW w:w="793" w:type="pct"/>
                  <w:vMerge w:val="restart"/>
                  <w:shd w:val="clear" w:color="auto" w:fill="auto"/>
                  <w:tcMar>
                    <w:left w:w="0" w:type="dxa"/>
                    <w:right w:w="0" w:type="dxa"/>
                  </w:tcMar>
                  <w:vAlign w:val="center"/>
                </w:tcPr>
                <w:p w14:paraId="10743576">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《国家危险废物名录》（202</w:t>
                  </w:r>
                  <w:r>
                    <w:rPr>
                      <w:rFonts w:hint="eastAsia"/>
                      <w:kern w:val="0"/>
                      <w:sz w:val="21"/>
                      <w:szCs w:val="21"/>
                      <w:lang w:val="en-US" w:eastAsia="zh-CN"/>
                    </w:rPr>
                    <w:t>5</w:t>
                  </w:r>
                  <w:r>
                    <w:rPr>
                      <w:rFonts w:hint="eastAsia"/>
                      <w:kern w:val="0"/>
                      <w:sz w:val="21"/>
                      <w:szCs w:val="21"/>
                    </w:rPr>
                    <w:t>年版）</w:t>
                  </w:r>
                </w:p>
              </w:tc>
              <w:tc>
                <w:tcPr>
                  <w:tcW w:w="363" w:type="pct"/>
                  <w:vAlign w:val="center"/>
                </w:tcPr>
                <w:p w14:paraId="65ABDF5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R</w:t>
                  </w:r>
                </w:p>
              </w:tc>
              <w:tc>
                <w:tcPr>
                  <w:tcW w:w="388" w:type="pct"/>
                  <w:vAlign w:val="center"/>
                </w:tcPr>
                <w:p w14:paraId="67139AE4">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HW48</w:t>
                  </w:r>
                </w:p>
              </w:tc>
              <w:tc>
                <w:tcPr>
                  <w:tcW w:w="536" w:type="pct"/>
                  <w:vAlign w:val="center"/>
                </w:tcPr>
                <w:p w14:paraId="7E360D2B">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321-026-48</w:t>
                  </w:r>
                </w:p>
              </w:tc>
              <w:tc>
                <w:tcPr>
                  <w:tcW w:w="419" w:type="pct"/>
                  <w:shd w:val="clear" w:color="auto" w:fill="auto"/>
                  <w:vAlign w:val="center"/>
                </w:tcPr>
                <w:p w14:paraId="78932386">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w:t>
                  </w:r>
                </w:p>
              </w:tc>
            </w:tr>
            <w:tr w14:paraId="3E72E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8" w:type="pct"/>
                  <w:shd w:val="clear" w:color="auto" w:fill="auto"/>
                  <w:tcMar>
                    <w:left w:w="0" w:type="dxa"/>
                    <w:right w:w="0" w:type="dxa"/>
                  </w:tcMar>
                  <w:vAlign w:val="center"/>
                </w:tcPr>
                <w:p w14:paraId="3E67FDF6">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rPr>
                    <w:t>4</w:t>
                  </w:r>
                </w:p>
              </w:tc>
              <w:tc>
                <w:tcPr>
                  <w:tcW w:w="588" w:type="pct"/>
                  <w:shd w:val="clear" w:color="auto" w:fill="auto"/>
                  <w:tcMar>
                    <w:left w:w="0" w:type="dxa"/>
                    <w:right w:w="0" w:type="dxa"/>
                  </w:tcMar>
                  <w:vAlign w:val="center"/>
                </w:tcPr>
                <w:p w14:paraId="38B4EF96">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废过滤材料</w:t>
                  </w:r>
                </w:p>
              </w:tc>
              <w:tc>
                <w:tcPr>
                  <w:tcW w:w="382" w:type="pct"/>
                  <w:vMerge w:val="continue"/>
                  <w:tcMar>
                    <w:left w:w="0" w:type="dxa"/>
                    <w:right w:w="0" w:type="dxa"/>
                  </w:tcMar>
                  <w:vAlign w:val="center"/>
                </w:tcPr>
                <w:p w14:paraId="1D7C791B">
                  <w:pPr>
                    <w:spacing w:line="300" w:lineRule="exact"/>
                    <w:jc w:val="center"/>
                    <w:rPr>
                      <w:kern w:val="0"/>
                      <w:sz w:val="21"/>
                      <w:szCs w:val="21"/>
                    </w:rPr>
                  </w:pPr>
                </w:p>
              </w:tc>
              <w:tc>
                <w:tcPr>
                  <w:tcW w:w="584" w:type="pct"/>
                  <w:shd w:val="clear" w:color="auto" w:fill="auto"/>
                  <w:tcMar>
                    <w:left w:w="0" w:type="dxa"/>
                    <w:right w:w="0" w:type="dxa"/>
                  </w:tcMar>
                  <w:vAlign w:val="center"/>
                </w:tcPr>
                <w:p w14:paraId="19A2A972">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压铸、废气处理</w:t>
                  </w:r>
                </w:p>
              </w:tc>
              <w:tc>
                <w:tcPr>
                  <w:tcW w:w="214" w:type="pct"/>
                  <w:shd w:val="clear" w:color="auto" w:fill="auto"/>
                  <w:tcMar>
                    <w:left w:w="0" w:type="dxa"/>
                    <w:right w:w="0" w:type="dxa"/>
                  </w:tcMar>
                  <w:vAlign w:val="center"/>
                </w:tcPr>
                <w:p w14:paraId="5304D512">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7E2F3A2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烃/水混合物</w:t>
                  </w:r>
                </w:p>
              </w:tc>
              <w:tc>
                <w:tcPr>
                  <w:tcW w:w="793" w:type="pct"/>
                  <w:vMerge w:val="continue"/>
                  <w:shd w:val="clear" w:color="auto" w:fill="auto"/>
                  <w:tcMar>
                    <w:left w:w="0" w:type="dxa"/>
                    <w:right w:w="0" w:type="dxa"/>
                  </w:tcMar>
                  <w:vAlign w:val="center"/>
                </w:tcPr>
                <w:p w14:paraId="09E544CB">
                  <w:pPr>
                    <w:spacing w:line="300" w:lineRule="exact"/>
                    <w:jc w:val="center"/>
                    <w:rPr>
                      <w:rFonts w:hint="eastAsia"/>
                      <w:kern w:val="0"/>
                      <w:sz w:val="21"/>
                      <w:szCs w:val="21"/>
                    </w:rPr>
                  </w:pPr>
                </w:p>
              </w:tc>
              <w:tc>
                <w:tcPr>
                  <w:tcW w:w="363" w:type="pct"/>
                  <w:shd w:val="clear" w:color="auto" w:fill="auto"/>
                  <w:vAlign w:val="center"/>
                </w:tcPr>
                <w:p w14:paraId="791B3A9F">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T/In</w:t>
                  </w:r>
                </w:p>
              </w:tc>
              <w:tc>
                <w:tcPr>
                  <w:tcW w:w="388" w:type="pct"/>
                  <w:shd w:val="clear" w:color="auto" w:fill="auto"/>
                  <w:vAlign w:val="center"/>
                </w:tcPr>
                <w:p w14:paraId="340802D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HW49</w:t>
                  </w:r>
                </w:p>
              </w:tc>
              <w:tc>
                <w:tcPr>
                  <w:tcW w:w="536" w:type="pct"/>
                  <w:shd w:val="clear" w:color="auto" w:fill="auto"/>
                  <w:vAlign w:val="center"/>
                </w:tcPr>
                <w:p w14:paraId="02E41453">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900-041-49</w:t>
                  </w:r>
                </w:p>
              </w:tc>
              <w:tc>
                <w:tcPr>
                  <w:tcW w:w="419" w:type="pct"/>
                  <w:shd w:val="clear" w:color="auto" w:fill="auto"/>
                  <w:vAlign w:val="center"/>
                </w:tcPr>
                <w:p w14:paraId="3FC7148D">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1</w:t>
                  </w:r>
                </w:p>
              </w:tc>
            </w:tr>
            <w:tr w14:paraId="6B9D5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8" w:type="pct"/>
                  <w:shd w:val="clear" w:color="auto" w:fill="auto"/>
                  <w:tcMar>
                    <w:left w:w="0" w:type="dxa"/>
                    <w:right w:w="0" w:type="dxa"/>
                  </w:tcMar>
                  <w:vAlign w:val="center"/>
                </w:tcPr>
                <w:p w14:paraId="0D0D5589">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5</w:t>
                  </w:r>
                </w:p>
              </w:tc>
              <w:tc>
                <w:tcPr>
                  <w:tcW w:w="588" w:type="pct"/>
                  <w:shd w:val="clear" w:color="auto" w:fill="auto"/>
                  <w:tcMar>
                    <w:left w:w="0" w:type="dxa"/>
                    <w:right w:w="0" w:type="dxa"/>
                  </w:tcMar>
                  <w:vAlign w:val="center"/>
                </w:tcPr>
                <w:p w14:paraId="69F0C470">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废包装桶</w:t>
                  </w:r>
                </w:p>
              </w:tc>
              <w:tc>
                <w:tcPr>
                  <w:tcW w:w="382" w:type="pct"/>
                  <w:vMerge w:val="continue"/>
                  <w:tcMar>
                    <w:left w:w="0" w:type="dxa"/>
                    <w:right w:w="0" w:type="dxa"/>
                  </w:tcMar>
                  <w:vAlign w:val="center"/>
                </w:tcPr>
                <w:p w14:paraId="2AC031D7">
                  <w:pPr>
                    <w:spacing w:line="300" w:lineRule="exact"/>
                    <w:jc w:val="center"/>
                    <w:rPr>
                      <w:kern w:val="0"/>
                      <w:sz w:val="21"/>
                      <w:szCs w:val="21"/>
                    </w:rPr>
                  </w:pPr>
                </w:p>
              </w:tc>
              <w:tc>
                <w:tcPr>
                  <w:tcW w:w="584" w:type="pct"/>
                  <w:shd w:val="clear" w:color="auto" w:fill="auto"/>
                  <w:tcMar>
                    <w:left w:w="0" w:type="dxa"/>
                    <w:right w:w="0" w:type="dxa"/>
                  </w:tcMar>
                  <w:vAlign w:val="center"/>
                </w:tcPr>
                <w:p w14:paraId="0E8131A9">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原料使用</w:t>
                  </w:r>
                </w:p>
              </w:tc>
              <w:tc>
                <w:tcPr>
                  <w:tcW w:w="214" w:type="pct"/>
                  <w:shd w:val="clear" w:color="auto" w:fill="auto"/>
                  <w:tcMar>
                    <w:left w:w="0" w:type="dxa"/>
                    <w:right w:w="0" w:type="dxa"/>
                  </w:tcMar>
                  <w:vAlign w:val="center"/>
                </w:tcPr>
                <w:p w14:paraId="21D0347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7C2A2AAC">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脱模剂</w:t>
                  </w:r>
                </w:p>
              </w:tc>
              <w:tc>
                <w:tcPr>
                  <w:tcW w:w="793" w:type="pct"/>
                  <w:vMerge w:val="continue"/>
                  <w:tcMar>
                    <w:left w:w="0" w:type="dxa"/>
                    <w:right w:w="0" w:type="dxa"/>
                  </w:tcMar>
                  <w:vAlign w:val="center"/>
                </w:tcPr>
                <w:p w14:paraId="1B96567C">
                  <w:pPr>
                    <w:spacing w:line="300" w:lineRule="exact"/>
                    <w:jc w:val="center"/>
                    <w:rPr>
                      <w:kern w:val="0"/>
                      <w:sz w:val="21"/>
                      <w:szCs w:val="21"/>
                    </w:rPr>
                  </w:pPr>
                </w:p>
              </w:tc>
              <w:tc>
                <w:tcPr>
                  <w:tcW w:w="363" w:type="pct"/>
                  <w:vAlign w:val="center"/>
                </w:tcPr>
                <w:p w14:paraId="2619350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T/In</w:t>
                  </w:r>
                </w:p>
              </w:tc>
              <w:tc>
                <w:tcPr>
                  <w:tcW w:w="388" w:type="pct"/>
                  <w:vAlign w:val="center"/>
                </w:tcPr>
                <w:p w14:paraId="25BB3C77">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HW49</w:t>
                  </w:r>
                </w:p>
              </w:tc>
              <w:tc>
                <w:tcPr>
                  <w:tcW w:w="536" w:type="pct"/>
                  <w:vAlign w:val="center"/>
                </w:tcPr>
                <w:p w14:paraId="42805FAB">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900-041-49</w:t>
                  </w:r>
                </w:p>
              </w:tc>
              <w:tc>
                <w:tcPr>
                  <w:tcW w:w="419" w:type="pct"/>
                  <w:shd w:val="clear" w:color="auto" w:fill="auto"/>
                  <w:vAlign w:val="center"/>
                </w:tcPr>
                <w:p w14:paraId="6F4B7239">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2</w:t>
                  </w:r>
                  <w:r>
                    <w:rPr>
                      <w:rFonts w:hint="eastAsia" w:ascii="Times New Roman" w:hAnsi="Times New Roman" w:cs="Times New Roman"/>
                      <w:kern w:val="0"/>
                      <w:sz w:val="21"/>
                      <w:szCs w:val="21"/>
                      <w:lang w:val="en-US" w:eastAsia="zh-CN"/>
                    </w:rPr>
                    <w:t>5</w:t>
                  </w:r>
                </w:p>
              </w:tc>
            </w:tr>
            <w:tr w14:paraId="2FF80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shd w:val="clear" w:color="auto" w:fill="auto"/>
                  <w:tcMar>
                    <w:left w:w="0" w:type="dxa"/>
                    <w:right w:w="0" w:type="dxa"/>
                  </w:tcMar>
                  <w:vAlign w:val="center"/>
                </w:tcPr>
                <w:p w14:paraId="0DB54733">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6</w:t>
                  </w:r>
                </w:p>
              </w:tc>
              <w:tc>
                <w:tcPr>
                  <w:tcW w:w="588" w:type="pct"/>
                  <w:shd w:val="clear" w:color="auto" w:fill="auto"/>
                  <w:tcMar>
                    <w:left w:w="0" w:type="dxa"/>
                    <w:right w:w="0" w:type="dxa"/>
                  </w:tcMar>
                  <w:vAlign w:val="center"/>
                </w:tcPr>
                <w:p w14:paraId="5434DB9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废活性炭</w:t>
                  </w:r>
                </w:p>
              </w:tc>
              <w:tc>
                <w:tcPr>
                  <w:tcW w:w="382" w:type="pct"/>
                  <w:vMerge w:val="continue"/>
                  <w:tcMar>
                    <w:left w:w="0" w:type="dxa"/>
                    <w:right w:w="0" w:type="dxa"/>
                  </w:tcMar>
                  <w:vAlign w:val="center"/>
                </w:tcPr>
                <w:p w14:paraId="1E46CFD3">
                  <w:pPr>
                    <w:spacing w:line="300" w:lineRule="exact"/>
                    <w:jc w:val="center"/>
                    <w:rPr>
                      <w:kern w:val="0"/>
                      <w:sz w:val="21"/>
                      <w:szCs w:val="21"/>
                    </w:rPr>
                  </w:pPr>
                </w:p>
              </w:tc>
              <w:tc>
                <w:tcPr>
                  <w:tcW w:w="584" w:type="pct"/>
                  <w:shd w:val="clear" w:color="auto" w:fill="auto"/>
                  <w:tcMar>
                    <w:left w:w="0" w:type="dxa"/>
                    <w:right w:w="0" w:type="dxa"/>
                  </w:tcMar>
                  <w:vAlign w:val="center"/>
                </w:tcPr>
                <w:p w14:paraId="000B7EEA">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rPr>
                    <w:t>废气处理</w:t>
                  </w:r>
                </w:p>
              </w:tc>
              <w:tc>
                <w:tcPr>
                  <w:tcW w:w="214" w:type="pct"/>
                  <w:shd w:val="clear" w:color="auto" w:fill="auto"/>
                  <w:tcMar>
                    <w:left w:w="0" w:type="dxa"/>
                    <w:right w:w="0" w:type="dxa"/>
                  </w:tcMar>
                  <w:vAlign w:val="center"/>
                </w:tcPr>
                <w:p w14:paraId="449BC38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3BF189DE">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有机废气</w:t>
                  </w:r>
                </w:p>
              </w:tc>
              <w:tc>
                <w:tcPr>
                  <w:tcW w:w="793" w:type="pct"/>
                  <w:vMerge w:val="continue"/>
                  <w:tcMar>
                    <w:left w:w="0" w:type="dxa"/>
                    <w:right w:w="0" w:type="dxa"/>
                  </w:tcMar>
                  <w:vAlign w:val="center"/>
                </w:tcPr>
                <w:p w14:paraId="57997FFA">
                  <w:pPr>
                    <w:spacing w:line="300" w:lineRule="exact"/>
                    <w:jc w:val="center"/>
                    <w:rPr>
                      <w:kern w:val="0"/>
                      <w:sz w:val="21"/>
                      <w:szCs w:val="21"/>
                    </w:rPr>
                  </w:pPr>
                </w:p>
              </w:tc>
              <w:tc>
                <w:tcPr>
                  <w:tcW w:w="363" w:type="pct"/>
                  <w:vAlign w:val="center"/>
                </w:tcPr>
                <w:p w14:paraId="3D4DA1BE">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w:t>
                  </w:r>
                </w:p>
              </w:tc>
              <w:tc>
                <w:tcPr>
                  <w:tcW w:w="388" w:type="pct"/>
                  <w:vAlign w:val="center"/>
                </w:tcPr>
                <w:p w14:paraId="232C187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HW49</w:t>
                  </w:r>
                </w:p>
              </w:tc>
              <w:tc>
                <w:tcPr>
                  <w:tcW w:w="536" w:type="pct"/>
                  <w:vAlign w:val="center"/>
                </w:tcPr>
                <w:p w14:paraId="3258D5A5">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900-039-49</w:t>
                  </w:r>
                </w:p>
              </w:tc>
              <w:tc>
                <w:tcPr>
                  <w:tcW w:w="419" w:type="pct"/>
                  <w:shd w:val="clear" w:color="auto" w:fill="auto"/>
                  <w:vAlign w:val="center"/>
                </w:tcPr>
                <w:p w14:paraId="1D867BDD">
                  <w:pPr>
                    <w:spacing w:line="300" w:lineRule="exact"/>
                    <w:jc w:val="center"/>
                    <w:rPr>
                      <w:rFonts w:hint="eastAsia" w:ascii="Times New Roman" w:hAnsi="Times New Roman" w:cs="Times New Roman"/>
                      <w:kern w:val="0"/>
                      <w:sz w:val="21"/>
                      <w:szCs w:val="21"/>
                      <w:lang w:val="en-US" w:eastAsia="zh-CN"/>
                    </w:rPr>
                  </w:pPr>
                  <w:r>
                    <w:rPr>
                      <w:rFonts w:hint="eastAsia" w:cs="Times New Roman"/>
                      <w:kern w:val="0"/>
                      <w:sz w:val="21"/>
                      <w:szCs w:val="21"/>
                      <w:lang w:val="en-US" w:eastAsia="zh-CN"/>
                    </w:rPr>
                    <w:t>14.93</w:t>
                  </w:r>
                </w:p>
              </w:tc>
            </w:tr>
            <w:tr w14:paraId="39CFC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shd w:val="clear" w:color="auto" w:fill="auto"/>
                  <w:tcMar>
                    <w:left w:w="0" w:type="dxa"/>
                    <w:right w:w="0" w:type="dxa"/>
                  </w:tcMar>
                  <w:vAlign w:val="center"/>
                </w:tcPr>
                <w:p w14:paraId="1F785BD9">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7</w:t>
                  </w:r>
                </w:p>
              </w:tc>
              <w:tc>
                <w:tcPr>
                  <w:tcW w:w="588" w:type="pct"/>
                  <w:shd w:val="clear" w:color="auto" w:fill="auto"/>
                  <w:tcMar>
                    <w:left w:w="0" w:type="dxa"/>
                    <w:right w:w="0" w:type="dxa"/>
                  </w:tcMar>
                  <w:vAlign w:val="center"/>
                </w:tcPr>
                <w:p w14:paraId="760CFB6B">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废脱模剂</w:t>
                  </w:r>
                </w:p>
              </w:tc>
              <w:tc>
                <w:tcPr>
                  <w:tcW w:w="382" w:type="pct"/>
                  <w:vMerge w:val="continue"/>
                  <w:tcMar>
                    <w:left w:w="0" w:type="dxa"/>
                    <w:right w:w="0" w:type="dxa"/>
                  </w:tcMar>
                  <w:vAlign w:val="center"/>
                </w:tcPr>
                <w:p w14:paraId="5F6B00F1">
                  <w:pPr>
                    <w:spacing w:line="300" w:lineRule="exact"/>
                    <w:jc w:val="center"/>
                    <w:rPr>
                      <w:kern w:val="0"/>
                      <w:sz w:val="21"/>
                      <w:szCs w:val="21"/>
                    </w:rPr>
                  </w:pPr>
                </w:p>
              </w:tc>
              <w:tc>
                <w:tcPr>
                  <w:tcW w:w="584" w:type="pct"/>
                  <w:shd w:val="clear" w:color="auto" w:fill="auto"/>
                  <w:tcMar>
                    <w:left w:w="0" w:type="dxa"/>
                    <w:right w:w="0" w:type="dxa"/>
                  </w:tcMar>
                  <w:vAlign w:val="center"/>
                </w:tcPr>
                <w:p w14:paraId="41BDA762">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压铸</w:t>
                  </w:r>
                </w:p>
              </w:tc>
              <w:tc>
                <w:tcPr>
                  <w:tcW w:w="214" w:type="pct"/>
                  <w:shd w:val="clear" w:color="auto" w:fill="auto"/>
                  <w:tcMar>
                    <w:left w:w="0" w:type="dxa"/>
                    <w:right w:w="0" w:type="dxa"/>
                  </w:tcMar>
                  <w:vAlign w:val="center"/>
                </w:tcPr>
                <w:p w14:paraId="0B179FC4">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液态</w:t>
                  </w:r>
                </w:p>
              </w:tc>
              <w:tc>
                <w:tcPr>
                  <w:tcW w:w="520" w:type="pct"/>
                  <w:shd w:val="clear" w:color="auto" w:fill="auto"/>
                  <w:tcMar>
                    <w:left w:w="0" w:type="dxa"/>
                    <w:right w:w="0" w:type="dxa"/>
                  </w:tcMar>
                  <w:vAlign w:val="center"/>
                </w:tcPr>
                <w:p w14:paraId="7424E9D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烃/水混合物</w:t>
                  </w:r>
                </w:p>
              </w:tc>
              <w:tc>
                <w:tcPr>
                  <w:tcW w:w="793" w:type="pct"/>
                  <w:vMerge w:val="continue"/>
                  <w:tcMar>
                    <w:left w:w="0" w:type="dxa"/>
                    <w:right w:w="0" w:type="dxa"/>
                  </w:tcMar>
                  <w:vAlign w:val="center"/>
                </w:tcPr>
                <w:p w14:paraId="7D81912A">
                  <w:pPr>
                    <w:spacing w:line="300" w:lineRule="exact"/>
                    <w:jc w:val="center"/>
                    <w:rPr>
                      <w:kern w:val="0"/>
                      <w:sz w:val="21"/>
                      <w:szCs w:val="21"/>
                    </w:rPr>
                  </w:pPr>
                </w:p>
              </w:tc>
              <w:tc>
                <w:tcPr>
                  <w:tcW w:w="363" w:type="pct"/>
                  <w:shd w:val="clear" w:color="auto" w:fill="auto"/>
                  <w:vAlign w:val="center"/>
                </w:tcPr>
                <w:p w14:paraId="5A23F788">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w:t>
                  </w:r>
                </w:p>
              </w:tc>
              <w:tc>
                <w:tcPr>
                  <w:tcW w:w="388" w:type="pct"/>
                  <w:shd w:val="clear" w:color="auto" w:fill="auto"/>
                  <w:vAlign w:val="center"/>
                </w:tcPr>
                <w:p w14:paraId="6528C6DA">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HW09</w:t>
                  </w:r>
                </w:p>
              </w:tc>
              <w:tc>
                <w:tcPr>
                  <w:tcW w:w="536" w:type="pct"/>
                  <w:shd w:val="clear" w:color="auto" w:fill="auto"/>
                  <w:vAlign w:val="center"/>
                </w:tcPr>
                <w:p w14:paraId="3D30878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900-007-09</w:t>
                  </w:r>
                </w:p>
              </w:tc>
              <w:tc>
                <w:tcPr>
                  <w:tcW w:w="419" w:type="pct"/>
                  <w:shd w:val="clear" w:color="auto" w:fill="auto"/>
                  <w:vAlign w:val="center"/>
                </w:tcPr>
                <w:p w14:paraId="7F005588">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bidi="ar-SA"/>
                    </w:rPr>
                    <w:t>0.3</w:t>
                  </w:r>
                </w:p>
              </w:tc>
            </w:tr>
            <w:tr w14:paraId="7F40F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shd w:val="clear" w:color="auto" w:fill="auto"/>
                  <w:tcMar>
                    <w:left w:w="0" w:type="dxa"/>
                    <w:right w:w="0" w:type="dxa"/>
                  </w:tcMar>
                  <w:vAlign w:val="center"/>
                </w:tcPr>
                <w:p w14:paraId="5DDAB5DD">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8</w:t>
                  </w:r>
                </w:p>
              </w:tc>
              <w:tc>
                <w:tcPr>
                  <w:tcW w:w="588" w:type="pct"/>
                  <w:shd w:val="clear" w:color="auto" w:fill="auto"/>
                  <w:tcMar>
                    <w:left w:w="0" w:type="dxa"/>
                    <w:right w:w="0" w:type="dxa"/>
                  </w:tcMar>
                  <w:vAlign w:val="center"/>
                </w:tcPr>
                <w:p w14:paraId="041F2DED">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喷淋废液</w:t>
                  </w:r>
                </w:p>
              </w:tc>
              <w:tc>
                <w:tcPr>
                  <w:tcW w:w="382" w:type="pct"/>
                  <w:vMerge w:val="continue"/>
                  <w:tcMar>
                    <w:left w:w="0" w:type="dxa"/>
                    <w:right w:w="0" w:type="dxa"/>
                  </w:tcMar>
                  <w:vAlign w:val="center"/>
                </w:tcPr>
                <w:p w14:paraId="0DD6320C">
                  <w:pPr>
                    <w:spacing w:line="300" w:lineRule="exact"/>
                    <w:jc w:val="center"/>
                    <w:rPr>
                      <w:kern w:val="0"/>
                      <w:sz w:val="21"/>
                      <w:szCs w:val="21"/>
                    </w:rPr>
                  </w:pPr>
                </w:p>
              </w:tc>
              <w:tc>
                <w:tcPr>
                  <w:tcW w:w="584" w:type="pct"/>
                  <w:shd w:val="clear" w:color="auto" w:fill="auto"/>
                  <w:tcMar>
                    <w:left w:w="0" w:type="dxa"/>
                    <w:right w:w="0" w:type="dxa"/>
                  </w:tcMar>
                  <w:vAlign w:val="center"/>
                </w:tcPr>
                <w:p w14:paraId="3B222D4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废气处理</w:t>
                  </w:r>
                </w:p>
              </w:tc>
              <w:tc>
                <w:tcPr>
                  <w:tcW w:w="214" w:type="pct"/>
                  <w:shd w:val="clear" w:color="auto" w:fill="auto"/>
                  <w:tcMar>
                    <w:left w:w="0" w:type="dxa"/>
                    <w:right w:w="0" w:type="dxa"/>
                  </w:tcMar>
                  <w:vAlign w:val="center"/>
                </w:tcPr>
                <w:p w14:paraId="551E0C11">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液态</w:t>
                  </w:r>
                </w:p>
              </w:tc>
              <w:tc>
                <w:tcPr>
                  <w:tcW w:w="520" w:type="pct"/>
                  <w:shd w:val="clear" w:color="auto" w:fill="auto"/>
                  <w:tcMar>
                    <w:left w:w="0" w:type="dxa"/>
                    <w:right w:w="0" w:type="dxa"/>
                  </w:tcMar>
                  <w:vAlign w:val="center"/>
                </w:tcPr>
                <w:p w14:paraId="392AC8D9">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烃/水混合物</w:t>
                  </w:r>
                </w:p>
              </w:tc>
              <w:tc>
                <w:tcPr>
                  <w:tcW w:w="793" w:type="pct"/>
                  <w:vMerge w:val="continue"/>
                  <w:tcMar>
                    <w:left w:w="0" w:type="dxa"/>
                    <w:right w:w="0" w:type="dxa"/>
                  </w:tcMar>
                  <w:vAlign w:val="center"/>
                </w:tcPr>
                <w:p w14:paraId="56593885">
                  <w:pPr>
                    <w:spacing w:line="320" w:lineRule="exact"/>
                    <w:jc w:val="center"/>
                    <w:rPr>
                      <w:sz w:val="21"/>
                      <w:szCs w:val="21"/>
                    </w:rPr>
                  </w:pPr>
                </w:p>
              </w:tc>
              <w:tc>
                <w:tcPr>
                  <w:tcW w:w="363" w:type="pct"/>
                  <w:vAlign w:val="center"/>
                </w:tcPr>
                <w:p w14:paraId="50DF775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w:t>
                  </w:r>
                </w:p>
              </w:tc>
              <w:tc>
                <w:tcPr>
                  <w:tcW w:w="388" w:type="pct"/>
                  <w:vAlign w:val="center"/>
                </w:tcPr>
                <w:p w14:paraId="12737E00">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HW09</w:t>
                  </w:r>
                </w:p>
              </w:tc>
              <w:tc>
                <w:tcPr>
                  <w:tcW w:w="536" w:type="pct"/>
                  <w:vAlign w:val="center"/>
                </w:tcPr>
                <w:p w14:paraId="73AC9FA9">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900-007-09</w:t>
                  </w:r>
                </w:p>
              </w:tc>
              <w:tc>
                <w:tcPr>
                  <w:tcW w:w="419" w:type="pct"/>
                  <w:shd w:val="clear" w:color="auto" w:fill="auto"/>
                  <w:vAlign w:val="center"/>
                </w:tcPr>
                <w:p w14:paraId="5428BE2F">
                  <w:pPr>
                    <w:spacing w:line="300" w:lineRule="exact"/>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2</w:t>
                  </w:r>
                </w:p>
              </w:tc>
            </w:tr>
            <w:tr w14:paraId="7128A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shd w:val="clear" w:color="auto" w:fill="auto"/>
                  <w:tcMar>
                    <w:left w:w="0" w:type="dxa"/>
                    <w:right w:w="0" w:type="dxa"/>
                  </w:tcMar>
                  <w:vAlign w:val="center"/>
                </w:tcPr>
                <w:p w14:paraId="3F2D37B0">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9</w:t>
                  </w:r>
                </w:p>
              </w:tc>
              <w:tc>
                <w:tcPr>
                  <w:tcW w:w="588" w:type="pct"/>
                  <w:shd w:val="clear" w:color="auto" w:fill="auto"/>
                  <w:tcMar>
                    <w:left w:w="0" w:type="dxa"/>
                    <w:right w:w="0" w:type="dxa"/>
                  </w:tcMar>
                  <w:vAlign w:val="center"/>
                </w:tcPr>
                <w:p w14:paraId="4DD07F5B">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废机油</w:t>
                  </w:r>
                </w:p>
              </w:tc>
              <w:tc>
                <w:tcPr>
                  <w:tcW w:w="382" w:type="pct"/>
                  <w:vMerge w:val="continue"/>
                  <w:tcMar>
                    <w:left w:w="0" w:type="dxa"/>
                    <w:right w:w="0" w:type="dxa"/>
                  </w:tcMar>
                  <w:vAlign w:val="center"/>
                </w:tcPr>
                <w:p w14:paraId="77FE77EB">
                  <w:pPr>
                    <w:spacing w:line="300" w:lineRule="exact"/>
                    <w:jc w:val="center"/>
                    <w:rPr>
                      <w:kern w:val="0"/>
                      <w:sz w:val="21"/>
                      <w:szCs w:val="21"/>
                    </w:rPr>
                  </w:pPr>
                </w:p>
              </w:tc>
              <w:tc>
                <w:tcPr>
                  <w:tcW w:w="584" w:type="pct"/>
                  <w:shd w:val="clear" w:color="auto" w:fill="auto"/>
                  <w:tcMar>
                    <w:left w:w="0" w:type="dxa"/>
                    <w:right w:w="0" w:type="dxa"/>
                  </w:tcMar>
                  <w:vAlign w:val="center"/>
                </w:tcPr>
                <w:p w14:paraId="5F24ADA1">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设备维护</w:t>
                  </w:r>
                </w:p>
              </w:tc>
              <w:tc>
                <w:tcPr>
                  <w:tcW w:w="214" w:type="pct"/>
                  <w:shd w:val="clear" w:color="auto" w:fill="auto"/>
                  <w:tcMar>
                    <w:left w:w="0" w:type="dxa"/>
                    <w:right w:w="0" w:type="dxa"/>
                  </w:tcMar>
                  <w:vAlign w:val="center"/>
                </w:tcPr>
                <w:p w14:paraId="74C6CC60">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液态</w:t>
                  </w:r>
                </w:p>
              </w:tc>
              <w:tc>
                <w:tcPr>
                  <w:tcW w:w="520" w:type="pct"/>
                  <w:shd w:val="clear" w:color="auto" w:fill="auto"/>
                  <w:tcMar>
                    <w:left w:w="0" w:type="dxa"/>
                    <w:right w:w="0" w:type="dxa"/>
                  </w:tcMar>
                  <w:vAlign w:val="center"/>
                </w:tcPr>
                <w:p w14:paraId="426176FD">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油类</w:t>
                  </w:r>
                </w:p>
              </w:tc>
              <w:tc>
                <w:tcPr>
                  <w:tcW w:w="793" w:type="pct"/>
                  <w:vMerge w:val="continue"/>
                  <w:tcMar>
                    <w:left w:w="0" w:type="dxa"/>
                    <w:right w:w="0" w:type="dxa"/>
                  </w:tcMar>
                  <w:vAlign w:val="center"/>
                </w:tcPr>
                <w:p w14:paraId="6EBF1292">
                  <w:pPr>
                    <w:spacing w:line="320" w:lineRule="exact"/>
                    <w:jc w:val="center"/>
                    <w:rPr>
                      <w:sz w:val="21"/>
                      <w:szCs w:val="21"/>
                    </w:rPr>
                  </w:pPr>
                </w:p>
              </w:tc>
              <w:tc>
                <w:tcPr>
                  <w:tcW w:w="363" w:type="pct"/>
                  <w:vAlign w:val="center"/>
                </w:tcPr>
                <w:p w14:paraId="363113E0">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T，I</w:t>
                  </w:r>
                </w:p>
              </w:tc>
              <w:tc>
                <w:tcPr>
                  <w:tcW w:w="388" w:type="pct"/>
                  <w:vAlign w:val="center"/>
                </w:tcPr>
                <w:p w14:paraId="38FF174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HW08</w:t>
                  </w:r>
                </w:p>
              </w:tc>
              <w:tc>
                <w:tcPr>
                  <w:tcW w:w="536" w:type="pct"/>
                  <w:vAlign w:val="center"/>
                </w:tcPr>
                <w:p w14:paraId="1475A62E">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900-214-08</w:t>
                  </w:r>
                </w:p>
              </w:tc>
              <w:tc>
                <w:tcPr>
                  <w:tcW w:w="419" w:type="pct"/>
                  <w:shd w:val="clear" w:color="auto" w:fill="auto"/>
                  <w:vAlign w:val="center"/>
                </w:tcPr>
                <w:p w14:paraId="10B1D145">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0.5</w:t>
                  </w:r>
                </w:p>
              </w:tc>
            </w:tr>
            <w:tr w14:paraId="57E6E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shd w:val="clear" w:color="auto" w:fill="auto"/>
                  <w:tcMar>
                    <w:left w:w="0" w:type="dxa"/>
                    <w:right w:w="0" w:type="dxa"/>
                  </w:tcMar>
                  <w:vAlign w:val="center"/>
                </w:tcPr>
                <w:p w14:paraId="0F0F8828">
                  <w:pPr>
                    <w:spacing w:line="300" w:lineRule="exact"/>
                    <w:jc w:val="center"/>
                    <w:rPr>
                      <w:rFonts w:hint="default" w:ascii="Times New Roman" w:hAnsi="Times New Roman" w:eastAsia="仿宋" w:cs="Times New Roman"/>
                      <w:kern w:val="0"/>
                      <w:sz w:val="21"/>
                      <w:szCs w:val="21"/>
                      <w:lang w:val="en-US" w:eastAsia="zh-CN" w:bidi="ar-SA"/>
                    </w:rPr>
                  </w:pPr>
                  <w:r>
                    <w:rPr>
                      <w:rFonts w:hint="eastAsia"/>
                      <w:kern w:val="0"/>
                      <w:sz w:val="21"/>
                      <w:szCs w:val="21"/>
                      <w:lang w:val="en-US" w:eastAsia="zh-CN"/>
                    </w:rPr>
                    <w:t>10</w:t>
                  </w:r>
                </w:p>
              </w:tc>
              <w:tc>
                <w:tcPr>
                  <w:tcW w:w="588" w:type="pct"/>
                  <w:shd w:val="clear" w:color="auto" w:fill="auto"/>
                  <w:tcMar>
                    <w:left w:w="0" w:type="dxa"/>
                    <w:right w:w="0" w:type="dxa"/>
                  </w:tcMar>
                  <w:vAlign w:val="center"/>
                </w:tcPr>
                <w:p w14:paraId="64A3852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含油劳保用品</w:t>
                  </w:r>
                </w:p>
              </w:tc>
              <w:tc>
                <w:tcPr>
                  <w:tcW w:w="382" w:type="pct"/>
                  <w:vMerge w:val="continue"/>
                  <w:tcMar>
                    <w:left w:w="0" w:type="dxa"/>
                    <w:right w:w="0" w:type="dxa"/>
                  </w:tcMar>
                  <w:vAlign w:val="center"/>
                </w:tcPr>
                <w:p w14:paraId="75F24C03">
                  <w:pPr>
                    <w:spacing w:line="300" w:lineRule="exact"/>
                    <w:jc w:val="center"/>
                    <w:rPr>
                      <w:kern w:val="0"/>
                      <w:sz w:val="21"/>
                      <w:szCs w:val="21"/>
                    </w:rPr>
                  </w:pPr>
                </w:p>
              </w:tc>
              <w:tc>
                <w:tcPr>
                  <w:tcW w:w="584" w:type="pct"/>
                  <w:shd w:val="clear" w:color="auto" w:fill="auto"/>
                  <w:tcMar>
                    <w:left w:w="0" w:type="dxa"/>
                    <w:right w:w="0" w:type="dxa"/>
                  </w:tcMar>
                  <w:vAlign w:val="center"/>
                </w:tcPr>
                <w:p w14:paraId="6A161A8C">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设备维护</w:t>
                  </w:r>
                </w:p>
              </w:tc>
              <w:tc>
                <w:tcPr>
                  <w:tcW w:w="214" w:type="pct"/>
                  <w:shd w:val="clear" w:color="auto" w:fill="auto"/>
                  <w:tcMar>
                    <w:left w:w="0" w:type="dxa"/>
                    <w:right w:w="0" w:type="dxa"/>
                  </w:tcMar>
                  <w:vAlign w:val="center"/>
                </w:tcPr>
                <w:p w14:paraId="15B52998">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347F78B5">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油类</w:t>
                  </w:r>
                </w:p>
              </w:tc>
              <w:tc>
                <w:tcPr>
                  <w:tcW w:w="793" w:type="pct"/>
                  <w:vMerge w:val="continue"/>
                  <w:tcMar>
                    <w:left w:w="0" w:type="dxa"/>
                    <w:right w:w="0" w:type="dxa"/>
                  </w:tcMar>
                  <w:vAlign w:val="center"/>
                </w:tcPr>
                <w:p w14:paraId="2B4E8929">
                  <w:pPr>
                    <w:spacing w:line="320" w:lineRule="exact"/>
                    <w:jc w:val="center"/>
                    <w:rPr>
                      <w:sz w:val="21"/>
                      <w:szCs w:val="21"/>
                    </w:rPr>
                  </w:pPr>
                </w:p>
              </w:tc>
              <w:tc>
                <w:tcPr>
                  <w:tcW w:w="363" w:type="pct"/>
                  <w:vAlign w:val="center"/>
                </w:tcPr>
                <w:p w14:paraId="0901630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T/In</w:t>
                  </w:r>
                </w:p>
              </w:tc>
              <w:tc>
                <w:tcPr>
                  <w:tcW w:w="388" w:type="pct"/>
                  <w:vAlign w:val="center"/>
                </w:tcPr>
                <w:p w14:paraId="4BBAAA3B">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HW49</w:t>
                  </w:r>
                </w:p>
              </w:tc>
              <w:tc>
                <w:tcPr>
                  <w:tcW w:w="536" w:type="pct"/>
                  <w:vAlign w:val="center"/>
                </w:tcPr>
                <w:p w14:paraId="4AC4DBE5">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900-041-49</w:t>
                  </w:r>
                </w:p>
              </w:tc>
              <w:tc>
                <w:tcPr>
                  <w:tcW w:w="419" w:type="pct"/>
                  <w:shd w:val="clear" w:color="auto" w:fill="auto"/>
                  <w:vAlign w:val="center"/>
                </w:tcPr>
                <w:p w14:paraId="19CC8E3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w:t>
                  </w:r>
                </w:p>
              </w:tc>
            </w:tr>
            <w:tr w14:paraId="2F380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08" w:type="pct"/>
                  <w:tcMar>
                    <w:left w:w="0" w:type="dxa"/>
                    <w:right w:w="0" w:type="dxa"/>
                  </w:tcMar>
                  <w:vAlign w:val="center"/>
                </w:tcPr>
                <w:p w14:paraId="27C7F857">
                  <w:pPr>
                    <w:spacing w:line="300" w:lineRule="exact"/>
                    <w:jc w:val="center"/>
                    <w:rPr>
                      <w:rFonts w:hint="default" w:eastAsia="仿宋"/>
                      <w:kern w:val="0"/>
                      <w:sz w:val="21"/>
                      <w:szCs w:val="21"/>
                      <w:lang w:val="en-US" w:eastAsia="zh-CN"/>
                    </w:rPr>
                  </w:pPr>
                  <w:r>
                    <w:rPr>
                      <w:rFonts w:hint="eastAsia"/>
                      <w:kern w:val="0"/>
                      <w:sz w:val="21"/>
                      <w:szCs w:val="21"/>
                      <w:lang w:val="en-US" w:eastAsia="zh-CN"/>
                    </w:rPr>
                    <w:t>11</w:t>
                  </w:r>
                </w:p>
              </w:tc>
              <w:tc>
                <w:tcPr>
                  <w:tcW w:w="588" w:type="pct"/>
                  <w:shd w:val="clear" w:color="auto" w:fill="auto"/>
                  <w:tcMar>
                    <w:left w:w="0" w:type="dxa"/>
                    <w:right w:w="0" w:type="dxa"/>
                  </w:tcMar>
                  <w:vAlign w:val="center"/>
                </w:tcPr>
                <w:p w14:paraId="1E8FEDFB">
                  <w:pPr>
                    <w:spacing w:line="300" w:lineRule="exact"/>
                    <w:jc w:val="center"/>
                    <w:rPr>
                      <w:rFonts w:hint="default" w:ascii="Times New Roman" w:hAnsi="Times New Roman" w:eastAsia="仿宋" w:cs="Times New Roman"/>
                      <w:kern w:val="0"/>
                      <w:sz w:val="21"/>
                      <w:szCs w:val="21"/>
                      <w:lang w:val="en-US" w:eastAsia="zh-CN" w:bidi="ar-SA"/>
                    </w:rPr>
                  </w:pPr>
                  <w:r>
                    <w:rPr>
                      <w:rFonts w:ascii="Times New Roman" w:hAnsi="Times New Roman" w:cs="Times New Roman"/>
                      <w:kern w:val="0"/>
                      <w:sz w:val="21"/>
                      <w:szCs w:val="21"/>
                    </w:rPr>
                    <w:t>生活垃圾</w:t>
                  </w:r>
                </w:p>
              </w:tc>
              <w:tc>
                <w:tcPr>
                  <w:tcW w:w="382" w:type="pct"/>
                  <w:tcMar>
                    <w:left w:w="0" w:type="dxa"/>
                    <w:right w:w="0" w:type="dxa"/>
                  </w:tcMar>
                  <w:vAlign w:val="center"/>
                </w:tcPr>
                <w:p w14:paraId="57A7C36E">
                  <w:pPr>
                    <w:spacing w:line="300" w:lineRule="exact"/>
                    <w:jc w:val="center"/>
                    <w:rPr>
                      <w:kern w:val="0"/>
                      <w:sz w:val="21"/>
                      <w:szCs w:val="21"/>
                    </w:rPr>
                  </w:pPr>
                  <w:r>
                    <w:rPr>
                      <w:kern w:val="0"/>
                      <w:sz w:val="21"/>
                      <w:szCs w:val="21"/>
                    </w:rPr>
                    <w:t>生活垃圾</w:t>
                  </w:r>
                </w:p>
              </w:tc>
              <w:tc>
                <w:tcPr>
                  <w:tcW w:w="584" w:type="pct"/>
                  <w:shd w:val="clear" w:color="auto" w:fill="auto"/>
                  <w:tcMar>
                    <w:left w:w="0" w:type="dxa"/>
                    <w:right w:w="0" w:type="dxa"/>
                  </w:tcMar>
                  <w:vAlign w:val="center"/>
                </w:tcPr>
                <w:p w14:paraId="25FC9C4B">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员工生活</w:t>
                  </w:r>
                </w:p>
              </w:tc>
              <w:tc>
                <w:tcPr>
                  <w:tcW w:w="214" w:type="pct"/>
                  <w:shd w:val="clear" w:color="auto" w:fill="auto"/>
                  <w:tcMar>
                    <w:left w:w="0" w:type="dxa"/>
                    <w:right w:w="0" w:type="dxa"/>
                  </w:tcMar>
                  <w:vAlign w:val="center"/>
                </w:tcPr>
                <w:p w14:paraId="0999E233">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固态</w:t>
                  </w:r>
                </w:p>
              </w:tc>
              <w:tc>
                <w:tcPr>
                  <w:tcW w:w="520" w:type="pct"/>
                  <w:shd w:val="clear" w:color="auto" w:fill="auto"/>
                  <w:tcMar>
                    <w:left w:w="0" w:type="dxa"/>
                    <w:right w:w="0" w:type="dxa"/>
                  </w:tcMar>
                  <w:vAlign w:val="center"/>
                </w:tcPr>
                <w:p w14:paraId="42FB0FEC">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rPr>
                    <w:t>废纸等</w:t>
                  </w:r>
                </w:p>
              </w:tc>
              <w:tc>
                <w:tcPr>
                  <w:tcW w:w="793" w:type="pct"/>
                  <w:tcMar>
                    <w:left w:w="0" w:type="dxa"/>
                    <w:right w:w="0" w:type="dxa"/>
                  </w:tcMar>
                  <w:vAlign w:val="center"/>
                </w:tcPr>
                <w:p w14:paraId="3A58D803">
                  <w:pPr>
                    <w:spacing w:line="320" w:lineRule="exact"/>
                    <w:jc w:val="center"/>
                    <w:rPr>
                      <w:sz w:val="21"/>
                      <w:szCs w:val="21"/>
                    </w:rPr>
                  </w:pPr>
                  <w:r>
                    <w:rPr>
                      <w:rFonts w:hint="eastAsia"/>
                      <w:sz w:val="21"/>
                      <w:szCs w:val="21"/>
                    </w:rPr>
                    <w:t>/</w:t>
                  </w:r>
                </w:p>
              </w:tc>
              <w:tc>
                <w:tcPr>
                  <w:tcW w:w="363" w:type="pct"/>
                  <w:vAlign w:val="center"/>
                </w:tcPr>
                <w:p w14:paraId="54EDE9AD">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388" w:type="pct"/>
                  <w:vAlign w:val="center"/>
                </w:tcPr>
                <w:p w14:paraId="20C0FACA">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536" w:type="pct"/>
                  <w:vAlign w:val="center"/>
                </w:tcPr>
                <w:p w14:paraId="19566746">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419" w:type="pct"/>
                  <w:shd w:val="clear" w:color="auto" w:fill="auto"/>
                  <w:vAlign w:val="center"/>
                </w:tcPr>
                <w:p w14:paraId="3B9C8AF4">
                  <w:pPr>
                    <w:spacing w:line="300" w:lineRule="exact"/>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4.2</w:t>
                  </w:r>
                </w:p>
              </w:tc>
            </w:tr>
          </w:tbl>
          <w:p w14:paraId="635AD394">
            <w:pPr>
              <w:spacing w:line="240" w:lineRule="auto"/>
              <w:jc w:val="center"/>
              <w:rPr>
                <w:b/>
                <w:bCs/>
                <w:sz w:val="21"/>
                <w:szCs w:val="21"/>
              </w:rPr>
            </w:pPr>
            <w:r>
              <w:rPr>
                <w:b/>
                <w:bCs/>
                <w:sz w:val="21"/>
                <w:szCs w:val="21"/>
              </w:rPr>
              <w:t>表4-</w:t>
            </w:r>
            <w:r>
              <w:rPr>
                <w:rFonts w:hint="eastAsia"/>
                <w:b/>
                <w:bCs/>
                <w:sz w:val="21"/>
                <w:szCs w:val="21"/>
                <w:lang w:val="en-US" w:eastAsia="zh-CN"/>
              </w:rPr>
              <w:t>26</w:t>
            </w:r>
            <w:r>
              <w:rPr>
                <w:b/>
                <w:bCs/>
                <w:sz w:val="21"/>
                <w:szCs w:val="21"/>
              </w:rPr>
              <w:t xml:space="preserve">  本项目营运期固体废弃物利用处置方式评价表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535"/>
              <w:gridCol w:w="1210"/>
              <w:gridCol w:w="2510"/>
              <w:gridCol w:w="2145"/>
              <w:gridCol w:w="1771"/>
              <w:gridCol w:w="1668"/>
            </w:tblGrid>
            <w:tr w14:paraId="20575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90" w:type="pct"/>
                  <w:tcMar>
                    <w:left w:w="0" w:type="dxa"/>
                    <w:right w:w="0" w:type="dxa"/>
                  </w:tcMar>
                  <w:vAlign w:val="center"/>
                </w:tcPr>
                <w:p w14:paraId="0D30CE5E">
                  <w:pPr>
                    <w:spacing w:line="240" w:lineRule="auto"/>
                    <w:jc w:val="center"/>
                    <w:rPr>
                      <w:b/>
                      <w:bCs/>
                      <w:kern w:val="0"/>
                      <w:sz w:val="21"/>
                      <w:szCs w:val="21"/>
                    </w:rPr>
                  </w:pPr>
                  <w:r>
                    <w:rPr>
                      <w:b/>
                      <w:bCs/>
                      <w:kern w:val="0"/>
                      <w:sz w:val="21"/>
                      <w:szCs w:val="21"/>
                    </w:rPr>
                    <w:t>序号</w:t>
                  </w:r>
                </w:p>
              </w:tc>
              <w:tc>
                <w:tcPr>
                  <w:tcW w:w="1008" w:type="pct"/>
                  <w:tcMar>
                    <w:left w:w="0" w:type="dxa"/>
                    <w:right w:w="0" w:type="dxa"/>
                  </w:tcMar>
                  <w:vAlign w:val="center"/>
                </w:tcPr>
                <w:p w14:paraId="07D1F6D3">
                  <w:pPr>
                    <w:spacing w:line="240" w:lineRule="auto"/>
                    <w:jc w:val="center"/>
                    <w:rPr>
                      <w:b/>
                      <w:bCs/>
                      <w:kern w:val="0"/>
                      <w:sz w:val="21"/>
                      <w:szCs w:val="21"/>
                    </w:rPr>
                  </w:pPr>
                  <w:r>
                    <w:rPr>
                      <w:b/>
                      <w:bCs/>
                      <w:kern w:val="0"/>
                      <w:sz w:val="21"/>
                      <w:szCs w:val="21"/>
                    </w:rPr>
                    <w:t>固废名称</w:t>
                  </w:r>
                </w:p>
              </w:tc>
              <w:tc>
                <w:tcPr>
                  <w:tcW w:w="481" w:type="pct"/>
                  <w:tcMar>
                    <w:left w:w="0" w:type="dxa"/>
                    <w:right w:w="0" w:type="dxa"/>
                  </w:tcMar>
                  <w:vAlign w:val="center"/>
                </w:tcPr>
                <w:p w14:paraId="7AA95D54">
                  <w:pPr>
                    <w:pStyle w:val="47"/>
                    <w:tabs>
                      <w:tab w:val="left" w:pos="3240"/>
                    </w:tabs>
                    <w:spacing w:line="240" w:lineRule="auto"/>
                    <w:jc w:val="center"/>
                    <w:rPr>
                      <w:rFonts w:ascii="Times New Roman"/>
                      <w:b/>
                      <w:bCs/>
                      <w:kern w:val="0"/>
                      <w:sz w:val="21"/>
                      <w:szCs w:val="21"/>
                    </w:rPr>
                  </w:pPr>
                  <w:r>
                    <w:rPr>
                      <w:rFonts w:ascii="Times New Roman"/>
                      <w:b/>
                      <w:bCs/>
                      <w:kern w:val="0"/>
                      <w:sz w:val="21"/>
                      <w:szCs w:val="21"/>
                    </w:rPr>
                    <w:t>属性</w:t>
                  </w:r>
                </w:p>
              </w:tc>
              <w:tc>
                <w:tcPr>
                  <w:tcW w:w="998" w:type="pct"/>
                  <w:vAlign w:val="center"/>
                </w:tcPr>
                <w:p w14:paraId="1C7869A9">
                  <w:pPr>
                    <w:spacing w:line="240" w:lineRule="auto"/>
                    <w:jc w:val="center"/>
                    <w:rPr>
                      <w:b/>
                      <w:bCs/>
                      <w:kern w:val="0"/>
                      <w:sz w:val="21"/>
                      <w:szCs w:val="21"/>
                    </w:rPr>
                  </w:pPr>
                  <w:r>
                    <w:rPr>
                      <w:b/>
                      <w:bCs/>
                      <w:kern w:val="0"/>
                      <w:sz w:val="21"/>
                      <w:szCs w:val="21"/>
                    </w:rPr>
                    <w:t>废物代码</w:t>
                  </w:r>
                </w:p>
              </w:tc>
              <w:tc>
                <w:tcPr>
                  <w:tcW w:w="853" w:type="pct"/>
                  <w:vAlign w:val="center"/>
                </w:tcPr>
                <w:p w14:paraId="070A6B67">
                  <w:pPr>
                    <w:spacing w:line="240" w:lineRule="auto"/>
                    <w:jc w:val="center"/>
                    <w:rPr>
                      <w:b/>
                      <w:bCs/>
                      <w:kern w:val="0"/>
                      <w:sz w:val="21"/>
                      <w:szCs w:val="21"/>
                    </w:rPr>
                  </w:pPr>
                  <w:r>
                    <w:rPr>
                      <w:b/>
                      <w:bCs/>
                      <w:kern w:val="0"/>
                      <w:sz w:val="21"/>
                      <w:szCs w:val="21"/>
                    </w:rPr>
                    <w:t>废物排放量（t/a）</w:t>
                  </w:r>
                </w:p>
              </w:tc>
              <w:tc>
                <w:tcPr>
                  <w:tcW w:w="704" w:type="pct"/>
                  <w:vAlign w:val="center"/>
                </w:tcPr>
                <w:p w14:paraId="2C047B7D">
                  <w:pPr>
                    <w:spacing w:line="240" w:lineRule="auto"/>
                    <w:jc w:val="center"/>
                    <w:rPr>
                      <w:b/>
                      <w:bCs/>
                      <w:kern w:val="0"/>
                      <w:sz w:val="21"/>
                      <w:szCs w:val="21"/>
                    </w:rPr>
                  </w:pPr>
                  <w:r>
                    <w:rPr>
                      <w:b/>
                      <w:bCs/>
                      <w:kern w:val="0"/>
                      <w:sz w:val="21"/>
                      <w:szCs w:val="21"/>
                    </w:rPr>
                    <w:t>利用处置方式</w:t>
                  </w:r>
                </w:p>
              </w:tc>
              <w:tc>
                <w:tcPr>
                  <w:tcW w:w="663" w:type="pct"/>
                  <w:vAlign w:val="center"/>
                </w:tcPr>
                <w:p w14:paraId="0A942170">
                  <w:pPr>
                    <w:spacing w:line="240" w:lineRule="auto"/>
                    <w:jc w:val="center"/>
                    <w:rPr>
                      <w:b/>
                      <w:bCs/>
                      <w:kern w:val="0"/>
                      <w:sz w:val="21"/>
                      <w:szCs w:val="21"/>
                    </w:rPr>
                  </w:pPr>
                  <w:r>
                    <w:rPr>
                      <w:b/>
                      <w:bCs/>
                      <w:kern w:val="0"/>
                      <w:sz w:val="21"/>
                      <w:szCs w:val="21"/>
                    </w:rPr>
                    <w:t>利用处置单位</w:t>
                  </w:r>
                </w:p>
              </w:tc>
            </w:tr>
            <w:tr w14:paraId="4B9E5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90" w:type="pct"/>
                  <w:shd w:val="clear" w:color="auto" w:fill="auto"/>
                  <w:tcMar>
                    <w:left w:w="0" w:type="dxa"/>
                    <w:right w:w="0" w:type="dxa"/>
                  </w:tcMar>
                  <w:vAlign w:val="center"/>
                </w:tcPr>
                <w:p w14:paraId="087316DB">
                  <w:pPr>
                    <w:spacing w:line="300" w:lineRule="exact"/>
                    <w:jc w:val="center"/>
                    <w:rPr>
                      <w:rFonts w:ascii="Times New Roman" w:hAnsi="Times New Roman" w:eastAsia="仿宋" w:cs="Times New Roman"/>
                      <w:kern w:val="0"/>
                      <w:sz w:val="21"/>
                      <w:szCs w:val="21"/>
                      <w:lang w:val="en-US" w:eastAsia="zh-CN" w:bidi="ar-SA"/>
                    </w:rPr>
                  </w:pPr>
                  <w:r>
                    <w:rPr>
                      <w:kern w:val="0"/>
                      <w:sz w:val="21"/>
                      <w:szCs w:val="21"/>
                    </w:rPr>
                    <w:t>1</w:t>
                  </w:r>
                </w:p>
              </w:tc>
              <w:tc>
                <w:tcPr>
                  <w:tcW w:w="1008" w:type="pct"/>
                  <w:shd w:val="clear" w:color="auto" w:fill="auto"/>
                  <w:tcMar>
                    <w:left w:w="0" w:type="dxa"/>
                    <w:right w:w="0" w:type="dxa"/>
                  </w:tcMar>
                  <w:vAlign w:val="center"/>
                </w:tcPr>
                <w:p w14:paraId="29AB7986">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eastAsia="zh-CN"/>
                    </w:rPr>
                    <w:t>边角料</w:t>
                  </w:r>
                </w:p>
              </w:tc>
              <w:tc>
                <w:tcPr>
                  <w:tcW w:w="481" w:type="pct"/>
                  <w:vMerge w:val="restart"/>
                  <w:tcMar>
                    <w:left w:w="0" w:type="dxa"/>
                    <w:right w:w="0" w:type="dxa"/>
                  </w:tcMar>
                  <w:vAlign w:val="center"/>
                </w:tcPr>
                <w:p w14:paraId="1B74E2CD">
                  <w:pPr>
                    <w:spacing w:line="240" w:lineRule="auto"/>
                    <w:jc w:val="center"/>
                    <w:rPr>
                      <w:kern w:val="0"/>
                      <w:sz w:val="21"/>
                      <w:szCs w:val="21"/>
                    </w:rPr>
                  </w:pPr>
                  <w:r>
                    <w:rPr>
                      <w:kern w:val="0"/>
                      <w:sz w:val="21"/>
                      <w:szCs w:val="21"/>
                    </w:rPr>
                    <w:t>一般固废</w:t>
                  </w:r>
                </w:p>
              </w:tc>
              <w:tc>
                <w:tcPr>
                  <w:tcW w:w="998" w:type="pct"/>
                  <w:shd w:val="clear" w:color="auto" w:fill="auto"/>
                  <w:vAlign w:val="center"/>
                </w:tcPr>
                <w:p w14:paraId="5FF0A3CB">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900-002-S17</w:t>
                  </w:r>
                </w:p>
              </w:tc>
              <w:tc>
                <w:tcPr>
                  <w:tcW w:w="853" w:type="pct"/>
                  <w:shd w:val="clear" w:color="auto" w:fill="auto"/>
                  <w:vAlign w:val="center"/>
                </w:tcPr>
                <w:p w14:paraId="382D977F">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50</w:t>
                  </w:r>
                </w:p>
              </w:tc>
              <w:tc>
                <w:tcPr>
                  <w:tcW w:w="704" w:type="pct"/>
                  <w:vAlign w:val="center"/>
                </w:tcPr>
                <w:p w14:paraId="1D473800">
                  <w:pPr>
                    <w:spacing w:line="240" w:lineRule="auto"/>
                    <w:jc w:val="center"/>
                    <w:rPr>
                      <w:rFonts w:hint="default" w:eastAsia="仿宋"/>
                      <w:sz w:val="21"/>
                      <w:szCs w:val="21"/>
                      <w:lang w:val="en-US" w:eastAsia="zh-CN"/>
                    </w:rPr>
                  </w:pPr>
                  <w:r>
                    <w:rPr>
                      <w:rFonts w:hint="eastAsia"/>
                      <w:sz w:val="21"/>
                      <w:szCs w:val="21"/>
                      <w:lang w:val="en-US" w:eastAsia="zh-CN"/>
                    </w:rPr>
                    <w:t>回用于熔化工段</w:t>
                  </w:r>
                </w:p>
              </w:tc>
              <w:tc>
                <w:tcPr>
                  <w:tcW w:w="663" w:type="pct"/>
                  <w:vAlign w:val="center"/>
                </w:tcPr>
                <w:p w14:paraId="75E9A0F1">
                  <w:pPr>
                    <w:pStyle w:val="47"/>
                    <w:tabs>
                      <w:tab w:val="left" w:pos="3240"/>
                    </w:tabs>
                    <w:spacing w:line="240" w:lineRule="auto"/>
                    <w:jc w:val="center"/>
                    <w:rPr>
                      <w:rFonts w:ascii="Times New Roman"/>
                      <w:sz w:val="21"/>
                      <w:szCs w:val="21"/>
                    </w:rPr>
                  </w:pPr>
                  <w:r>
                    <w:rPr>
                      <w:rFonts w:hint="eastAsia" w:ascii="Times New Roman"/>
                      <w:sz w:val="21"/>
                      <w:szCs w:val="21"/>
                      <w:lang w:val="en-US" w:eastAsia="zh-CN"/>
                    </w:rPr>
                    <w:t>本单位</w:t>
                  </w:r>
                </w:p>
              </w:tc>
            </w:tr>
            <w:tr w14:paraId="7BAD0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90" w:type="pct"/>
                  <w:shd w:val="clear" w:color="auto" w:fill="auto"/>
                  <w:tcMar>
                    <w:left w:w="0" w:type="dxa"/>
                    <w:right w:w="0" w:type="dxa"/>
                  </w:tcMar>
                  <w:vAlign w:val="center"/>
                </w:tcPr>
                <w:p w14:paraId="4C5E5DDA">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2</w:t>
                  </w:r>
                </w:p>
              </w:tc>
              <w:tc>
                <w:tcPr>
                  <w:tcW w:w="1008" w:type="pct"/>
                  <w:shd w:val="clear" w:color="auto" w:fill="auto"/>
                  <w:tcMar>
                    <w:left w:w="0" w:type="dxa"/>
                    <w:right w:w="0" w:type="dxa"/>
                  </w:tcMar>
                  <w:vAlign w:val="center"/>
                </w:tcPr>
                <w:p w14:paraId="63AEB027">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不合格品</w:t>
                  </w:r>
                </w:p>
              </w:tc>
              <w:tc>
                <w:tcPr>
                  <w:tcW w:w="481" w:type="pct"/>
                  <w:vMerge w:val="continue"/>
                  <w:tcMar>
                    <w:left w:w="0" w:type="dxa"/>
                    <w:right w:w="0" w:type="dxa"/>
                  </w:tcMar>
                  <w:vAlign w:val="center"/>
                </w:tcPr>
                <w:p w14:paraId="34B8F151">
                  <w:pPr>
                    <w:spacing w:line="240" w:lineRule="auto"/>
                    <w:jc w:val="center"/>
                    <w:rPr>
                      <w:kern w:val="0"/>
                      <w:sz w:val="21"/>
                      <w:szCs w:val="21"/>
                    </w:rPr>
                  </w:pPr>
                </w:p>
              </w:tc>
              <w:tc>
                <w:tcPr>
                  <w:tcW w:w="998" w:type="pct"/>
                  <w:shd w:val="clear" w:color="auto" w:fill="auto"/>
                  <w:vAlign w:val="center"/>
                </w:tcPr>
                <w:p w14:paraId="3348371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900-002-S17</w:t>
                  </w:r>
                </w:p>
              </w:tc>
              <w:tc>
                <w:tcPr>
                  <w:tcW w:w="853" w:type="pct"/>
                  <w:shd w:val="clear" w:color="auto" w:fill="auto"/>
                  <w:vAlign w:val="center"/>
                </w:tcPr>
                <w:p w14:paraId="72AE4A7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10</w:t>
                  </w:r>
                </w:p>
              </w:tc>
              <w:tc>
                <w:tcPr>
                  <w:tcW w:w="704" w:type="pct"/>
                  <w:vAlign w:val="center"/>
                </w:tcPr>
                <w:p w14:paraId="50ECFA14">
                  <w:pPr>
                    <w:spacing w:line="240" w:lineRule="auto"/>
                    <w:jc w:val="center"/>
                    <w:rPr>
                      <w:rFonts w:hint="default" w:eastAsia="仿宋"/>
                      <w:sz w:val="21"/>
                      <w:szCs w:val="21"/>
                      <w:lang w:val="en-US" w:eastAsia="zh-CN"/>
                    </w:rPr>
                  </w:pPr>
                  <w:r>
                    <w:rPr>
                      <w:rFonts w:hint="eastAsia"/>
                      <w:sz w:val="21"/>
                      <w:szCs w:val="21"/>
                      <w:lang w:val="en-US" w:eastAsia="zh-CN"/>
                    </w:rPr>
                    <w:t>回用于熔化工段</w:t>
                  </w:r>
                </w:p>
              </w:tc>
              <w:tc>
                <w:tcPr>
                  <w:tcW w:w="663" w:type="pct"/>
                  <w:vAlign w:val="center"/>
                </w:tcPr>
                <w:p w14:paraId="4AB67315">
                  <w:pPr>
                    <w:pStyle w:val="47"/>
                    <w:tabs>
                      <w:tab w:val="left" w:pos="3240"/>
                    </w:tabs>
                    <w:spacing w:line="240" w:lineRule="auto"/>
                    <w:jc w:val="center"/>
                    <w:rPr>
                      <w:rFonts w:hint="eastAsia" w:ascii="Times New Roman" w:eastAsia="仿宋"/>
                      <w:sz w:val="21"/>
                      <w:szCs w:val="21"/>
                      <w:lang w:val="en-US" w:eastAsia="zh-CN"/>
                    </w:rPr>
                  </w:pPr>
                  <w:r>
                    <w:rPr>
                      <w:rFonts w:hint="eastAsia" w:ascii="Times New Roman"/>
                      <w:sz w:val="21"/>
                      <w:szCs w:val="21"/>
                      <w:lang w:val="en-US" w:eastAsia="zh-CN"/>
                    </w:rPr>
                    <w:t>本单位</w:t>
                  </w:r>
                </w:p>
              </w:tc>
            </w:tr>
            <w:tr w14:paraId="79427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0" w:type="pct"/>
                  <w:shd w:val="clear" w:color="auto" w:fill="auto"/>
                  <w:tcMar>
                    <w:left w:w="0" w:type="dxa"/>
                    <w:right w:w="0" w:type="dxa"/>
                  </w:tcMar>
                  <w:vAlign w:val="center"/>
                </w:tcPr>
                <w:p w14:paraId="214B3EAF">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3</w:t>
                  </w:r>
                </w:p>
              </w:tc>
              <w:tc>
                <w:tcPr>
                  <w:tcW w:w="1008" w:type="pct"/>
                  <w:shd w:val="clear" w:color="auto" w:fill="auto"/>
                  <w:tcMar>
                    <w:left w:w="0" w:type="dxa"/>
                    <w:right w:w="0" w:type="dxa"/>
                  </w:tcMar>
                  <w:vAlign w:val="center"/>
                </w:tcPr>
                <w:p w14:paraId="586546A7">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eastAsia="zh-CN"/>
                    </w:rPr>
                    <w:t>炉渣</w:t>
                  </w:r>
                </w:p>
              </w:tc>
              <w:tc>
                <w:tcPr>
                  <w:tcW w:w="481" w:type="pct"/>
                  <w:vMerge w:val="restart"/>
                  <w:tcMar>
                    <w:left w:w="0" w:type="dxa"/>
                    <w:right w:w="0" w:type="dxa"/>
                  </w:tcMar>
                  <w:vAlign w:val="center"/>
                </w:tcPr>
                <w:p w14:paraId="585ECC26">
                  <w:pPr>
                    <w:spacing w:line="240" w:lineRule="auto"/>
                    <w:jc w:val="center"/>
                    <w:rPr>
                      <w:kern w:val="0"/>
                      <w:sz w:val="21"/>
                      <w:szCs w:val="21"/>
                    </w:rPr>
                  </w:pPr>
                  <w:r>
                    <w:rPr>
                      <w:kern w:val="0"/>
                      <w:sz w:val="21"/>
                      <w:szCs w:val="21"/>
                    </w:rPr>
                    <w:t>危险废物</w:t>
                  </w:r>
                </w:p>
              </w:tc>
              <w:tc>
                <w:tcPr>
                  <w:tcW w:w="998" w:type="pct"/>
                  <w:shd w:val="clear" w:color="auto" w:fill="auto"/>
                  <w:vAlign w:val="center"/>
                </w:tcPr>
                <w:p w14:paraId="0007FED4">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321-026-48</w:t>
                  </w:r>
                </w:p>
              </w:tc>
              <w:tc>
                <w:tcPr>
                  <w:tcW w:w="853" w:type="pct"/>
                  <w:shd w:val="clear" w:color="auto" w:fill="auto"/>
                  <w:vAlign w:val="center"/>
                </w:tcPr>
                <w:p w14:paraId="2FBDDF55">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30</w:t>
                  </w:r>
                </w:p>
              </w:tc>
              <w:tc>
                <w:tcPr>
                  <w:tcW w:w="704" w:type="pct"/>
                  <w:vMerge w:val="restart"/>
                  <w:vAlign w:val="center"/>
                </w:tcPr>
                <w:p w14:paraId="2E58D22D">
                  <w:pPr>
                    <w:spacing w:line="240" w:lineRule="auto"/>
                    <w:jc w:val="center"/>
                    <w:rPr>
                      <w:sz w:val="21"/>
                      <w:szCs w:val="21"/>
                    </w:rPr>
                  </w:pPr>
                  <w:r>
                    <w:rPr>
                      <w:rFonts w:hint="eastAsia"/>
                      <w:sz w:val="21"/>
                      <w:szCs w:val="21"/>
                    </w:rPr>
                    <w:t>委托有资质单位处置</w:t>
                  </w:r>
                </w:p>
              </w:tc>
              <w:tc>
                <w:tcPr>
                  <w:tcW w:w="663" w:type="pct"/>
                  <w:vMerge w:val="restart"/>
                  <w:vAlign w:val="center"/>
                </w:tcPr>
                <w:p w14:paraId="12E4907E">
                  <w:pPr>
                    <w:pStyle w:val="47"/>
                    <w:tabs>
                      <w:tab w:val="left" w:pos="3240"/>
                    </w:tabs>
                    <w:spacing w:line="240" w:lineRule="auto"/>
                    <w:jc w:val="center"/>
                    <w:rPr>
                      <w:rFonts w:ascii="Times New Roman"/>
                      <w:sz w:val="21"/>
                      <w:szCs w:val="21"/>
                    </w:rPr>
                  </w:pPr>
                  <w:r>
                    <w:rPr>
                      <w:rFonts w:hint="eastAsia" w:ascii="Times New Roman"/>
                      <w:sz w:val="21"/>
                      <w:szCs w:val="21"/>
                    </w:rPr>
                    <w:t>有资质单位</w:t>
                  </w:r>
                </w:p>
              </w:tc>
            </w:tr>
            <w:tr w14:paraId="65761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0" w:type="pct"/>
                  <w:shd w:val="clear" w:color="auto" w:fill="auto"/>
                  <w:tcMar>
                    <w:left w:w="0" w:type="dxa"/>
                    <w:right w:w="0" w:type="dxa"/>
                  </w:tcMar>
                  <w:vAlign w:val="center"/>
                </w:tcPr>
                <w:p w14:paraId="035DFA8F">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rPr>
                    <w:t>4</w:t>
                  </w:r>
                </w:p>
              </w:tc>
              <w:tc>
                <w:tcPr>
                  <w:tcW w:w="1008" w:type="pct"/>
                  <w:shd w:val="clear" w:color="auto" w:fill="auto"/>
                  <w:tcMar>
                    <w:left w:w="0" w:type="dxa"/>
                    <w:right w:w="0" w:type="dxa"/>
                  </w:tcMar>
                  <w:vAlign w:val="center"/>
                </w:tcPr>
                <w:p w14:paraId="1060C414">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废过滤材料</w:t>
                  </w:r>
                </w:p>
              </w:tc>
              <w:tc>
                <w:tcPr>
                  <w:tcW w:w="481" w:type="pct"/>
                  <w:vMerge w:val="continue"/>
                  <w:tcMar>
                    <w:left w:w="0" w:type="dxa"/>
                    <w:right w:w="0" w:type="dxa"/>
                  </w:tcMar>
                  <w:vAlign w:val="center"/>
                </w:tcPr>
                <w:p w14:paraId="303A1330">
                  <w:pPr>
                    <w:spacing w:line="240" w:lineRule="auto"/>
                    <w:jc w:val="center"/>
                    <w:rPr>
                      <w:kern w:val="0"/>
                      <w:sz w:val="21"/>
                      <w:szCs w:val="21"/>
                    </w:rPr>
                  </w:pPr>
                </w:p>
              </w:tc>
              <w:tc>
                <w:tcPr>
                  <w:tcW w:w="998" w:type="pct"/>
                  <w:shd w:val="clear" w:color="auto" w:fill="auto"/>
                  <w:vAlign w:val="center"/>
                </w:tcPr>
                <w:p w14:paraId="24441187">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900-041-49</w:t>
                  </w:r>
                </w:p>
              </w:tc>
              <w:tc>
                <w:tcPr>
                  <w:tcW w:w="853" w:type="pct"/>
                  <w:shd w:val="clear" w:color="auto" w:fill="auto"/>
                  <w:vAlign w:val="center"/>
                </w:tcPr>
                <w:p w14:paraId="51E10452">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1</w:t>
                  </w:r>
                </w:p>
              </w:tc>
              <w:tc>
                <w:tcPr>
                  <w:tcW w:w="704" w:type="pct"/>
                  <w:vMerge w:val="continue"/>
                  <w:vAlign w:val="center"/>
                </w:tcPr>
                <w:p w14:paraId="798F8316">
                  <w:pPr>
                    <w:spacing w:line="240" w:lineRule="auto"/>
                    <w:jc w:val="center"/>
                    <w:rPr>
                      <w:rFonts w:hint="eastAsia"/>
                      <w:sz w:val="21"/>
                      <w:szCs w:val="21"/>
                    </w:rPr>
                  </w:pPr>
                </w:p>
              </w:tc>
              <w:tc>
                <w:tcPr>
                  <w:tcW w:w="663" w:type="pct"/>
                  <w:vMerge w:val="continue"/>
                  <w:vAlign w:val="center"/>
                </w:tcPr>
                <w:p w14:paraId="65ACDAB0">
                  <w:pPr>
                    <w:pStyle w:val="47"/>
                    <w:tabs>
                      <w:tab w:val="left" w:pos="3240"/>
                    </w:tabs>
                    <w:spacing w:line="240" w:lineRule="auto"/>
                    <w:jc w:val="center"/>
                    <w:rPr>
                      <w:rFonts w:hint="eastAsia" w:ascii="Times New Roman"/>
                      <w:sz w:val="21"/>
                      <w:szCs w:val="21"/>
                    </w:rPr>
                  </w:pPr>
                </w:p>
              </w:tc>
            </w:tr>
            <w:tr w14:paraId="06451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shd w:val="clear" w:color="auto" w:fill="auto"/>
                  <w:tcMar>
                    <w:left w:w="0" w:type="dxa"/>
                    <w:right w:w="0" w:type="dxa"/>
                  </w:tcMar>
                  <w:vAlign w:val="center"/>
                </w:tcPr>
                <w:p w14:paraId="62F04DAE">
                  <w:pPr>
                    <w:spacing w:line="300" w:lineRule="exact"/>
                    <w:jc w:val="center"/>
                    <w:rPr>
                      <w:rFonts w:ascii="Times New Roman" w:hAnsi="Times New Roman" w:eastAsia="仿宋" w:cs="Times New Roman"/>
                      <w:kern w:val="0"/>
                      <w:sz w:val="21"/>
                      <w:szCs w:val="21"/>
                      <w:lang w:val="en-US" w:eastAsia="zh-CN" w:bidi="ar-SA"/>
                    </w:rPr>
                  </w:pPr>
                  <w:r>
                    <w:rPr>
                      <w:rFonts w:hint="eastAsia"/>
                      <w:kern w:val="0"/>
                      <w:sz w:val="21"/>
                      <w:szCs w:val="21"/>
                    </w:rPr>
                    <w:t>5</w:t>
                  </w:r>
                </w:p>
              </w:tc>
              <w:tc>
                <w:tcPr>
                  <w:tcW w:w="1008" w:type="pct"/>
                  <w:shd w:val="clear" w:color="auto" w:fill="auto"/>
                  <w:tcMar>
                    <w:left w:w="0" w:type="dxa"/>
                    <w:right w:w="0" w:type="dxa"/>
                  </w:tcMar>
                  <w:vAlign w:val="center"/>
                </w:tcPr>
                <w:p w14:paraId="06C686D3">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废包装桶</w:t>
                  </w:r>
                </w:p>
              </w:tc>
              <w:tc>
                <w:tcPr>
                  <w:tcW w:w="481" w:type="pct"/>
                  <w:vMerge w:val="continue"/>
                  <w:tcMar>
                    <w:left w:w="0" w:type="dxa"/>
                    <w:right w:w="0" w:type="dxa"/>
                  </w:tcMar>
                  <w:vAlign w:val="center"/>
                </w:tcPr>
                <w:p w14:paraId="35CF468C">
                  <w:pPr>
                    <w:spacing w:line="240" w:lineRule="auto"/>
                    <w:jc w:val="center"/>
                    <w:rPr>
                      <w:kern w:val="0"/>
                      <w:sz w:val="21"/>
                      <w:szCs w:val="21"/>
                    </w:rPr>
                  </w:pPr>
                </w:p>
              </w:tc>
              <w:tc>
                <w:tcPr>
                  <w:tcW w:w="998" w:type="pct"/>
                  <w:shd w:val="clear" w:color="auto" w:fill="auto"/>
                  <w:vAlign w:val="center"/>
                </w:tcPr>
                <w:p w14:paraId="47CAE513">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900-041-49</w:t>
                  </w:r>
                </w:p>
              </w:tc>
              <w:tc>
                <w:tcPr>
                  <w:tcW w:w="853" w:type="pct"/>
                  <w:shd w:val="clear" w:color="auto" w:fill="auto"/>
                  <w:vAlign w:val="center"/>
                </w:tcPr>
                <w:p w14:paraId="0E525296">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2</w:t>
                  </w:r>
                  <w:r>
                    <w:rPr>
                      <w:rFonts w:hint="eastAsia" w:ascii="Times New Roman" w:hAnsi="Times New Roman" w:cs="Times New Roman"/>
                      <w:kern w:val="0"/>
                      <w:sz w:val="21"/>
                      <w:szCs w:val="21"/>
                      <w:lang w:val="en-US" w:eastAsia="zh-CN"/>
                    </w:rPr>
                    <w:t>5</w:t>
                  </w:r>
                </w:p>
              </w:tc>
              <w:tc>
                <w:tcPr>
                  <w:tcW w:w="704" w:type="pct"/>
                  <w:vMerge w:val="continue"/>
                  <w:vAlign w:val="center"/>
                </w:tcPr>
                <w:p w14:paraId="7C84B821">
                  <w:pPr>
                    <w:spacing w:line="240" w:lineRule="auto"/>
                    <w:jc w:val="center"/>
                    <w:rPr>
                      <w:sz w:val="21"/>
                      <w:szCs w:val="21"/>
                    </w:rPr>
                  </w:pPr>
                </w:p>
              </w:tc>
              <w:tc>
                <w:tcPr>
                  <w:tcW w:w="663" w:type="pct"/>
                  <w:vMerge w:val="continue"/>
                  <w:vAlign w:val="center"/>
                </w:tcPr>
                <w:p w14:paraId="50392C9D">
                  <w:pPr>
                    <w:pStyle w:val="47"/>
                    <w:tabs>
                      <w:tab w:val="left" w:pos="3240"/>
                    </w:tabs>
                    <w:spacing w:line="240" w:lineRule="auto"/>
                    <w:jc w:val="center"/>
                    <w:rPr>
                      <w:rFonts w:ascii="Times New Roman"/>
                      <w:sz w:val="21"/>
                      <w:szCs w:val="21"/>
                    </w:rPr>
                  </w:pPr>
                </w:p>
              </w:tc>
            </w:tr>
            <w:tr w14:paraId="090C8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shd w:val="clear" w:color="auto" w:fill="auto"/>
                  <w:tcMar>
                    <w:left w:w="0" w:type="dxa"/>
                    <w:right w:w="0" w:type="dxa"/>
                  </w:tcMar>
                  <w:vAlign w:val="center"/>
                </w:tcPr>
                <w:p w14:paraId="276F6F1C">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6</w:t>
                  </w:r>
                </w:p>
              </w:tc>
              <w:tc>
                <w:tcPr>
                  <w:tcW w:w="1008" w:type="pct"/>
                  <w:shd w:val="clear" w:color="auto" w:fill="auto"/>
                  <w:tcMar>
                    <w:left w:w="0" w:type="dxa"/>
                    <w:right w:w="0" w:type="dxa"/>
                  </w:tcMar>
                  <w:vAlign w:val="center"/>
                </w:tcPr>
                <w:p w14:paraId="1772407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废活性炭</w:t>
                  </w:r>
                </w:p>
              </w:tc>
              <w:tc>
                <w:tcPr>
                  <w:tcW w:w="481" w:type="pct"/>
                  <w:vMerge w:val="continue"/>
                  <w:tcMar>
                    <w:left w:w="0" w:type="dxa"/>
                    <w:right w:w="0" w:type="dxa"/>
                  </w:tcMar>
                  <w:vAlign w:val="center"/>
                </w:tcPr>
                <w:p w14:paraId="3AB5D025">
                  <w:pPr>
                    <w:spacing w:line="240" w:lineRule="auto"/>
                    <w:jc w:val="center"/>
                    <w:rPr>
                      <w:kern w:val="0"/>
                      <w:sz w:val="21"/>
                      <w:szCs w:val="21"/>
                    </w:rPr>
                  </w:pPr>
                </w:p>
              </w:tc>
              <w:tc>
                <w:tcPr>
                  <w:tcW w:w="998" w:type="pct"/>
                  <w:shd w:val="clear" w:color="auto" w:fill="auto"/>
                  <w:vAlign w:val="center"/>
                </w:tcPr>
                <w:p w14:paraId="1CAD755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900-039-49</w:t>
                  </w:r>
                </w:p>
              </w:tc>
              <w:tc>
                <w:tcPr>
                  <w:tcW w:w="853" w:type="pct"/>
                  <w:shd w:val="clear" w:color="auto" w:fill="auto"/>
                  <w:vAlign w:val="center"/>
                </w:tcPr>
                <w:p w14:paraId="0C9A3D78">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14.93</w:t>
                  </w:r>
                </w:p>
              </w:tc>
              <w:tc>
                <w:tcPr>
                  <w:tcW w:w="704" w:type="pct"/>
                  <w:vMerge w:val="continue"/>
                  <w:vAlign w:val="center"/>
                </w:tcPr>
                <w:p w14:paraId="16AADC71">
                  <w:pPr>
                    <w:spacing w:line="240" w:lineRule="auto"/>
                    <w:jc w:val="center"/>
                    <w:rPr>
                      <w:sz w:val="21"/>
                      <w:szCs w:val="21"/>
                    </w:rPr>
                  </w:pPr>
                </w:p>
              </w:tc>
              <w:tc>
                <w:tcPr>
                  <w:tcW w:w="663" w:type="pct"/>
                  <w:vMerge w:val="continue"/>
                  <w:vAlign w:val="center"/>
                </w:tcPr>
                <w:p w14:paraId="2362F829">
                  <w:pPr>
                    <w:pStyle w:val="47"/>
                    <w:tabs>
                      <w:tab w:val="left" w:pos="3240"/>
                    </w:tabs>
                    <w:spacing w:line="240" w:lineRule="auto"/>
                    <w:jc w:val="center"/>
                    <w:rPr>
                      <w:rFonts w:ascii="Times New Roman"/>
                      <w:sz w:val="21"/>
                      <w:szCs w:val="21"/>
                    </w:rPr>
                  </w:pPr>
                </w:p>
              </w:tc>
            </w:tr>
            <w:tr w14:paraId="6A3A4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shd w:val="clear" w:color="auto" w:fill="auto"/>
                  <w:tcMar>
                    <w:left w:w="0" w:type="dxa"/>
                    <w:right w:w="0" w:type="dxa"/>
                  </w:tcMar>
                  <w:vAlign w:val="center"/>
                </w:tcPr>
                <w:p w14:paraId="3F8120FC">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7</w:t>
                  </w:r>
                </w:p>
              </w:tc>
              <w:tc>
                <w:tcPr>
                  <w:tcW w:w="1008" w:type="pct"/>
                  <w:shd w:val="clear" w:color="auto" w:fill="auto"/>
                  <w:tcMar>
                    <w:left w:w="0" w:type="dxa"/>
                    <w:right w:w="0" w:type="dxa"/>
                  </w:tcMar>
                  <w:vAlign w:val="center"/>
                </w:tcPr>
                <w:p w14:paraId="73685B76">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废脱模剂</w:t>
                  </w:r>
                </w:p>
              </w:tc>
              <w:tc>
                <w:tcPr>
                  <w:tcW w:w="481" w:type="pct"/>
                  <w:vMerge w:val="continue"/>
                  <w:tcMar>
                    <w:left w:w="0" w:type="dxa"/>
                    <w:right w:w="0" w:type="dxa"/>
                  </w:tcMar>
                  <w:vAlign w:val="center"/>
                </w:tcPr>
                <w:p w14:paraId="415330DE">
                  <w:pPr>
                    <w:spacing w:line="240" w:lineRule="auto"/>
                    <w:jc w:val="center"/>
                    <w:rPr>
                      <w:kern w:val="0"/>
                      <w:sz w:val="21"/>
                      <w:szCs w:val="21"/>
                    </w:rPr>
                  </w:pPr>
                </w:p>
              </w:tc>
              <w:tc>
                <w:tcPr>
                  <w:tcW w:w="998" w:type="pct"/>
                  <w:shd w:val="clear" w:color="auto" w:fill="auto"/>
                  <w:vAlign w:val="center"/>
                </w:tcPr>
                <w:p w14:paraId="536B189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900-007-09</w:t>
                  </w:r>
                </w:p>
              </w:tc>
              <w:tc>
                <w:tcPr>
                  <w:tcW w:w="853" w:type="pct"/>
                  <w:shd w:val="clear" w:color="auto" w:fill="auto"/>
                  <w:vAlign w:val="center"/>
                </w:tcPr>
                <w:p w14:paraId="6BC1A285">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bidi="ar-SA"/>
                    </w:rPr>
                    <w:t>0.3</w:t>
                  </w:r>
                </w:p>
              </w:tc>
              <w:tc>
                <w:tcPr>
                  <w:tcW w:w="704" w:type="pct"/>
                  <w:vMerge w:val="continue"/>
                  <w:vAlign w:val="center"/>
                </w:tcPr>
                <w:p w14:paraId="5E4F2D0B">
                  <w:pPr>
                    <w:spacing w:line="240" w:lineRule="auto"/>
                    <w:jc w:val="center"/>
                    <w:rPr>
                      <w:sz w:val="21"/>
                      <w:szCs w:val="21"/>
                    </w:rPr>
                  </w:pPr>
                </w:p>
              </w:tc>
              <w:tc>
                <w:tcPr>
                  <w:tcW w:w="663" w:type="pct"/>
                  <w:vMerge w:val="continue"/>
                  <w:vAlign w:val="center"/>
                </w:tcPr>
                <w:p w14:paraId="790E86E8">
                  <w:pPr>
                    <w:pStyle w:val="47"/>
                    <w:tabs>
                      <w:tab w:val="left" w:pos="3240"/>
                    </w:tabs>
                    <w:spacing w:line="240" w:lineRule="auto"/>
                    <w:jc w:val="center"/>
                    <w:rPr>
                      <w:rFonts w:ascii="Times New Roman"/>
                      <w:sz w:val="21"/>
                      <w:szCs w:val="21"/>
                    </w:rPr>
                  </w:pPr>
                </w:p>
              </w:tc>
            </w:tr>
            <w:tr w14:paraId="5FFCB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shd w:val="clear" w:color="auto" w:fill="auto"/>
                  <w:tcMar>
                    <w:left w:w="0" w:type="dxa"/>
                    <w:right w:w="0" w:type="dxa"/>
                  </w:tcMar>
                  <w:vAlign w:val="center"/>
                </w:tcPr>
                <w:p w14:paraId="2BC7B98C">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8</w:t>
                  </w:r>
                </w:p>
              </w:tc>
              <w:tc>
                <w:tcPr>
                  <w:tcW w:w="1008" w:type="pct"/>
                  <w:shd w:val="clear" w:color="auto" w:fill="auto"/>
                  <w:tcMar>
                    <w:left w:w="0" w:type="dxa"/>
                    <w:right w:w="0" w:type="dxa"/>
                  </w:tcMar>
                  <w:vAlign w:val="center"/>
                </w:tcPr>
                <w:p w14:paraId="5B61E19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喷淋废液</w:t>
                  </w:r>
                </w:p>
              </w:tc>
              <w:tc>
                <w:tcPr>
                  <w:tcW w:w="481" w:type="pct"/>
                  <w:vMerge w:val="continue"/>
                  <w:tcMar>
                    <w:left w:w="0" w:type="dxa"/>
                    <w:right w:w="0" w:type="dxa"/>
                  </w:tcMar>
                  <w:vAlign w:val="center"/>
                </w:tcPr>
                <w:p w14:paraId="7385225E">
                  <w:pPr>
                    <w:spacing w:line="240" w:lineRule="auto"/>
                    <w:jc w:val="center"/>
                    <w:rPr>
                      <w:kern w:val="0"/>
                      <w:sz w:val="21"/>
                      <w:szCs w:val="21"/>
                    </w:rPr>
                  </w:pPr>
                </w:p>
              </w:tc>
              <w:tc>
                <w:tcPr>
                  <w:tcW w:w="998" w:type="pct"/>
                  <w:shd w:val="clear" w:color="auto" w:fill="auto"/>
                  <w:vAlign w:val="center"/>
                </w:tcPr>
                <w:p w14:paraId="29FA19B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900-007-09</w:t>
                  </w:r>
                </w:p>
              </w:tc>
              <w:tc>
                <w:tcPr>
                  <w:tcW w:w="853" w:type="pct"/>
                  <w:shd w:val="clear" w:color="auto" w:fill="auto"/>
                  <w:vAlign w:val="center"/>
                </w:tcPr>
                <w:p w14:paraId="1394E9E8">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bidi="ar-SA"/>
                    </w:rPr>
                    <w:t>2</w:t>
                  </w:r>
                </w:p>
              </w:tc>
              <w:tc>
                <w:tcPr>
                  <w:tcW w:w="704" w:type="pct"/>
                  <w:vMerge w:val="continue"/>
                  <w:vAlign w:val="center"/>
                </w:tcPr>
                <w:p w14:paraId="36F15AC4">
                  <w:pPr>
                    <w:spacing w:line="240" w:lineRule="auto"/>
                    <w:jc w:val="center"/>
                    <w:rPr>
                      <w:sz w:val="21"/>
                      <w:szCs w:val="21"/>
                    </w:rPr>
                  </w:pPr>
                </w:p>
              </w:tc>
              <w:tc>
                <w:tcPr>
                  <w:tcW w:w="663" w:type="pct"/>
                  <w:vMerge w:val="continue"/>
                  <w:vAlign w:val="center"/>
                </w:tcPr>
                <w:p w14:paraId="10EDD85E">
                  <w:pPr>
                    <w:pStyle w:val="47"/>
                    <w:tabs>
                      <w:tab w:val="left" w:pos="3240"/>
                    </w:tabs>
                    <w:spacing w:line="240" w:lineRule="auto"/>
                    <w:jc w:val="center"/>
                    <w:rPr>
                      <w:rFonts w:ascii="Times New Roman"/>
                      <w:sz w:val="21"/>
                      <w:szCs w:val="21"/>
                    </w:rPr>
                  </w:pPr>
                </w:p>
              </w:tc>
            </w:tr>
            <w:tr w14:paraId="38433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shd w:val="clear" w:color="auto" w:fill="auto"/>
                  <w:tcMar>
                    <w:left w:w="0" w:type="dxa"/>
                    <w:right w:w="0" w:type="dxa"/>
                  </w:tcMar>
                  <w:vAlign w:val="center"/>
                </w:tcPr>
                <w:p w14:paraId="6170F0EA">
                  <w:pPr>
                    <w:spacing w:line="300" w:lineRule="exact"/>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9</w:t>
                  </w:r>
                </w:p>
              </w:tc>
              <w:tc>
                <w:tcPr>
                  <w:tcW w:w="1008" w:type="pct"/>
                  <w:shd w:val="clear" w:color="auto" w:fill="auto"/>
                  <w:tcMar>
                    <w:left w:w="0" w:type="dxa"/>
                    <w:right w:w="0" w:type="dxa"/>
                  </w:tcMar>
                  <w:vAlign w:val="center"/>
                </w:tcPr>
                <w:p w14:paraId="721DD1E3">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废机油</w:t>
                  </w:r>
                </w:p>
              </w:tc>
              <w:tc>
                <w:tcPr>
                  <w:tcW w:w="481" w:type="pct"/>
                  <w:vMerge w:val="continue"/>
                  <w:tcMar>
                    <w:left w:w="0" w:type="dxa"/>
                    <w:right w:w="0" w:type="dxa"/>
                  </w:tcMar>
                  <w:vAlign w:val="center"/>
                </w:tcPr>
                <w:p w14:paraId="12F83136">
                  <w:pPr>
                    <w:spacing w:line="240" w:lineRule="auto"/>
                    <w:jc w:val="center"/>
                    <w:rPr>
                      <w:kern w:val="0"/>
                      <w:sz w:val="21"/>
                      <w:szCs w:val="21"/>
                    </w:rPr>
                  </w:pPr>
                </w:p>
              </w:tc>
              <w:tc>
                <w:tcPr>
                  <w:tcW w:w="998" w:type="pct"/>
                  <w:shd w:val="clear" w:color="auto" w:fill="auto"/>
                  <w:vAlign w:val="center"/>
                </w:tcPr>
                <w:p w14:paraId="1C4BA1D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900-214-08</w:t>
                  </w:r>
                </w:p>
              </w:tc>
              <w:tc>
                <w:tcPr>
                  <w:tcW w:w="853" w:type="pct"/>
                  <w:shd w:val="clear" w:color="auto" w:fill="auto"/>
                  <w:vAlign w:val="center"/>
                </w:tcPr>
                <w:p w14:paraId="2A81FEF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0.5</w:t>
                  </w:r>
                </w:p>
              </w:tc>
              <w:tc>
                <w:tcPr>
                  <w:tcW w:w="704" w:type="pct"/>
                  <w:vMerge w:val="continue"/>
                  <w:vAlign w:val="center"/>
                </w:tcPr>
                <w:p w14:paraId="09D90973">
                  <w:pPr>
                    <w:spacing w:line="240" w:lineRule="auto"/>
                    <w:jc w:val="center"/>
                    <w:rPr>
                      <w:sz w:val="21"/>
                      <w:szCs w:val="21"/>
                    </w:rPr>
                  </w:pPr>
                </w:p>
              </w:tc>
              <w:tc>
                <w:tcPr>
                  <w:tcW w:w="663" w:type="pct"/>
                  <w:vMerge w:val="continue"/>
                  <w:vAlign w:val="center"/>
                </w:tcPr>
                <w:p w14:paraId="670B3669">
                  <w:pPr>
                    <w:pStyle w:val="47"/>
                    <w:tabs>
                      <w:tab w:val="left" w:pos="3240"/>
                    </w:tabs>
                    <w:spacing w:line="240" w:lineRule="auto"/>
                    <w:jc w:val="center"/>
                    <w:rPr>
                      <w:rFonts w:ascii="Times New Roman"/>
                      <w:sz w:val="21"/>
                      <w:szCs w:val="21"/>
                    </w:rPr>
                  </w:pPr>
                </w:p>
              </w:tc>
            </w:tr>
            <w:tr w14:paraId="41FB1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90" w:type="pct"/>
                  <w:shd w:val="clear" w:color="auto" w:fill="auto"/>
                  <w:tcMar>
                    <w:left w:w="0" w:type="dxa"/>
                    <w:right w:w="0" w:type="dxa"/>
                  </w:tcMar>
                  <w:vAlign w:val="center"/>
                </w:tcPr>
                <w:p w14:paraId="21A9CCDB">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bidi="ar-SA"/>
                    </w:rPr>
                    <w:t>10</w:t>
                  </w:r>
                </w:p>
              </w:tc>
              <w:tc>
                <w:tcPr>
                  <w:tcW w:w="1008" w:type="pct"/>
                  <w:shd w:val="clear" w:color="auto" w:fill="auto"/>
                  <w:tcMar>
                    <w:left w:w="0" w:type="dxa"/>
                    <w:right w:w="0" w:type="dxa"/>
                  </w:tcMar>
                  <w:vAlign w:val="center"/>
                </w:tcPr>
                <w:p w14:paraId="748E5FA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含油劳保用品</w:t>
                  </w:r>
                </w:p>
              </w:tc>
              <w:tc>
                <w:tcPr>
                  <w:tcW w:w="481" w:type="pct"/>
                  <w:vMerge w:val="continue"/>
                  <w:tcMar>
                    <w:left w:w="0" w:type="dxa"/>
                    <w:right w:w="0" w:type="dxa"/>
                  </w:tcMar>
                  <w:vAlign w:val="center"/>
                </w:tcPr>
                <w:p w14:paraId="5869E47A">
                  <w:pPr>
                    <w:spacing w:line="240" w:lineRule="auto"/>
                    <w:jc w:val="center"/>
                    <w:rPr>
                      <w:kern w:val="0"/>
                      <w:sz w:val="21"/>
                      <w:szCs w:val="21"/>
                    </w:rPr>
                  </w:pPr>
                </w:p>
              </w:tc>
              <w:tc>
                <w:tcPr>
                  <w:tcW w:w="998" w:type="pct"/>
                  <w:shd w:val="clear" w:color="auto" w:fill="auto"/>
                  <w:vAlign w:val="center"/>
                </w:tcPr>
                <w:p w14:paraId="75284B83">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900-041-49</w:t>
                  </w:r>
                </w:p>
              </w:tc>
              <w:tc>
                <w:tcPr>
                  <w:tcW w:w="853" w:type="pct"/>
                  <w:shd w:val="clear" w:color="auto" w:fill="auto"/>
                  <w:vAlign w:val="center"/>
                </w:tcPr>
                <w:p w14:paraId="629D394D">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0.1</w:t>
                  </w:r>
                </w:p>
              </w:tc>
              <w:tc>
                <w:tcPr>
                  <w:tcW w:w="704" w:type="pct"/>
                  <w:vMerge w:val="restart"/>
                  <w:vAlign w:val="center"/>
                </w:tcPr>
                <w:p w14:paraId="18E539C1">
                  <w:pPr>
                    <w:spacing w:line="240" w:lineRule="auto"/>
                    <w:jc w:val="center"/>
                    <w:rPr>
                      <w:sz w:val="21"/>
                      <w:szCs w:val="21"/>
                    </w:rPr>
                  </w:pPr>
                  <w:r>
                    <w:rPr>
                      <w:sz w:val="21"/>
                      <w:szCs w:val="21"/>
                    </w:rPr>
                    <w:t>环卫清运</w:t>
                  </w:r>
                </w:p>
              </w:tc>
              <w:tc>
                <w:tcPr>
                  <w:tcW w:w="663" w:type="pct"/>
                  <w:vMerge w:val="restart"/>
                  <w:vAlign w:val="center"/>
                </w:tcPr>
                <w:p w14:paraId="527FDBCF">
                  <w:pPr>
                    <w:pStyle w:val="47"/>
                    <w:tabs>
                      <w:tab w:val="left" w:pos="3240"/>
                    </w:tabs>
                    <w:spacing w:line="240" w:lineRule="auto"/>
                    <w:jc w:val="center"/>
                    <w:rPr>
                      <w:rFonts w:ascii="Times New Roman"/>
                      <w:sz w:val="21"/>
                      <w:szCs w:val="21"/>
                    </w:rPr>
                  </w:pPr>
                  <w:r>
                    <w:rPr>
                      <w:rFonts w:ascii="Times New Roman"/>
                      <w:sz w:val="21"/>
                      <w:szCs w:val="21"/>
                    </w:rPr>
                    <w:t>环卫部门</w:t>
                  </w:r>
                </w:p>
              </w:tc>
            </w:tr>
            <w:tr w14:paraId="19B2B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shd w:val="clear" w:color="auto" w:fill="auto"/>
                  <w:tcMar>
                    <w:left w:w="0" w:type="dxa"/>
                    <w:right w:w="0" w:type="dxa"/>
                  </w:tcMar>
                  <w:vAlign w:val="center"/>
                </w:tcPr>
                <w:p w14:paraId="54D4DD3B">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bidi="ar-SA"/>
                    </w:rPr>
                    <w:t>11</w:t>
                  </w:r>
                </w:p>
              </w:tc>
              <w:tc>
                <w:tcPr>
                  <w:tcW w:w="1008" w:type="pct"/>
                  <w:shd w:val="clear" w:color="auto" w:fill="auto"/>
                  <w:tcMar>
                    <w:left w:w="0" w:type="dxa"/>
                    <w:right w:w="0" w:type="dxa"/>
                  </w:tcMar>
                  <w:vAlign w:val="center"/>
                </w:tcPr>
                <w:p w14:paraId="3B34510D">
                  <w:pPr>
                    <w:spacing w:line="300" w:lineRule="exact"/>
                    <w:jc w:val="center"/>
                    <w:rPr>
                      <w:rFonts w:hint="default" w:ascii="Times New Roman" w:hAnsi="Times New Roman" w:eastAsia="仿宋" w:cs="Times New Roman"/>
                      <w:kern w:val="0"/>
                      <w:sz w:val="21"/>
                      <w:szCs w:val="21"/>
                      <w:lang w:val="en-US" w:eastAsia="zh-CN" w:bidi="ar-SA"/>
                    </w:rPr>
                  </w:pPr>
                  <w:r>
                    <w:rPr>
                      <w:rFonts w:ascii="Times New Roman" w:hAnsi="Times New Roman" w:cs="Times New Roman"/>
                      <w:kern w:val="0"/>
                      <w:sz w:val="21"/>
                      <w:szCs w:val="21"/>
                    </w:rPr>
                    <w:t>生活垃圾</w:t>
                  </w:r>
                </w:p>
              </w:tc>
              <w:tc>
                <w:tcPr>
                  <w:tcW w:w="481" w:type="pct"/>
                  <w:tcMar>
                    <w:left w:w="0" w:type="dxa"/>
                    <w:right w:w="0" w:type="dxa"/>
                  </w:tcMar>
                  <w:vAlign w:val="center"/>
                </w:tcPr>
                <w:p w14:paraId="0FF9B4DB">
                  <w:pPr>
                    <w:spacing w:line="240" w:lineRule="auto"/>
                    <w:jc w:val="center"/>
                    <w:rPr>
                      <w:kern w:val="0"/>
                      <w:sz w:val="21"/>
                      <w:szCs w:val="21"/>
                    </w:rPr>
                  </w:pPr>
                  <w:r>
                    <w:rPr>
                      <w:kern w:val="0"/>
                      <w:sz w:val="21"/>
                      <w:szCs w:val="21"/>
                    </w:rPr>
                    <w:t>生活垃圾</w:t>
                  </w:r>
                </w:p>
              </w:tc>
              <w:tc>
                <w:tcPr>
                  <w:tcW w:w="998" w:type="pct"/>
                  <w:vAlign w:val="center"/>
                </w:tcPr>
                <w:p w14:paraId="0BF9DA55">
                  <w:pPr>
                    <w:spacing w:line="320" w:lineRule="exact"/>
                    <w:jc w:val="center"/>
                    <w:rPr>
                      <w:rFonts w:hint="eastAsia" w:eastAsia="仿宋"/>
                      <w:kern w:val="0"/>
                      <w:sz w:val="21"/>
                      <w:szCs w:val="21"/>
                      <w:lang w:val="en-US" w:eastAsia="zh-CN"/>
                    </w:rPr>
                  </w:pPr>
                  <w:r>
                    <w:rPr>
                      <w:rFonts w:hint="eastAsia"/>
                      <w:sz w:val="21"/>
                      <w:szCs w:val="21"/>
                      <w:lang w:val="en-US" w:eastAsia="zh-CN"/>
                    </w:rPr>
                    <w:t>/</w:t>
                  </w:r>
                </w:p>
              </w:tc>
              <w:tc>
                <w:tcPr>
                  <w:tcW w:w="853" w:type="pct"/>
                  <w:shd w:val="clear" w:color="auto" w:fill="auto"/>
                  <w:vAlign w:val="center"/>
                </w:tcPr>
                <w:p w14:paraId="0673852C">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4.2</w:t>
                  </w:r>
                </w:p>
              </w:tc>
              <w:tc>
                <w:tcPr>
                  <w:tcW w:w="704" w:type="pct"/>
                  <w:vMerge w:val="continue"/>
                  <w:vAlign w:val="center"/>
                </w:tcPr>
                <w:p w14:paraId="22E88266">
                  <w:pPr>
                    <w:spacing w:line="240" w:lineRule="auto"/>
                    <w:jc w:val="center"/>
                    <w:rPr>
                      <w:sz w:val="21"/>
                      <w:szCs w:val="21"/>
                    </w:rPr>
                  </w:pPr>
                </w:p>
              </w:tc>
              <w:tc>
                <w:tcPr>
                  <w:tcW w:w="663" w:type="pct"/>
                  <w:vMerge w:val="continue"/>
                  <w:vAlign w:val="center"/>
                </w:tcPr>
                <w:p w14:paraId="38BA22E6">
                  <w:pPr>
                    <w:pStyle w:val="47"/>
                    <w:tabs>
                      <w:tab w:val="left" w:pos="3240"/>
                    </w:tabs>
                    <w:spacing w:line="240" w:lineRule="auto"/>
                    <w:jc w:val="center"/>
                    <w:rPr>
                      <w:rFonts w:ascii="Times New Roman"/>
                      <w:sz w:val="21"/>
                      <w:szCs w:val="21"/>
                    </w:rPr>
                  </w:pPr>
                </w:p>
              </w:tc>
            </w:tr>
          </w:tbl>
          <w:p w14:paraId="3B0A603A">
            <w:pPr>
              <w:spacing w:line="240" w:lineRule="auto"/>
              <w:jc w:val="center"/>
              <w:rPr>
                <w:b/>
                <w:bCs/>
                <w:sz w:val="21"/>
                <w:szCs w:val="21"/>
              </w:rPr>
            </w:pPr>
            <w:r>
              <w:rPr>
                <w:b/>
                <w:bCs/>
                <w:sz w:val="21"/>
                <w:szCs w:val="21"/>
              </w:rPr>
              <w:t>表4-</w:t>
            </w:r>
            <w:r>
              <w:rPr>
                <w:rFonts w:hint="eastAsia"/>
                <w:b/>
                <w:bCs/>
                <w:sz w:val="21"/>
                <w:szCs w:val="21"/>
                <w:lang w:val="en-US" w:eastAsia="zh-CN"/>
              </w:rPr>
              <w:t>27</w:t>
            </w:r>
            <w:r>
              <w:rPr>
                <w:b/>
                <w:bCs/>
                <w:sz w:val="21"/>
                <w:szCs w:val="21"/>
              </w:rPr>
              <w:t xml:space="preserve"> </w:t>
            </w:r>
            <w:r>
              <w:rPr>
                <w:rFonts w:hint="eastAsia"/>
                <w:b/>
                <w:bCs/>
                <w:sz w:val="21"/>
                <w:szCs w:val="21"/>
              </w:rPr>
              <w:t xml:space="preserve"> </w:t>
            </w:r>
            <w:r>
              <w:rPr>
                <w:b/>
                <w:bCs/>
                <w:sz w:val="21"/>
                <w:szCs w:val="21"/>
              </w:rPr>
              <w:t>本项目工程分析中危险废物汇总表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430"/>
              <w:gridCol w:w="1354"/>
              <w:gridCol w:w="1579"/>
              <w:gridCol w:w="914"/>
              <w:gridCol w:w="1080"/>
              <w:gridCol w:w="660"/>
              <w:gridCol w:w="1365"/>
              <w:gridCol w:w="1065"/>
              <w:gridCol w:w="1110"/>
              <w:gridCol w:w="1490"/>
            </w:tblGrid>
            <w:tr w14:paraId="0B865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tcMar>
                    <w:left w:w="0" w:type="dxa"/>
                    <w:right w:w="0" w:type="dxa"/>
                  </w:tcMar>
                  <w:vAlign w:val="center"/>
                </w:tcPr>
                <w:p w14:paraId="4FF989CD">
                  <w:pPr>
                    <w:spacing w:line="240" w:lineRule="auto"/>
                    <w:jc w:val="center"/>
                    <w:rPr>
                      <w:b/>
                      <w:bCs/>
                      <w:kern w:val="0"/>
                      <w:sz w:val="21"/>
                      <w:szCs w:val="21"/>
                    </w:rPr>
                  </w:pPr>
                  <w:r>
                    <w:rPr>
                      <w:b/>
                      <w:bCs/>
                      <w:kern w:val="0"/>
                      <w:sz w:val="21"/>
                      <w:szCs w:val="21"/>
                    </w:rPr>
                    <w:t>序号</w:t>
                  </w:r>
                </w:p>
              </w:tc>
              <w:tc>
                <w:tcPr>
                  <w:tcW w:w="568" w:type="pct"/>
                  <w:tcMar>
                    <w:left w:w="0" w:type="dxa"/>
                    <w:right w:w="0" w:type="dxa"/>
                  </w:tcMar>
                  <w:vAlign w:val="center"/>
                </w:tcPr>
                <w:p w14:paraId="1A40CFEA">
                  <w:pPr>
                    <w:spacing w:line="240" w:lineRule="auto"/>
                    <w:jc w:val="center"/>
                    <w:rPr>
                      <w:b/>
                      <w:bCs/>
                      <w:kern w:val="0"/>
                      <w:sz w:val="21"/>
                      <w:szCs w:val="21"/>
                    </w:rPr>
                  </w:pPr>
                  <w:r>
                    <w:rPr>
                      <w:b/>
                      <w:bCs/>
                      <w:kern w:val="0"/>
                      <w:sz w:val="21"/>
                      <w:szCs w:val="21"/>
                    </w:rPr>
                    <w:t>危险废物名称</w:t>
                  </w:r>
                </w:p>
              </w:tc>
              <w:tc>
                <w:tcPr>
                  <w:tcW w:w="538" w:type="pct"/>
                  <w:tcMar>
                    <w:left w:w="0" w:type="dxa"/>
                    <w:right w:w="0" w:type="dxa"/>
                  </w:tcMar>
                  <w:vAlign w:val="center"/>
                </w:tcPr>
                <w:p w14:paraId="7E6D60A3">
                  <w:pPr>
                    <w:pStyle w:val="47"/>
                    <w:tabs>
                      <w:tab w:val="left" w:pos="3240"/>
                    </w:tabs>
                    <w:adjustRightInd w:val="0"/>
                    <w:snapToGrid w:val="0"/>
                    <w:spacing w:line="240" w:lineRule="auto"/>
                    <w:jc w:val="center"/>
                    <w:rPr>
                      <w:rFonts w:ascii="Times New Roman"/>
                      <w:b/>
                      <w:bCs/>
                      <w:kern w:val="0"/>
                      <w:sz w:val="21"/>
                      <w:szCs w:val="21"/>
                    </w:rPr>
                  </w:pPr>
                  <w:r>
                    <w:rPr>
                      <w:rFonts w:ascii="Times New Roman"/>
                      <w:b/>
                      <w:bCs/>
                      <w:kern w:val="0"/>
                      <w:sz w:val="21"/>
                      <w:szCs w:val="21"/>
                    </w:rPr>
                    <w:t>危险废物类别</w:t>
                  </w:r>
                </w:p>
              </w:tc>
              <w:tc>
                <w:tcPr>
                  <w:tcW w:w="627" w:type="pct"/>
                  <w:vAlign w:val="center"/>
                </w:tcPr>
                <w:p w14:paraId="10F60779">
                  <w:pPr>
                    <w:spacing w:line="240" w:lineRule="auto"/>
                    <w:jc w:val="center"/>
                    <w:rPr>
                      <w:b/>
                      <w:bCs/>
                      <w:kern w:val="0"/>
                      <w:sz w:val="21"/>
                      <w:szCs w:val="21"/>
                    </w:rPr>
                  </w:pPr>
                  <w:r>
                    <w:rPr>
                      <w:b/>
                      <w:bCs/>
                      <w:kern w:val="0"/>
                      <w:sz w:val="21"/>
                      <w:szCs w:val="21"/>
                    </w:rPr>
                    <w:t>危险废物代码</w:t>
                  </w:r>
                </w:p>
              </w:tc>
              <w:tc>
                <w:tcPr>
                  <w:tcW w:w="363" w:type="pct"/>
                  <w:vAlign w:val="center"/>
                </w:tcPr>
                <w:p w14:paraId="3182253E">
                  <w:pPr>
                    <w:spacing w:line="240" w:lineRule="auto"/>
                    <w:jc w:val="center"/>
                    <w:rPr>
                      <w:b/>
                      <w:bCs/>
                      <w:kern w:val="0"/>
                      <w:sz w:val="21"/>
                      <w:szCs w:val="21"/>
                    </w:rPr>
                  </w:pPr>
                  <w:r>
                    <w:rPr>
                      <w:b/>
                      <w:bCs/>
                      <w:kern w:val="0"/>
                      <w:sz w:val="21"/>
                      <w:szCs w:val="21"/>
                    </w:rPr>
                    <w:t>产生量（t/a）</w:t>
                  </w:r>
                </w:p>
              </w:tc>
              <w:tc>
                <w:tcPr>
                  <w:tcW w:w="429" w:type="pct"/>
                  <w:vAlign w:val="center"/>
                </w:tcPr>
                <w:p w14:paraId="3773C1E1">
                  <w:pPr>
                    <w:spacing w:line="240" w:lineRule="auto"/>
                    <w:jc w:val="center"/>
                    <w:rPr>
                      <w:rFonts w:hint="eastAsia" w:eastAsia="仿宋"/>
                      <w:b/>
                      <w:bCs/>
                      <w:kern w:val="0"/>
                      <w:sz w:val="21"/>
                      <w:szCs w:val="21"/>
                      <w:lang w:eastAsia="zh-CN"/>
                    </w:rPr>
                  </w:pPr>
                  <w:r>
                    <w:rPr>
                      <w:b/>
                      <w:bCs/>
                      <w:kern w:val="0"/>
                      <w:sz w:val="21"/>
                      <w:szCs w:val="21"/>
                    </w:rPr>
                    <w:t>产生</w:t>
                  </w:r>
                  <w:r>
                    <w:rPr>
                      <w:rFonts w:hint="eastAsia"/>
                      <w:b/>
                      <w:bCs/>
                      <w:kern w:val="0"/>
                      <w:sz w:val="21"/>
                      <w:szCs w:val="21"/>
                      <w:lang w:eastAsia="zh-CN"/>
                    </w:rPr>
                    <w:t>工段</w:t>
                  </w:r>
                </w:p>
              </w:tc>
              <w:tc>
                <w:tcPr>
                  <w:tcW w:w="262" w:type="pct"/>
                  <w:vAlign w:val="center"/>
                </w:tcPr>
                <w:p w14:paraId="26F26EAF">
                  <w:pPr>
                    <w:spacing w:line="240" w:lineRule="auto"/>
                    <w:jc w:val="center"/>
                    <w:rPr>
                      <w:b/>
                      <w:bCs/>
                      <w:kern w:val="0"/>
                      <w:sz w:val="21"/>
                      <w:szCs w:val="21"/>
                    </w:rPr>
                  </w:pPr>
                  <w:r>
                    <w:rPr>
                      <w:b/>
                      <w:bCs/>
                      <w:kern w:val="0"/>
                      <w:sz w:val="21"/>
                      <w:szCs w:val="21"/>
                    </w:rPr>
                    <w:t>形态</w:t>
                  </w:r>
                </w:p>
              </w:tc>
              <w:tc>
                <w:tcPr>
                  <w:tcW w:w="542" w:type="pct"/>
                  <w:vAlign w:val="center"/>
                </w:tcPr>
                <w:p w14:paraId="5C09484E">
                  <w:pPr>
                    <w:spacing w:line="240" w:lineRule="auto"/>
                    <w:jc w:val="center"/>
                    <w:rPr>
                      <w:b/>
                      <w:bCs/>
                      <w:kern w:val="0"/>
                      <w:sz w:val="21"/>
                      <w:szCs w:val="21"/>
                    </w:rPr>
                  </w:pPr>
                  <w:r>
                    <w:rPr>
                      <w:b/>
                      <w:bCs/>
                      <w:kern w:val="0"/>
                      <w:sz w:val="21"/>
                      <w:szCs w:val="21"/>
                    </w:rPr>
                    <w:t>主要成分</w:t>
                  </w:r>
                </w:p>
              </w:tc>
              <w:tc>
                <w:tcPr>
                  <w:tcW w:w="423" w:type="pct"/>
                  <w:vAlign w:val="center"/>
                </w:tcPr>
                <w:p w14:paraId="1F736489">
                  <w:pPr>
                    <w:spacing w:line="240" w:lineRule="auto"/>
                    <w:jc w:val="center"/>
                    <w:rPr>
                      <w:b/>
                      <w:bCs/>
                      <w:kern w:val="0"/>
                      <w:sz w:val="21"/>
                      <w:szCs w:val="21"/>
                    </w:rPr>
                  </w:pPr>
                  <w:r>
                    <w:rPr>
                      <w:b/>
                      <w:bCs/>
                      <w:kern w:val="0"/>
                      <w:sz w:val="21"/>
                      <w:szCs w:val="21"/>
                    </w:rPr>
                    <w:t>产废周期</w:t>
                  </w:r>
                </w:p>
              </w:tc>
              <w:tc>
                <w:tcPr>
                  <w:tcW w:w="441" w:type="pct"/>
                  <w:vAlign w:val="center"/>
                </w:tcPr>
                <w:p w14:paraId="4B884C0B">
                  <w:pPr>
                    <w:spacing w:line="240" w:lineRule="auto"/>
                    <w:jc w:val="center"/>
                    <w:rPr>
                      <w:b/>
                      <w:bCs/>
                      <w:kern w:val="0"/>
                      <w:sz w:val="21"/>
                      <w:szCs w:val="21"/>
                    </w:rPr>
                  </w:pPr>
                  <w:r>
                    <w:rPr>
                      <w:b/>
                      <w:bCs/>
                      <w:kern w:val="0"/>
                      <w:sz w:val="21"/>
                      <w:szCs w:val="21"/>
                    </w:rPr>
                    <w:t>危险特性</w:t>
                  </w:r>
                </w:p>
              </w:tc>
              <w:tc>
                <w:tcPr>
                  <w:tcW w:w="592" w:type="pct"/>
                  <w:vAlign w:val="center"/>
                </w:tcPr>
                <w:p w14:paraId="3EFAEFB4">
                  <w:pPr>
                    <w:spacing w:line="240" w:lineRule="auto"/>
                    <w:jc w:val="center"/>
                    <w:rPr>
                      <w:b/>
                      <w:bCs/>
                      <w:kern w:val="0"/>
                      <w:sz w:val="21"/>
                      <w:szCs w:val="21"/>
                    </w:rPr>
                  </w:pPr>
                  <w:r>
                    <w:rPr>
                      <w:b/>
                      <w:bCs/>
                      <w:kern w:val="0"/>
                      <w:sz w:val="21"/>
                      <w:szCs w:val="21"/>
                    </w:rPr>
                    <w:t>污染防治措施</w:t>
                  </w:r>
                </w:p>
              </w:tc>
            </w:tr>
            <w:tr w14:paraId="5AE5B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09" w:type="pct"/>
                  <w:tcMar>
                    <w:left w:w="0" w:type="dxa"/>
                    <w:right w:w="0" w:type="dxa"/>
                  </w:tcMar>
                  <w:vAlign w:val="center"/>
                </w:tcPr>
                <w:p w14:paraId="791C4F34">
                  <w:pPr>
                    <w:spacing w:line="240" w:lineRule="auto"/>
                    <w:jc w:val="center"/>
                    <w:rPr>
                      <w:kern w:val="0"/>
                      <w:sz w:val="21"/>
                      <w:szCs w:val="21"/>
                    </w:rPr>
                  </w:pPr>
                  <w:r>
                    <w:rPr>
                      <w:kern w:val="0"/>
                      <w:sz w:val="21"/>
                      <w:szCs w:val="21"/>
                    </w:rPr>
                    <w:t>1</w:t>
                  </w:r>
                </w:p>
              </w:tc>
              <w:tc>
                <w:tcPr>
                  <w:tcW w:w="568" w:type="pct"/>
                  <w:shd w:val="clear" w:color="auto" w:fill="auto"/>
                  <w:tcMar>
                    <w:left w:w="0" w:type="dxa"/>
                    <w:right w:w="0" w:type="dxa"/>
                  </w:tcMar>
                  <w:vAlign w:val="center"/>
                </w:tcPr>
                <w:p w14:paraId="194DC25E">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eastAsia="zh-CN"/>
                    </w:rPr>
                    <w:t>炉渣</w:t>
                  </w:r>
                </w:p>
              </w:tc>
              <w:tc>
                <w:tcPr>
                  <w:tcW w:w="538" w:type="pct"/>
                  <w:shd w:val="clear" w:color="auto" w:fill="auto"/>
                  <w:tcMar>
                    <w:left w:w="0" w:type="dxa"/>
                    <w:right w:w="0" w:type="dxa"/>
                  </w:tcMar>
                  <w:vAlign w:val="center"/>
                </w:tcPr>
                <w:p w14:paraId="55C6AF6E">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48</w:t>
                  </w:r>
                </w:p>
              </w:tc>
              <w:tc>
                <w:tcPr>
                  <w:tcW w:w="627" w:type="pct"/>
                  <w:shd w:val="clear" w:color="auto" w:fill="auto"/>
                  <w:vAlign w:val="center"/>
                </w:tcPr>
                <w:p w14:paraId="1A60EF4A">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321-026-48</w:t>
                  </w:r>
                </w:p>
              </w:tc>
              <w:tc>
                <w:tcPr>
                  <w:tcW w:w="363" w:type="pct"/>
                  <w:shd w:val="clear" w:color="auto" w:fill="auto"/>
                  <w:vAlign w:val="center"/>
                </w:tcPr>
                <w:p w14:paraId="49F5CFFB">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30</w:t>
                  </w:r>
                </w:p>
              </w:tc>
              <w:tc>
                <w:tcPr>
                  <w:tcW w:w="429" w:type="pct"/>
                  <w:shd w:val="clear" w:color="auto" w:fill="auto"/>
                  <w:vAlign w:val="center"/>
                </w:tcPr>
                <w:p w14:paraId="74291559">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熔化、废气处理</w:t>
                  </w:r>
                </w:p>
              </w:tc>
              <w:tc>
                <w:tcPr>
                  <w:tcW w:w="262" w:type="pct"/>
                  <w:shd w:val="clear" w:color="auto" w:fill="auto"/>
                  <w:vAlign w:val="center"/>
                </w:tcPr>
                <w:p w14:paraId="26F3A033">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固态</w:t>
                  </w:r>
                </w:p>
              </w:tc>
              <w:tc>
                <w:tcPr>
                  <w:tcW w:w="542" w:type="pct"/>
                  <w:shd w:val="clear" w:color="auto" w:fill="auto"/>
                  <w:vAlign w:val="center"/>
                </w:tcPr>
                <w:p w14:paraId="26F856A1">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铝</w:t>
                  </w:r>
                </w:p>
              </w:tc>
              <w:tc>
                <w:tcPr>
                  <w:tcW w:w="423" w:type="pct"/>
                  <w:vAlign w:val="center"/>
                </w:tcPr>
                <w:p w14:paraId="1B06E0AB">
                  <w:pPr>
                    <w:spacing w:line="240" w:lineRule="auto"/>
                    <w:jc w:val="center"/>
                    <w:rPr>
                      <w:rFonts w:hint="eastAsia" w:eastAsia="仿宋"/>
                      <w:sz w:val="21"/>
                      <w:szCs w:val="21"/>
                      <w:lang w:eastAsia="zh-CN"/>
                    </w:rPr>
                  </w:pPr>
                  <w:r>
                    <w:rPr>
                      <w:rFonts w:hint="eastAsia"/>
                      <w:sz w:val="21"/>
                      <w:szCs w:val="21"/>
                      <w:lang w:val="en-US" w:eastAsia="zh-CN"/>
                    </w:rPr>
                    <w:t>每天</w:t>
                  </w:r>
                </w:p>
              </w:tc>
              <w:tc>
                <w:tcPr>
                  <w:tcW w:w="441" w:type="pct"/>
                  <w:shd w:val="clear" w:color="auto" w:fill="auto"/>
                  <w:vAlign w:val="center"/>
                </w:tcPr>
                <w:p w14:paraId="32EAC18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R</w:t>
                  </w:r>
                </w:p>
              </w:tc>
              <w:tc>
                <w:tcPr>
                  <w:tcW w:w="592" w:type="pct"/>
                  <w:vMerge w:val="restart"/>
                  <w:vAlign w:val="center"/>
                </w:tcPr>
                <w:p w14:paraId="6DC1B851">
                  <w:pPr>
                    <w:spacing w:line="240" w:lineRule="auto"/>
                    <w:jc w:val="center"/>
                    <w:rPr>
                      <w:sz w:val="21"/>
                      <w:szCs w:val="21"/>
                    </w:rPr>
                  </w:pPr>
                  <w:r>
                    <w:rPr>
                      <w:sz w:val="21"/>
                      <w:szCs w:val="21"/>
                    </w:rPr>
                    <w:t>暂存于危废仓库，定期委托有资质单位处置</w:t>
                  </w:r>
                </w:p>
              </w:tc>
            </w:tr>
            <w:tr w14:paraId="5C464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09" w:type="pct"/>
                  <w:shd w:val="clear" w:color="auto" w:fill="auto"/>
                  <w:tcMar>
                    <w:left w:w="0" w:type="dxa"/>
                    <w:right w:w="0" w:type="dxa"/>
                  </w:tcMar>
                  <w:vAlign w:val="center"/>
                </w:tcPr>
                <w:p w14:paraId="51C0F3EB">
                  <w:pPr>
                    <w:spacing w:line="240" w:lineRule="auto"/>
                    <w:jc w:val="center"/>
                    <w:rPr>
                      <w:rFonts w:ascii="Times New Roman" w:hAnsi="Times New Roman" w:eastAsia="仿宋" w:cs="Times New Roman"/>
                      <w:kern w:val="0"/>
                      <w:sz w:val="21"/>
                      <w:szCs w:val="21"/>
                      <w:lang w:val="en-US" w:eastAsia="zh-CN" w:bidi="ar-SA"/>
                    </w:rPr>
                  </w:pPr>
                  <w:r>
                    <w:rPr>
                      <w:kern w:val="0"/>
                      <w:sz w:val="21"/>
                      <w:szCs w:val="21"/>
                    </w:rPr>
                    <w:t>2</w:t>
                  </w:r>
                </w:p>
              </w:tc>
              <w:tc>
                <w:tcPr>
                  <w:tcW w:w="568" w:type="pct"/>
                  <w:shd w:val="clear" w:color="auto" w:fill="auto"/>
                  <w:tcMar>
                    <w:left w:w="0" w:type="dxa"/>
                    <w:right w:w="0" w:type="dxa"/>
                  </w:tcMar>
                  <w:vAlign w:val="center"/>
                </w:tcPr>
                <w:p w14:paraId="39525281">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废过滤材料</w:t>
                  </w:r>
                </w:p>
              </w:tc>
              <w:tc>
                <w:tcPr>
                  <w:tcW w:w="538" w:type="pct"/>
                  <w:shd w:val="clear" w:color="auto" w:fill="auto"/>
                  <w:tcMar>
                    <w:left w:w="0" w:type="dxa"/>
                    <w:right w:w="0" w:type="dxa"/>
                  </w:tcMar>
                  <w:vAlign w:val="center"/>
                </w:tcPr>
                <w:p w14:paraId="7B6CC0A6">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49</w:t>
                  </w:r>
                </w:p>
              </w:tc>
              <w:tc>
                <w:tcPr>
                  <w:tcW w:w="627" w:type="pct"/>
                  <w:shd w:val="clear" w:color="auto" w:fill="auto"/>
                  <w:vAlign w:val="center"/>
                </w:tcPr>
                <w:p w14:paraId="30AA222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900-041-49</w:t>
                  </w:r>
                </w:p>
              </w:tc>
              <w:tc>
                <w:tcPr>
                  <w:tcW w:w="363" w:type="pct"/>
                  <w:shd w:val="clear" w:color="auto" w:fill="auto"/>
                  <w:vAlign w:val="center"/>
                </w:tcPr>
                <w:p w14:paraId="0E236FAC">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1</w:t>
                  </w:r>
                </w:p>
              </w:tc>
              <w:tc>
                <w:tcPr>
                  <w:tcW w:w="429" w:type="pct"/>
                  <w:shd w:val="clear" w:color="auto" w:fill="auto"/>
                  <w:vAlign w:val="center"/>
                </w:tcPr>
                <w:p w14:paraId="3E303C2F">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压铸、废气处理</w:t>
                  </w:r>
                </w:p>
              </w:tc>
              <w:tc>
                <w:tcPr>
                  <w:tcW w:w="262" w:type="pct"/>
                  <w:shd w:val="clear" w:color="auto" w:fill="auto"/>
                  <w:vAlign w:val="center"/>
                </w:tcPr>
                <w:p w14:paraId="7CEE7F2C">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固态</w:t>
                  </w:r>
                </w:p>
              </w:tc>
              <w:tc>
                <w:tcPr>
                  <w:tcW w:w="542" w:type="pct"/>
                  <w:shd w:val="clear" w:color="auto" w:fill="auto"/>
                  <w:vAlign w:val="center"/>
                </w:tcPr>
                <w:p w14:paraId="490EFFD1">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烃/水混合物</w:t>
                  </w:r>
                </w:p>
              </w:tc>
              <w:tc>
                <w:tcPr>
                  <w:tcW w:w="423" w:type="pct"/>
                  <w:vAlign w:val="center"/>
                </w:tcPr>
                <w:p w14:paraId="19750E33">
                  <w:pPr>
                    <w:spacing w:line="240" w:lineRule="auto"/>
                    <w:jc w:val="center"/>
                    <w:rPr>
                      <w:rFonts w:hint="eastAsia"/>
                      <w:sz w:val="21"/>
                      <w:szCs w:val="21"/>
                      <w:lang w:val="en-US" w:eastAsia="zh-CN"/>
                    </w:rPr>
                  </w:pPr>
                  <w:r>
                    <w:rPr>
                      <w:rFonts w:hint="eastAsia"/>
                      <w:sz w:val="21"/>
                      <w:szCs w:val="21"/>
                      <w:lang w:val="en-US" w:eastAsia="zh-CN"/>
                    </w:rPr>
                    <w:t>每季度</w:t>
                  </w:r>
                </w:p>
              </w:tc>
              <w:tc>
                <w:tcPr>
                  <w:tcW w:w="441" w:type="pct"/>
                  <w:shd w:val="clear" w:color="auto" w:fill="auto"/>
                  <w:vAlign w:val="center"/>
                </w:tcPr>
                <w:p w14:paraId="7F77AF67">
                  <w:pPr>
                    <w:spacing w:line="300" w:lineRule="exact"/>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T/In</w:t>
                  </w:r>
                </w:p>
              </w:tc>
              <w:tc>
                <w:tcPr>
                  <w:tcW w:w="592" w:type="pct"/>
                  <w:vMerge w:val="continue"/>
                  <w:vAlign w:val="center"/>
                </w:tcPr>
                <w:p w14:paraId="2E5105A5">
                  <w:pPr>
                    <w:spacing w:line="240" w:lineRule="auto"/>
                    <w:jc w:val="center"/>
                    <w:rPr>
                      <w:sz w:val="21"/>
                      <w:szCs w:val="21"/>
                    </w:rPr>
                  </w:pPr>
                </w:p>
              </w:tc>
            </w:tr>
            <w:tr w14:paraId="149BE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09" w:type="pct"/>
                  <w:shd w:val="clear" w:color="auto" w:fill="auto"/>
                  <w:tcMar>
                    <w:left w:w="0" w:type="dxa"/>
                    <w:right w:w="0" w:type="dxa"/>
                  </w:tcMar>
                  <w:vAlign w:val="center"/>
                </w:tcPr>
                <w:p w14:paraId="7F3EF7AB">
                  <w:pPr>
                    <w:spacing w:line="240" w:lineRule="auto"/>
                    <w:jc w:val="center"/>
                    <w:rPr>
                      <w:rFonts w:ascii="Times New Roman" w:hAnsi="Times New Roman" w:eastAsia="仿宋" w:cs="Times New Roman"/>
                      <w:kern w:val="0"/>
                      <w:sz w:val="21"/>
                      <w:szCs w:val="21"/>
                      <w:lang w:val="en-US" w:eastAsia="zh-CN" w:bidi="ar-SA"/>
                    </w:rPr>
                  </w:pPr>
                  <w:r>
                    <w:rPr>
                      <w:rFonts w:hint="eastAsia"/>
                      <w:kern w:val="0"/>
                      <w:sz w:val="21"/>
                      <w:szCs w:val="21"/>
                    </w:rPr>
                    <w:t>3</w:t>
                  </w:r>
                </w:p>
              </w:tc>
              <w:tc>
                <w:tcPr>
                  <w:tcW w:w="568" w:type="pct"/>
                  <w:shd w:val="clear" w:color="auto" w:fill="auto"/>
                  <w:tcMar>
                    <w:left w:w="0" w:type="dxa"/>
                    <w:right w:w="0" w:type="dxa"/>
                  </w:tcMar>
                  <w:vAlign w:val="center"/>
                </w:tcPr>
                <w:p w14:paraId="21E01615">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废包装桶</w:t>
                  </w:r>
                </w:p>
              </w:tc>
              <w:tc>
                <w:tcPr>
                  <w:tcW w:w="538" w:type="pct"/>
                  <w:shd w:val="clear" w:color="auto" w:fill="auto"/>
                  <w:tcMar>
                    <w:left w:w="0" w:type="dxa"/>
                    <w:right w:w="0" w:type="dxa"/>
                  </w:tcMar>
                  <w:vAlign w:val="center"/>
                </w:tcPr>
                <w:p w14:paraId="5D9628D4">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49</w:t>
                  </w:r>
                </w:p>
              </w:tc>
              <w:tc>
                <w:tcPr>
                  <w:tcW w:w="627" w:type="pct"/>
                  <w:shd w:val="clear" w:color="auto" w:fill="auto"/>
                  <w:vAlign w:val="center"/>
                </w:tcPr>
                <w:p w14:paraId="58D61A0A">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900-041-49</w:t>
                  </w:r>
                </w:p>
              </w:tc>
              <w:tc>
                <w:tcPr>
                  <w:tcW w:w="363" w:type="pct"/>
                  <w:shd w:val="clear" w:color="auto" w:fill="auto"/>
                  <w:vAlign w:val="center"/>
                </w:tcPr>
                <w:p w14:paraId="0CAD0BA1">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2</w:t>
                  </w:r>
                  <w:r>
                    <w:rPr>
                      <w:rFonts w:hint="eastAsia" w:ascii="Times New Roman" w:hAnsi="Times New Roman" w:cs="Times New Roman"/>
                      <w:kern w:val="0"/>
                      <w:sz w:val="21"/>
                      <w:szCs w:val="21"/>
                      <w:lang w:val="en-US" w:eastAsia="zh-CN"/>
                    </w:rPr>
                    <w:t>5</w:t>
                  </w:r>
                </w:p>
              </w:tc>
              <w:tc>
                <w:tcPr>
                  <w:tcW w:w="429" w:type="pct"/>
                  <w:shd w:val="clear" w:color="auto" w:fill="auto"/>
                  <w:vAlign w:val="center"/>
                </w:tcPr>
                <w:p w14:paraId="03FA0C55">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原料使用</w:t>
                  </w:r>
                </w:p>
              </w:tc>
              <w:tc>
                <w:tcPr>
                  <w:tcW w:w="262" w:type="pct"/>
                  <w:shd w:val="clear" w:color="auto" w:fill="auto"/>
                  <w:vAlign w:val="center"/>
                </w:tcPr>
                <w:p w14:paraId="0BF81D75">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固态</w:t>
                  </w:r>
                </w:p>
              </w:tc>
              <w:tc>
                <w:tcPr>
                  <w:tcW w:w="542" w:type="pct"/>
                  <w:shd w:val="clear" w:color="auto" w:fill="auto"/>
                  <w:vAlign w:val="center"/>
                </w:tcPr>
                <w:p w14:paraId="490D227E">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脱模剂</w:t>
                  </w:r>
                </w:p>
              </w:tc>
              <w:tc>
                <w:tcPr>
                  <w:tcW w:w="423" w:type="pct"/>
                  <w:vAlign w:val="center"/>
                </w:tcPr>
                <w:p w14:paraId="6C406ADD">
                  <w:pPr>
                    <w:spacing w:line="240" w:lineRule="auto"/>
                    <w:jc w:val="center"/>
                    <w:rPr>
                      <w:rFonts w:hint="eastAsia" w:eastAsia="仿宋"/>
                      <w:sz w:val="21"/>
                      <w:szCs w:val="21"/>
                      <w:lang w:eastAsia="zh-CN"/>
                    </w:rPr>
                  </w:pPr>
                  <w:r>
                    <w:rPr>
                      <w:rFonts w:hint="eastAsia"/>
                      <w:sz w:val="21"/>
                      <w:szCs w:val="21"/>
                      <w:lang w:val="en-US" w:eastAsia="zh-CN"/>
                    </w:rPr>
                    <w:t>每天</w:t>
                  </w:r>
                </w:p>
              </w:tc>
              <w:tc>
                <w:tcPr>
                  <w:tcW w:w="441" w:type="pct"/>
                  <w:shd w:val="clear" w:color="auto" w:fill="auto"/>
                  <w:vAlign w:val="center"/>
                </w:tcPr>
                <w:p w14:paraId="010F1BC1">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T/In</w:t>
                  </w:r>
                </w:p>
              </w:tc>
              <w:tc>
                <w:tcPr>
                  <w:tcW w:w="592" w:type="pct"/>
                  <w:vMerge w:val="continue"/>
                  <w:vAlign w:val="center"/>
                </w:tcPr>
                <w:p w14:paraId="71C78474">
                  <w:pPr>
                    <w:spacing w:line="240" w:lineRule="auto"/>
                    <w:jc w:val="center"/>
                    <w:rPr>
                      <w:sz w:val="21"/>
                      <w:szCs w:val="21"/>
                    </w:rPr>
                  </w:pPr>
                </w:p>
              </w:tc>
            </w:tr>
            <w:tr w14:paraId="15EAF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 w:type="pct"/>
                  <w:shd w:val="clear" w:color="auto" w:fill="auto"/>
                  <w:tcMar>
                    <w:left w:w="0" w:type="dxa"/>
                    <w:right w:w="0" w:type="dxa"/>
                  </w:tcMar>
                  <w:vAlign w:val="center"/>
                </w:tcPr>
                <w:p w14:paraId="0430AA84">
                  <w:pPr>
                    <w:spacing w:line="240" w:lineRule="auto"/>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4</w:t>
                  </w:r>
                </w:p>
              </w:tc>
              <w:tc>
                <w:tcPr>
                  <w:tcW w:w="568" w:type="pct"/>
                  <w:shd w:val="clear" w:color="auto" w:fill="auto"/>
                  <w:tcMar>
                    <w:left w:w="0" w:type="dxa"/>
                    <w:right w:w="0" w:type="dxa"/>
                  </w:tcMar>
                  <w:vAlign w:val="center"/>
                </w:tcPr>
                <w:p w14:paraId="0F22B157">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废活性炭</w:t>
                  </w:r>
                </w:p>
              </w:tc>
              <w:tc>
                <w:tcPr>
                  <w:tcW w:w="538" w:type="pct"/>
                  <w:shd w:val="clear" w:color="auto" w:fill="auto"/>
                  <w:tcMar>
                    <w:left w:w="0" w:type="dxa"/>
                    <w:right w:w="0" w:type="dxa"/>
                  </w:tcMar>
                  <w:vAlign w:val="center"/>
                </w:tcPr>
                <w:p w14:paraId="5E567787">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49</w:t>
                  </w:r>
                </w:p>
              </w:tc>
              <w:tc>
                <w:tcPr>
                  <w:tcW w:w="627" w:type="pct"/>
                  <w:shd w:val="clear" w:color="auto" w:fill="auto"/>
                  <w:vAlign w:val="center"/>
                </w:tcPr>
                <w:p w14:paraId="043972A6">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900-039-49</w:t>
                  </w:r>
                </w:p>
              </w:tc>
              <w:tc>
                <w:tcPr>
                  <w:tcW w:w="363" w:type="pct"/>
                  <w:shd w:val="clear" w:color="auto" w:fill="auto"/>
                  <w:vAlign w:val="center"/>
                </w:tcPr>
                <w:p w14:paraId="27D9354B">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14.93</w:t>
                  </w:r>
                </w:p>
              </w:tc>
              <w:tc>
                <w:tcPr>
                  <w:tcW w:w="429" w:type="pct"/>
                  <w:shd w:val="clear" w:color="auto" w:fill="auto"/>
                  <w:vAlign w:val="center"/>
                </w:tcPr>
                <w:p w14:paraId="7397EC06">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废气处理</w:t>
                  </w:r>
                </w:p>
              </w:tc>
              <w:tc>
                <w:tcPr>
                  <w:tcW w:w="262" w:type="pct"/>
                  <w:shd w:val="clear" w:color="auto" w:fill="auto"/>
                  <w:vAlign w:val="center"/>
                </w:tcPr>
                <w:p w14:paraId="4576D41D">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固态</w:t>
                  </w:r>
                </w:p>
              </w:tc>
              <w:tc>
                <w:tcPr>
                  <w:tcW w:w="542" w:type="pct"/>
                  <w:shd w:val="clear" w:color="auto" w:fill="auto"/>
                  <w:vAlign w:val="center"/>
                </w:tcPr>
                <w:p w14:paraId="62FB9CD1">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有机废气</w:t>
                  </w:r>
                </w:p>
              </w:tc>
              <w:tc>
                <w:tcPr>
                  <w:tcW w:w="423" w:type="pct"/>
                  <w:vAlign w:val="center"/>
                </w:tcPr>
                <w:p w14:paraId="5639CB54">
                  <w:pPr>
                    <w:spacing w:line="240" w:lineRule="auto"/>
                    <w:jc w:val="center"/>
                    <w:rPr>
                      <w:rFonts w:hint="default" w:eastAsia="仿宋"/>
                      <w:sz w:val="21"/>
                      <w:szCs w:val="21"/>
                      <w:lang w:val="en-US" w:eastAsia="zh-CN"/>
                    </w:rPr>
                  </w:pPr>
                  <w:r>
                    <w:rPr>
                      <w:rFonts w:hint="eastAsia"/>
                      <w:sz w:val="21"/>
                      <w:szCs w:val="21"/>
                    </w:rPr>
                    <w:t>每</w:t>
                  </w:r>
                  <w:r>
                    <w:rPr>
                      <w:rFonts w:hint="eastAsia"/>
                      <w:sz w:val="21"/>
                      <w:szCs w:val="21"/>
                      <w:lang w:val="en-US" w:eastAsia="zh-CN"/>
                    </w:rPr>
                    <w:t>61天</w:t>
                  </w:r>
                </w:p>
              </w:tc>
              <w:tc>
                <w:tcPr>
                  <w:tcW w:w="441" w:type="pct"/>
                  <w:shd w:val="clear" w:color="auto" w:fill="auto"/>
                  <w:vAlign w:val="center"/>
                </w:tcPr>
                <w:p w14:paraId="4099E2C6">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w:t>
                  </w:r>
                </w:p>
              </w:tc>
              <w:tc>
                <w:tcPr>
                  <w:tcW w:w="592" w:type="pct"/>
                  <w:vMerge w:val="continue"/>
                  <w:vAlign w:val="center"/>
                </w:tcPr>
                <w:p w14:paraId="0E0877DC">
                  <w:pPr>
                    <w:spacing w:line="240" w:lineRule="auto"/>
                    <w:jc w:val="center"/>
                    <w:rPr>
                      <w:sz w:val="21"/>
                      <w:szCs w:val="21"/>
                    </w:rPr>
                  </w:pPr>
                </w:p>
              </w:tc>
            </w:tr>
            <w:tr w14:paraId="1FE35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 w:type="pct"/>
                  <w:shd w:val="clear" w:color="auto" w:fill="auto"/>
                  <w:tcMar>
                    <w:left w:w="0" w:type="dxa"/>
                    <w:right w:w="0" w:type="dxa"/>
                  </w:tcMar>
                  <w:vAlign w:val="center"/>
                </w:tcPr>
                <w:p w14:paraId="0F30DD2A">
                  <w:pPr>
                    <w:spacing w:line="240" w:lineRule="auto"/>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5</w:t>
                  </w:r>
                </w:p>
              </w:tc>
              <w:tc>
                <w:tcPr>
                  <w:tcW w:w="568" w:type="pct"/>
                  <w:shd w:val="clear" w:color="auto" w:fill="auto"/>
                  <w:tcMar>
                    <w:left w:w="0" w:type="dxa"/>
                    <w:right w:w="0" w:type="dxa"/>
                  </w:tcMar>
                  <w:vAlign w:val="center"/>
                </w:tcPr>
                <w:p w14:paraId="1BAAD319">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废脱模剂</w:t>
                  </w:r>
                </w:p>
              </w:tc>
              <w:tc>
                <w:tcPr>
                  <w:tcW w:w="538" w:type="pct"/>
                  <w:shd w:val="clear" w:color="auto" w:fill="auto"/>
                  <w:tcMar>
                    <w:left w:w="0" w:type="dxa"/>
                    <w:right w:w="0" w:type="dxa"/>
                  </w:tcMar>
                  <w:vAlign w:val="center"/>
                </w:tcPr>
                <w:p w14:paraId="6CFF1C89">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09</w:t>
                  </w:r>
                </w:p>
              </w:tc>
              <w:tc>
                <w:tcPr>
                  <w:tcW w:w="627" w:type="pct"/>
                  <w:shd w:val="clear" w:color="auto" w:fill="auto"/>
                  <w:vAlign w:val="center"/>
                </w:tcPr>
                <w:p w14:paraId="04E99252">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900-007-09</w:t>
                  </w:r>
                </w:p>
              </w:tc>
              <w:tc>
                <w:tcPr>
                  <w:tcW w:w="363" w:type="pct"/>
                  <w:shd w:val="clear" w:color="auto" w:fill="auto"/>
                  <w:vAlign w:val="center"/>
                </w:tcPr>
                <w:p w14:paraId="40530F98">
                  <w:pPr>
                    <w:spacing w:line="300" w:lineRule="exact"/>
                    <w:jc w:val="center"/>
                    <w:rPr>
                      <w:rFonts w:hint="default" w:cs="Times New Roman"/>
                      <w:kern w:val="0"/>
                      <w:sz w:val="21"/>
                      <w:szCs w:val="21"/>
                      <w:lang w:val="en-US" w:eastAsia="zh-CN"/>
                    </w:rPr>
                  </w:pPr>
                  <w:r>
                    <w:rPr>
                      <w:rFonts w:hint="eastAsia" w:cs="Times New Roman"/>
                      <w:kern w:val="0"/>
                      <w:sz w:val="21"/>
                      <w:szCs w:val="21"/>
                      <w:lang w:val="en-US" w:eastAsia="zh-CN"/>
                    </w:rPr>
                    <w:t>0.5</w:t>
                  </w:r>
                </w:p>
              </w:tc>
              <w:tc>
                <w:tcPr>
                  <w:tcW w:w="429" w:type="pct"/>
                  <w:shd w:val="clear" w:color="auto" w:fill="auto"/>
                  <w:vAlign w:val="center"/>
                </w:tcPr>
                <w:p w14:paraId="77D77C48">
                  <w:pPr>
                    <w:spacing w:line="300" w:lineRule="exact"/>
                    <w:jc w:val="center"/>
                    <w:rPr>
                      <w:rFonts w:hint="eastAsia" w:ascii="Times New Roman" w:hAnsi="Times New Roman" w:cs="Times New Roman"/>
                      <w:kern w:val="0"/>
                      <w:sz w:val="21"/>
                      <w:szCs w:val="21"/>
                    </w:rPr>
                  </w:pPr>
                  <w:r>
                    <w:rPr>
                      <w:rFonts w:hint="eastAsia" w:cs="Times New Roman"/>
                      <w:kern w:val="0"/>
                      <w:sz w:val="21"/>
                      <w:szCs w:val="21"/>
                      <w:lang w:val="en-US" w:eastAsia="zh-CN"/>
                    </w:rPr>
                    <w:t>压铸</w:t>
                  </w:r>
                </w:p>
              </w:tc>
              <w:tc>
                <w:tcPr>
                  <w:tcW w:w="262" w:type="pct"/>
                  <w:shd w:val="clear" w:color="auto" w:fill="auto"/>
                  <w:vAlign w:val="center"/>
                </w:tcPr>
                <w:p w14:paraId="7D547B45">
                  <w:pPr>
                    <w:spacing w:line="300" w:lineRule="exact"/>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液态</w:t>
                  </w:r>
                </w:p>
              </w:tc>
              <w:tc>
                <w:tcPr>
                  <w:tcW w:w="542" w:type="pct"/>
                  <w:shd w:val="clear" w:color="auto" w:fill="auto"/>
                  <w:vAlign w:val="center"/>
                </w:tcPr>
                <w:p w14:paraId="546F6E28">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烃/水混合物</w:t>
                  </w:r>
                </w:p>
              </w:tc>
              <w:tc>
                <w:tcPr>
                  <w:tcW w:w="423" w:type="pct"/>
                  <w:shd w:val="clear" w:color="auto" w:fill="auto"/>
                  <w:vAlign w:val="center"/>
                </w:tcPr>
                <w:p w14:paraId="2EF956D0">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每年</w:t>
                  </w:r>
                </w:p>
              </w:tc>
              <w:tc>
                <w:tcPr>
                  <w:tcW w:w="441" w:type="pct"/>
                  <w:shd w:val="clear" w:color="auto" w:fill="auto"/>
                  <w:vAlign w:val="center"/>
                </w:tcPr>
                <w:p w14:paraId="45F8CFA1">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w:t>
                  </w:r>
                </w:p>
              </w:tc>
              <w:tc>
                <w:tcPr>
                  <w:tcW w:w="592" w:type="pct"/>
                  <w:vMerge w:val="continue"/>
                  <w:vAlign w:val="center"/>
                </w:tcPr>
                <w:p w14:paraId="065D9FC8">
                  <w:pPr>
                    <w:spacing w:line="240" w:lineRule="auto"/>
                    <w:jc w:val="center"/>
                    <w:rPr>
                      <w:sz w:val="21"/>
                      <w:szCs w:val="21"/>
                    </w:rPr>
                  </w:pPr>
                </w:p>
              </w:tc>
            </w:tr>
            <w:tr w14:paraId="2913B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 w:type="pct"/>
                  <w:shd w:val="clear" w:color="auto" w:fill="auto"/>
                  <w:tcMar>
                    <w:left w:w="0" w:type="dxa"/>
                    <w:right w:w="0" w:type="dxa"/>
                  </w:tcMar>
                  <w:vAlign w:val="center"/>
                </w:tcPr>
                <w:p w14:paraId="46B77171">
                  <w:pPr>
                    <w:spacing w:line="240" w:lineRule="auto"/>
                    <w:jc w:val="center"/>
                    <w:rPr>
                      <w:rFonts w:hint="eastAsia" w:ascii="Times New Roman" w:hAnsi="Times New Roman" w:eastAsia="仿宋" w:cs="Times New Roman"/>
                      <w:kern w:val="0"/>
                      <w:sz w:val="21"/>
                      <w:szCs w:val="21"/>
                      <w:lang w:val="en-US" w:eastAsia="zh-CN" w:bidi="ar-SA"/>
                    </w:rPr>
                  </w:pPr>
                  <w:r>
                    <w:rPr>
                      <w:rFonts w:hint="eastAsia"/>
                      <w:kern w:val="0"/>
                      <w:sz w:val="21"/>
                      <w:szCs w:val="21"/>
                      <w:lang w:val="en-US" w:eastAsia="zh-CN"/>
                    </w:rPr>
                    <w:t>6</w:t>
                  </w:r>
                </w:p>
              </w:tc>
              <w:tc>
                <w:tcPr>
                  <w:tcW w:w="568" w:type="pct"/>
                  <w:shd w:val="clear" w:color="auto" w:fill="auto"/>
                  <w:tcMar>
                    <w:left w:w="0" w:type="dxa"/>
                    <w:right w:w="0" w:type="dxa"/>
                  </w:tcMar>
                  <w:vAlign w:val="center"/>
                </w:tcPr>
                <w:p w14:paraId="3DE3785B">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喷淋废液</w:t>
                  </w:r>
                </w:p>
              </w:tc>
              <w:tc>
                <w:tcPr>
                  <w:tcW w:w="538" w:type="pct"/>
                  <w:shd w:val="clear" w:color="auto" w:fill="auto"/>
                  <w:tcMar>
                    <w:left w:w="0" w:type="dxa"/>
                    <w:right w:w="0" w:type="dxa"/>
                  </w:tcMar>
                  <w:vAlign w:val="center"/>
                </w:tcPr>
                <w:p w14:paraId="718070F8">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09</w:t>
                  </w:r>
                </w:p>
              </w:tc>
              <w:tc>
                <w:tcPr>
                  <w:tcW w:w="627" w:type="pct"/>
                  <w:shd w:val="clear" w:color="auto" w:fill="auto"/>
                  <w:vAlign w:val="center"/>
                </w:tcPr>
                <w:p w14:paraId="187833D7">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900-007-09</w:t>
                  </w:r>
                </w:p>
              </w:tc>
              <w:tc>
                <w:tcPr>
                  <w:tcW w:w="363" w:type="pct"/>
                  <w:shd w:val="clear" w:color="auto" w:fill="auto"/>
                  <w:vAlign w:val="center"/>
                </w:tcPr>
                <w:p w14:paraId="0DFB3462">
                  <w:pPr>
                    <w:spacing w:line="300" w:lineRule="exact"/>
                    <w:jc w:val="center"/>
                    <w:rPr>
                      <w:rFonts w:hint="default"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bidi="ar-SA"/>
                    </w:rPr>
                    <w:t>2</w:t>
                  </w:r>
                </w:p>
              </w:tc>
              <w:tc>
                <w:tcPr>
                  <w:tcW w:w="429" w:type="pct"/>
                  <w:shd w:val="clear" w:color="auto" w:fill="auto"/>
                  <w:vAlign w:val="center"/>
                </w:tcPr>
                <w:p w14:paraId="04C96EB7">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废气处理</w:t>
                  </w:r>
                </w:p>
              </w:tc>
              <w:tc>
                <w:tcPr>
                  <w:tcW w:w="262" w:type="pct"/>
                  <w:shd w:val="clear" w:color="auto" w:fill="auto"/>
                  <w:vAlign w:val="center"/>
                </w:tcPr>
                <w:p w14:paraId="0787CA44">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液态</w:t>
                  </w:r>
                </w:p>
              </w:tc>
              <w:tc>
                <w:tcPr>
                  <w:tcW w:w="542" w:type="pct"/>
                  <w:shd w:val="clear" w:color="auto" w:fill="auto"/>
                  <w:vAlign w:val="center"/>
                </w:tcPr>
                <w:p w14:paraId="58289CFB">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烃/水混合物</w:t>
                  </w:r>
                </w:p>
              </w:tc>
              <w:tc>
                <w:tcPr>
                  <w:tcW w:w="423" w:type="pct"/>
                  <w:vAlign w:val="center"/>
                </w:tcPr>
                <w:p w14:paraId="375265D7">
                  <w:pPr>
                    <w:spacing w:line="240" w:lineRule="auto"/>
                    <w:jc w:val="center"/>
                    <w:rPr>
                      <w:rFonts w:hint="default"/>
                      <w:sz w:val="21"/>
                      <w:szCs w:val="21"/>
                      <w:lang w:val="en-US"/>
                    </w:rPr>
                  </w:pPr>
                  <w:r>
                    <w:rPr>
                      <w:rFonts w:hint="eastAsia"/>
                      <w:sz w:val="21"/>
                      <w:szCs w:val="21"/>
                      <w:lang w:val="en-US" w:eastAsia="zh-CN"/>
                    </w:rPr>
                    <w:t>每半年</w:t>
                  </w:r>
                </w:p>
              </w:tc>
              <w:tc>
                <w:tcPr>
                  <w:tcW w:w="441" w:type="pct"/>
                  <w:shd w:val="clear" w:color="auto" w:fill="auto"/>
                  <w:vAlign w:val="center"/>
                </w:tcPr>
                <w:p w14:paraId="5E407A1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w:t>
                  </w:r>
                </w:p>
              </w:tc>
              <w:tc>
                <w:tcPr>
                  <w:tcW w:w="592" w:type="pct"/>
                  <w:vMerge w:val="continue"/>
                  <w:vAlign w:val="center"/>
                </w:tcPr>
                <w:p w14:paraId="4319BA47">
                  <w:pPr>
                    <w:spacing w:line="240" w:lineRule="auto"/>
                    <w:jc w:val="center"/>
                    <w:rPr>
                      <w:sz w:val="21"/>
                      <w:szCs w:val="21"/>
                    </w:rPr>
                  </w:pPr>
                </w:p>
              </w:tc>
            </w:tr>
            <w:tr w14:paraId="2A322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 w:type="pct"/>
                  <w:tcMar>
                    <w:left w:w="0" w:type="dxa"/>
                    <w:right w:w="0" w:type="dxa"/>
                  </w:tcMar>
                  <w:vAlign w:val="center"/>
                </w:tcPr>
                <w:p w14:paraId="5D4A76F5">
                  <w:pPr>
                    <w:spacing w:line="240" w:lineRule="auto"/>
                    <w:jc w:val="center"/>
                    <w:rPr>
                      <w:rFonts w:hint="default" w:eastAsia="仿宋"/>
                      <w:kern w:val="0"/>
                      <w:sz w:val="21"/>
                      <w:szCs w:val="21"/>
                      <w:lang w:val="en-US" w:eastAsia="zh-CN"/>
                    </w:rPr>
                  </w:pPr>
                  <w:r>
                    <w:rPr>
                      <w:rFonts w:hint="eastAsia"/>
                      <w:kern w:val="0"/>
                      <w:sz w:val="21"/>
                      <w:szCs w:val="21"/>
                      <w:lang w:val="en-US" w:eastAsia="zh-CN"/>
                    </w:rPr>
                    <w:t>7</w:t>
                  </w:r>
                </w:p>
              </w:tc>
              <w:tc>
                <w:tcPr>
                  <w:tcW w:w="568" w:type="pct"/>
                  <w:shd w:val="clear" w:color="auto" w:fill="auto"/>
                  <w:tcMar>
                    <w:left w:w="0" w:type="dxa"/>
                    <w:right w:w="0" w:type="dxa"/>
                  </w:tcMar>
                  <w:vAlign w:val="center"/>
                </w:tcPr>
                <w:p w14:paraId="780F8C49">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废机油</w:t>
                  </w:r>
                </w:p>
              </w:tc>
              <w:tc>
                <w:tcPr>
                  <w:tcW w:w="538" w:type="pct"/>
                  <w:shd w:val="clear" w:color="auto" w:fill="auto"/>
                  <w:tcMar>
                    <w:left w:w="0" w:type="dxa"/>
                    <w:right w:w="0" w:type="dxa"/>
                  </w:tcMar>
                  <w:vAlign w:val="center"/>
                </w:tcPr>
                <w:p w14:paraId="4816992B">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HW</w:t>
                  </w:r>
                  <w:r>
                    <w:rPr>
                      <w:rFonts w:hint="eastAsia" w:ascii="Times New Roman" w:hAnsi="Times New Roman" w:cs="Times New Roman"/>
                      <w:kern w:val="0"/>
                      <w:sz w:val="21"/>
                      <w:szCs w:val="21"/>
                      <w:lang w:val="en-US" w:eastAsia="zh-CN"/>
                    </w:rPr>
                    <w:t>08</w:t>
                  </w:r>
                </w:p>
              </w:tc>
              <w:tc>
                <w:tcPr>
                  <w:tcW w:w="627" w:type="pct"/>
                  <w:shd w:val="clear" w:color="auto" w:fill="auto"/>
                  <w:vAlign w:val="center"/>
                </w:tcPr>
                <w:p w14:paraId="6DC48E8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900-214-08</w:t>
                  </w:r>
                </w:p>
              </w:tc>
              <w:tc>
                <w:tcPr>
                  <w:tcW w:w="363" w:type="pct"/>
                  <w:shd w:val="clear" w:color="auto" w:fill="auto"/>
                  <w:vAlign w:val="center"/>
                </w:tcPr>
                <w:p w14:paraId="10BE6033">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0.5</w:t>
                  </w:r>
                </w:p>
              </w:tc>
              <w:tc>
                <w:tcPr>
                  <w:tcW w:w="429" w:type="pct"/>
                  <w:shd w:val="clear" w:color="auto" w:fill="auto"/>
                  <w:vAlign w:val="center"/>
                </w:tcPr>
                <w:p w14:paraId="34B2E3D6">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设备维护</w:t>
                  </w:r>
                </w:p>
              </w:tc>
              <w:tc>
                <w:tcPr>
                  <w:tcW w:w="262" w:type="pct"/>
                  <w:shd w:val="clear" w:color="auto" w:fill="auto"/>
                  <w:vAlign w:val="center"/>
                </w:tcPr>
                <w:p w14:paraId="56F853D6">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液态</w:t>
                  </w:r>
                </w:p>
              </w:tc>
              <w:tc>
                <w:tcPr>
                  <w:tcW w:w="542" w:type="pct"/>
                  <w:shd w:val="clear" w:color="auto" w:fill="auto"/>
                  <w:vAlign w:val="center"/>
                </w:tcPr>
                <w:p w14:paraId="01B569D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rPr>
                    <w:t>油类</w:t>
                  </w:r>
                </w:p>
              </w:tc>
              <w:tc>
                <w:tcPr>
                  <w:tcW w:w="423" w:type="pct"/>
                  <w:vAlign w:val="center"/>
                </w:tcPr>
                <w:p w14:paraId="72E24B60">
                  <w:pPr>
                    <w:spacing w:line="240" w:lineRule="auto"/>
                    <w:jc w:val="center"/>
                    <w:rPr>
                      <w:rFonts w:hint="default" w:eastAsia="仿宋"/>
                      <w:sz w:val="21"/>
                      <w:szCs w:val="21"/>
                      <w:lang w:val="en-US" w:eastAsia="zh-CN"/>
                    </w:rPr>
                  </w:pPr>
                  <w:r>
                    <w:rPr>
                      <w:rFonts w:hint="eastAsia"/>
                      <w:sz w:val="21"/>
                      <w:szCs w:val="21"/>
                      <w:lang w:val="en-US" w:eastAsia="zh-CN"/>
                    </w:rPr>
                    <w:t>每年</w:t>
                  </w:r>
                </w:p>
              </w:tc>
              <w:tc>
                <w:tcPr>
                  <w:tcW w:w="441" w:type="pct"/>
                  <w:shd w:val="clear" w:color="auto" w:fill="auto"/>
                  <w:vAlign w:val="center"/>
                </w:tcPr>
                <w:p w14:paraId="57957B3E">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T，I</w:t>
                  </w:r>
                </w:p>
              </w:tc>
              <w:tc>
                <w:tcPr>
                  <w:tcW w:w="592" w:type="pct"/>
                  <w:vMerge w:val="continue"/>
                  <w:vAlign w:val="center"/>
                </w:tcPr>
                <w:p w14:paraId="42A832CE">
                  <w:pPr>
                    <w:spacing w:line="240" w:lineRule="auto"/>
                    <w:jc w:val="center"/>
                    <w:rPr>
                      <w:sz w:val="21"/>
                      <w:szCs w:val="21"/>
                    </w:rPr>
                  </w:pPr>
                </w:p>
              </w:tc>
            </w:tr>
          </w:tbl>
          <w:p w14:paraId="209944E5">
            <w:pPr>
              <w:pStyle w:val="2"/>
              <w:keepNext w:val="0"/>
              <w:pageBreakBefore w:val="0"/>
              <w:kinsoku/>
              <w:wordWrap/>
              <w:overflowPunct/>
              <w:topLinePunct w:val="0"/>
              <w:autoSpaceDE/>
              <w:autoSpaceDN/>
              <w:bidi w:val="0"/>
              <w:snapToGrid/>
              <w:spacing w:before="0" w:after="0" w:line="480" w:lineRule="exact"/>
              <w:ind w:right="0" w:firstLine="482" w:firstLineChars="200"/>
              <w:textAlignment w:val="auto"/>
              <w:rPr>
                <w:b/>
                <w:bCs/>
                <w:kern w:val="2"/>
                <w:sz w:val="24"/>
                <w:szCs w:val="24"/>
              </w:rPr>
            </w:pPr>
          </w:p>
          <w:p w14:paraId="67A1DCA0">
            <w:pPr>
              <w:pStyle w:val="2"/>
              <w:keepNext w:val="0"/>
              <w:pageBreakBefore w:val="0"/>
              <w:kinsoku/>
              <w:wordWrap/>
              <w:overflowPunct/>
              <w:topLinePunct w:val="0"/>
              <w:autoSpaceDE/>
              <w:autoSpaceDN/>
              <w:bidi w:val="0"/>
              <w:snapToGrid/>
              <w:spacing w:before="0" w:after="0" w:line="480" w:lineRule="exact"/>
              <w:ind w:right="0" w:firstLine="482" w:firstLineChars="200"/>
              <w:textAlignment w:val="auto"/>
              <w:rPr>
                <w:sz w:val="24"/>
                <w:szCs w:val="24"/>
              </w:rPr>
            </w:pPr>
            <w:r>
              <w:rPr>
                <w:b/>
                <w:bCs/>
                <w:kern w:val="2"/>
                <w:sz w:val="24"/>
                <w:szCs w:val="24"/>
              </w:rPr>
              <w:t>4.4固体废物环境管理要求</w:t>
            </w:r>
          </w:p>
          <w:p w14:paraId="121299B0">
            <w:pPr>
              <w:keepNext w:val="0"/>
              <w:pageBreakBefore w:val="0"/>
              <w:kinsoku/>
              <w:wordWrap/>
              <w:overflowPunct/>
              <w:topLinePunct w:val="0"/>
              <w:autoSpaceDE/>
              <w:autoSpaceDN/>
              <w:bidi w:val="0"/>
              <w:spacing w:line="480" w:lineRule="exact"/>
              <w:ind w:firstLine="480" w:firstLineChars="200"/>
              <w:textAlignment w:val="auto"/>
              <w:rPr>
                <w:bCs/>
              </w:rPr>
            </w:pPr>
            <w:r>
              <w:rPr>
                <w:bCs/>
              </w:rPr>
              <w:t>（1）固废暂存场所设置</w:t>
            </w:r>
          </w:p>
          <w:p w14:paraId="1B9D7486">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1.</w:t>
            </w:r>
            <w:r>
              <w:rPr>
                <w:rFonts w:ascii="Times New Roman" w:hAnsi="Times New Roman"/>
                <w:szCs w:val="24"/>
              </w:rPr>
              <w:t>一般固废</w:t>
            </w:r>
          </w:p>
          <w:p w14:paraId="3A2FD39E">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ascii="Times New Roman" w:hAnsi="Times New Roman"/>
                <w:szCs w:val="24"/>
              </w:rPr>
              <w:t>本项目产生的</w:t>
            </w:r>
            <w:r>
              <w:rPr>
                <w:rFonts w:hint="eastAsia" w:ascii="Times New Roman" w:hAnsi="Times New Roman"/>
                <w:szCs w:val="24"/>
              </w:rPr>
              <w:t>废</w:t>
            </w:r>
            <w:r>
              <w:rPr>
                <w:rFonts w:ascii="Times New Roman" w:hAnsi="Times New Roman"/>
                <w:bCs/>
                <w:szCs w:val="24"/>
              </w:rPr>
              <w:t>边角料</w:t>
            </w:r>
            <w:r>
              <w:rPr>
                <w:rFonts w:hint="eastAsia" w:ascii="Times New Roman" w:hAnsi="Times New Roman"/>
                <w:bCs/>
                <w:szCs w:val="24"/>
                <w:lang w:eastAsia="zh-CN"/>
              </w:rPr>
              <w:t>、</w:t>
            </w:r>
            <w:r>
              <w:rPr>
                <w:rFonts w:hint="eastAsia" w:ascii="Times New Roman" w:hAnsi="Times New Roman"/>
                <w:bCs/>
                <w:szCs w:val="24"/>
                <w:lang w:val="en-US" w:eastAsia="zh-CN"/>
              </w:rPr>
              <w:t>不合格品</w:t>
            </w:r>
            <w:r>
              <w:rPr>
                <w:rFonts w:ascii="Times New Roman" w:hAnsi="Times New Roman"/>
                <w:szCs w:val="24"/>
              </w:rPr>
              <w:t>为一般工业固废，收集后在一般固废堆场暂存，</w:t>
            </w:r>
            <w:r>
              <w:rPr>
                <w:rFonts w:hint="eastAsia" w:ascii="Times New Roman" w:hAnsi="Times New Roman"/>
                <w:szCs w:val="24"/>
                <w:lang w:val="en-US" w:eastAsia="zh-CN"/>
              </w:rPr>
              <w:t>可回用于熔化工段</w:t>
            </w:r>
            <w:r>
              <w:rPr>
                <w:rFonts w:ascii="Times New Roman" w:hAnsi="Times New Roman"/>
                <w:szCs w:val="24"/>
              </w:rPr>
              <w:t>。</w:t>
            </w:r>
            <w:r>
              <w:rPr>
                <w:rFonts w:ascii="Times New Roman" w:hAnsi="Times New Roman"/>
              </w:rPr>
              <w:t>建设单位</w:t>
            </w:r>
            <w:r>
              <w:rPr>
                <w:rFonts w:hint="eastAsia" w:ascii="Times New Roman" w:hAnsi="Times New Roman"/>
                <w:lang w:val="en-US" w:eastAsia="zh-CN"/>
              </w:rPr>
              <w:t>拟</w:t>
            </w:r>
            <w:r>
              <w:rPr>
                <w:rFonts w:ascii="Times New Roman" w:hAnsi="Times New Roman"/>
              </w:rPr>
              <w:t>在</w:t>
            </w:r>
            <w:r>
              <w:rPr>
                <w:rFonts w:hint="eastAsia" w:ascii="Times New Roman" w:hAnsi="Times New Roman"/>
                <w:szCs w:val="21"/>
                <w:lang w:val="en-US" w:eastAsia="zh-CN"/>
              </w:rPr>
              <w:t>生产车间</w:t>
            </w:r>
            <w:r>
              <w:rPr>
                <w:rFonts w:ascii="Times New Roman" w:hAnsi="Times New Roman"/>
              </w:rPr>
              <w:t>设置一个一般固废堆场，</w:t>
            </w:r>
            <w:r>
              <w:rPr>
                <w:rFonts w:hint="eastAsia" w:ascii="Times New Roman" w:hAnsi="Times New Roman"/>
              </w:rPr>
              <w:t>堆场</w:t>
            </w:r>
            <w:r>
              <w:rPr>
                <w:rFonts w:ascii="Times New Roman" w:hAnsi="Times New Roman"/>
              </w:rPr>
              <w:t>面积约</w:t>
            </w:r>
            <w:r>
              <w:rPr>
                <w:rFonts w:hint="eastAsia" w:ascii="Times New Roman" w:hAnsi="Times New Roman"/>
                <w:lang w:val="en-US" w:eastAsia="zh-CN"/>
              </w:rPr>
              <w:t>100</w:t>
            </w:r>
            <w:r>
              <w:rPr>
                <w:rFonts w:ascii="Times New Roman" w:hAnsi="Times New Roman"/>
              </w:rPr>
              <w:t>m</w:t>
            </w:r>
            <w:r>
              <w:rPr>
                <w:rFonts w:ascii="Times New Roman" w:hAnsi="Times New Roman"/>
                <w:vertAlign w:val="superscript"/>
              </w:rPr>
              <w:t>2</w:t>
            </w:r>
            <w:r>
              <w:rPr>
                <w:rFonts w:ascii="Times New Roman" w:hAnsi="Times New Roman"/>
              </w:rPr>
              <w:t>，一般固废贮存过程应满足相应防渗漏、防雨淋、防扬尘等环境保护要求</w:t>
            </w:r>
            <w:r>
              <w:rPr>
                <w:rFonts w:ascii="Times New Roman" w:hAnsi="Times New Roman"/>
                <w:szCs w:val="24"/>
              </w:rPr>
              <w:t>，设置环境保护图形标志，贮存场禁止危险废物和生活垃圾混入，作密闭处理，为防止雨水径流进入贮存场内。</w:t>
            </w:r>
          </w:p>
          <w:p w14:paraId="0EC9CEE1">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2.</w:t>
            </w:r>
            <w:r>
              <w:rPr>
                <w:rFonts w:ascii="Times New Roman" w:hAnsi="Times New Roman"/>
                <w:szCs w:val="24"/>
              </w:rPr>
              <w:t>危险固废</w:t>
            </w:r>
          </w:p>
          <w:p w14:paraId="24FB386D">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ascii="Times New Roman" w:hAnsi="Times New Roman"/>
                <w:szCs w:val="24"/>
              </w:rPr>
              <w:t>本项目</w:t>
            </w:r>
            <w:r>
              <w:rPr>
                <w:rFonts w:hint="eastAsia" w:ascii="Times New Roman" w:hAnsi="Times New Roman"/>
                <w:lang w:val="en-US" w:eastAsia="zh-CN"/>
              </w:rPr>
              <w:t>拟</w:t>
            </w:r>
            <w:r>
              <w:rPr>
                <w:rFonts w:ascii="Times New Roman" w:hAnsi="Times New Roman"/>
              </w:rPr>
              <w:t>在</w:t>
            </w:r>
            <w:r>
              <w:rPr>
                <w:rFonts w:hint="eastAsia" w:ascii="Times New Roman" w:hAnsi="Times New Roman"/>
                <w:szCs w:val="21"/>
                <w:lang w:val="en-US" w:eastAsia="zh-CN"/>
              </w:rPr>
              <w:t>生产车间</w:t>
            </w:r>
            <w:r>
              <w:rPr>
                <w:rFonts w:ascii="Times New Roman" w:hAnsi="Times New Roman"/>
              </w:rPr>
              <w:t>设置</w:t>
            </w:r>
            <w:r>
              <w:rPr>
                <w:rFonts w:ascii="Times New Roman" w:hAnsi="Times New Roman"/>
                <w:szCs w:val="24"/>
              </w:rPr>
              <w:t>一个危废仓库，面积约</w:t>
            </w:r>
            <w:r>
              <w:rPr>
                <w:rFonts w:hint="eastAsia" w:ascii="Times New Roman" w:hAnsi="Times New Roman"/>
                <w:szCs w:val="24"/>
                <w:lang w:val="en-US" w:eastAsia="zh-CN"/>
              </w:rPr>
              <w:t>20</w:t>
            </w:r>
            <w:r>
              <w:rPr>
                <w:rFonts w:ascii="Times New Roman" w:hAnsi="Times New Roman"/>
                <w:szCs w:val="24"/>
              </w:rPr>
              <w:t>m</w:t>
            </w:r>
            <w:r>
              <w:rPr>
                <w:rFonts w:ascii="Times New Roman" w:hAnsi="Times New Roman"/>
                <w:szCs w:val="24"/>
                <w:vertAlign w:val="superscript"/>
              </w:rPr>
              <w:t>2</w:t>
            </w:r>
            <w:r>
              <w:rPr>
                <w:rFonts w:ascii="Times New Roman" w:hAnsi="Times New Roman"/>
                <w:szCs w:val="24"/>
              </w:rPr>
              <w:t>，</w:t>
            </w:r>
            <w:r>
              <w:rPr>
                <w:rFonts w:hint="eastAsia" w:ascii="Times New Roman" w:hAnsi="Times New Roman"/>
                <w:szCs w:val="24"/>
                <w:lang w:val="en-US" w:eastAsia="zh-CN"/>
              </w:rPr>
              <w:t>炉渣、废活性炭、</w:t>
            </w:r>
            <w:r>
              <w:rPr>
                <w:rFonts w:hint="eastAsia"/>
                <w:bCs/>
                <w:szCs w:val="24"/>
              </w:rPr>
              <w:t>废</w:t>
            </w:r>
            <w:r>
              <w:rPr>
                <w:rFonts w:hint="eastAsia"/>
                <w:bCs/>
                <w:szCs w:val="24"/>
                <w:lang w:val="en-US" w:eastAsia="zh-CN"/>
              </w:rPr>
              <w:t>机</w:t>
            </w:r>
            <w:r>
              <w:rPr>
                <w:rFonts w:hint="eastAsia"/>
                <w:bCs/>
                <w:szCs w:val="24"/>
              </w:rPr>
              <w:t>油</w:t>
            </w:r>
            <w:r>
              <w:rPr>
                <w:rFonts w:hint="eastAsia" w:ascii="Times New Roman" w:hAnsi="Times New Roman"/>
                <w:szCs w:val="24"/>
              </w:rPr>
              <w:t>、</w:t>
            </w:r>
            <w:r>
              <w:rPr>
                <w:rFonts w:hint="eastAsia" w:ascii="Times New Roman" w:hAnsi="Times New Roman"/>
                <w:szCs w:val="24"/>
                <w:lang w:val="en-US" w:eastAsia="zh-CN"/>
              </w:rPr>
              <w:t>废包装桶</w:t>
            </w:r>
            <w:r>
              <w:rPr>
                <w:rFonts w:hint="eastAsia" w:ascii="Times New Roman" w:hAnsi="Times New Roman"/>
                <w:szCs w:val="24"/>
              </w:rPr>
              <w:t>、</w:t>
            </w:r>
            <w:r>
              <w:rPr>
                <w:rFonts w:hint="eastAsia" w:ascii="Times New Roman" w:hAnsi="Times New Roman"/>
                <w:szCs w:val="24"/>
                <w:lang w:val="en-US" w:eastAsia="zh-CN"/>
              </w:rPr>
              <w:t>废过滤材料、喷淋废液</w:t>
            </w:r>
            <w:r>
              <w:rPr>
                <w:rFonts w:ascii="Times New Roman" w:hAnsi="Times New Roman"/>
                <w:szCs w:val="24"/>
              </w:rPr>
              <w:t>收集后在危废仓库暂存，定期委托有资质单位集中处置，不宜存放过长时间，确需暂存的，应做到以下几点：</w:t>
            </w:r>
          </w:p>
          <w:p w14:paraId="2F909743">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hint="default" w:ascii="Times New Roman" w:hAnsi="Times New Roman" w:eastAsia="仿宋" w:cs="Times New Roman"/>
                <w:szCs w:val="24"/>
              </w:rPr>
            </w:pPr>
            <w:r>
              <w:rPr>
                <w:rFonts w:hint="default" w:ascii="Times New Roman" w:hAnsi="Times New Roman" w:eastAsia="仿宋" w:cs="Times New Roman"/>
                <w:szCs w:val="24"/>
              </w:rPr>
              <w:t>（1）根据《省生态环境厅关于印发&lt;江苏省固体废物全过程环境监管工作意见&gt;的通知》（苏环办</w:t>
            </w:r>
            <w:r>
              <w:rPr>
                <w:rFonts w:hint="default" w:ascii="Times New Roman" w:hAnsi="Times New Roman" w:eastAsia="仿宋" w:cs="Times New Roman"/>
                <w:szCs w:val="24"/>
                <w:lang w:eastAsia="zh-CN"/>
              </w:rPr>
              <w:t>〔2024〕16号</w:t>
            </w:r>
            <w:r>
              <w:rPr>
                <w:rFonts w:hint="default" w:ascii="Times New Roman" w:hAnsi="Times New Roman" w:eastAsia="仿宋" w:cs="Times New Roman"/>
                <w:szCs w:val="24"/>
              </w:rPr>
              <w:t>）、《危险废物贮存污染控制标准》（GB18597-2023）、《危险废物识别标志设置技术规范》（HJ1276-2022）、《省生态环境厅关于做好&lt;危险废物贮存污染控制标准&gt;等标准规范实施后危险废物环境管理衔接工作的通知》（苏环办</w:t>
            </w:r>
            <w:r>
              <w:rPr>
                <w:rFonts w:hint="default" w:ascii="Times New Roman" w:hAnsi="Times New Roman" w:eastAsia="仿宋" w:cs="Times New Roman"/>
                <w:szCs w:val="24"/>
                <w:lang w:eastAsia="zh-CN"/>
              </w:rPr>
              <w:t>〔2023〕154号</w:t>
            </w:r>
            <w:r>
              <w:rPr>
                <w:rFonts w:hint="default" w:ascii="Times New Roman" w:hAnsi="Times New Roman" w:eastAsia="仿宋" w:cs="Times New Roman"/>
                <w:szCs w:val="24"/>
              </w:rPr>
              <w:t>）、《省生态环境厅关于印发江苏省危险废物贮存规范化管理专项整治行动方案的通知》（苏环办</w:t>
            </w:r>
            <w:r>
              <w:rPr>
                <w:rFonts w:hint="default" w:ascii="Times New Roman" w:hAnsi="Times New Roman" w:eastAsia="仿宋" w:cs="Times New Roman"/>
                <w:szCs w:val="24"/>
                <w:lang w:eastAsia="zh-CN"/>
              </w:rPr>
              <w:t>〔2019〕149号</w:t>
            </w:r>
            <w:r>
              <w:rPr>
                <w:rFonts w:hint="default" w:ascii="Times New Roman" w:hAnsi="Times New Roman" w:eastAsia="仿宋" w:cs="Times New Roman"/>
                <w:szCs w:val="24"/>
              </w:rPr>
              <w:t>）要求，对危险废物的贮存要求如下：</w:t>
            </w:r>
          </w:p>
          <w:p w14:paraId="492B3D0B">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①对已产生的危险废物，若暂时不能回收利用或进行处理处置的，其产生单位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20E94647">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 xml:space="preserve">②危险废物的贮存设施应建有堵截泄漏的裙脚，地面与裙脚要用坚固防渗的材料建造，应有防风、防晒、防雨设施； </w:t>
            </w:r>
          </w:p>
          <w:p w14:paraId="09CF52F0">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③基础防渗层为粘土层的，其厚度应在</w:t>
            </w:r>
            <w:r>
              <w:rPr>
                <w:rFonts w:ascii="Times New Roman" w:hAnsi="Times New Roman"/>
                <w:szCs w:val="24"/>
              </w:rPr>
              <w:t>1</w:t>
            </w:r>
            <w:r>
              <w:rPr>
                <w:rFonts w:hint="eastAsia" w:ascii="Times New Roman" w:hAnsi="Times New Roman"/>
                <w:szCs w:val="24"/>
              </w:rPr>
              <w:t>米以上，渗透系数应小于</w:t>
            </w:r>
            <w:r>
              <w:rPr>
                <w:rFonts w:ascii="Times New Roman" w:hAnsi="Times New Roman"/>
                <w:szCs w:val="24"/>
              </w:rPr>
              <w:t>1.0×10</w:t>
            </w:r>
            <w:r>
              <w:rPr>
                <w:rFonts w:ascii="Times New Roman" w:hAnsi="Times New Roman"/>
                <w:szCs w:val="24"/>
                <w:vertAlign w:val="superscript"/>
              </w:rPr>
              <w:t>-7</w:t>
            </w:r>
            <w:r>
              <w:rPr>
                <w:rFonts w:hint="eastAsia" w:ascii="Times New Roman" w:hAnsi="Times New Roman"/>
                <w:szCs w:val="24"/>
              </w:rPr>
              <w:t>厘米</w:t>
            </w:r>
            <w:r>
              <w:rPr>
                <w:rFonts w:ascii="Times New Roman" w:hAnsi="Times New Roman"/>
                <w:szCs w:val="24"/>
              </w:rPr>
              <w:t>/</w:t>
            </w:r>
            <w:r>
              <w:rPr>
                <w:rFonts w:hint="eastAsia" w:ascii="Times New Roman" w:hAnsi="Times New Roman"/>
                <w:szCs w:val="24"/>
              </w:rPr>
              <w:t>秒；基础防渗层也可用厚度在</w:t>
            </w:r>
            <w:r>
              <w:rPr>
                <w:rFonts w:ascii="Times New Roman" w:hAnsi="Times New Roman"/>
                <w:szCs w:val="24"/>
              </w:rPr>
              <w:t>2</w:t>
            </w:r>
            <w:r>
              <w:rPr>
                <w:rFonts w:hint="eastAsia" w:ascii="Times New Roman" w:hAnsi="Times New Roman"/>
                <w:szCs w:val="24"/>
              </w:rPr>
              <w:t>毫米以上的高密度聚乙烯或其他人工防渗材料组成，渗透系数应小于</w:t>
            </w:r>
            <w:r>
              <w:rPr>
                <w:rFonts w:ascii="Times New Roman" w:hAnsi="Times New Roman"/>
                <w:szCs w:val="24"/>
              </w:rPr>
              <w:t>1.0×10</w:t>
            </w:r>
            <w:r>
              <w:rPr>
                <w:rFonts w:ascii="Times New Roman" w:hAnsi="Times New Roman"/>
                <w:szCs w:val="24"/>
                <w:vertAlign w:val="superscript"/>
              </w:rPr>
              <w:t>-10</w:t>
            </w:r>
            <w:r>
              <w:rPr>
                <w:rFonts w:hint="eastAsia" w:ascii="Times New Roman" w:hAnsi="Times New Roman"/>
                <w:szCs w:val="24"/>
              </w:rPr>
              <w:t>厘米</w:t>
            </w:r>
            <w:r>
              <w:rPr>
                <w:rFonts w:ascii="Times New Roman" w:hAnsi="Times New Roman"/>
                <w:szCs w:val="24"/>
              </w:rPr>
              <w:t>/</w:t>
            </w:r>
            <w:r>
              <w:rPr>
                <w:rFonts w:hint="eastAsia" w:ascii="Times New Roman" w:hAnsi="Times New Roman"/>
                <w:szCs w:val="24"/>
              </w:rPr>
              <w:t>秒；</w:t>
            </w:r>
          </w:p>
          <w:p w14:paraId="2A388F22">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④用于存放液体、半固体危险废物的地方，还须有耐腐蚀的硬化地面，地面无裂隙；</w:t>
            </w:r>
          </w:p>
          <w:p w14:paraId="3EAC5C9B">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⑤不相容的危险废物堆放区必须有隔离间隔断；</w:t>
            </w:r>
          </w:p>
          <w:p w14:paraId="464A912A">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仿宋" w:hAnsi="仿宋" w:cs="仿宋"/>
                <w:szCs w:val="24"/>
              </w:rPr>
              <w:t>⑥</w:t>
            </w:r>
            <w:r>
              <w:rPr>
                <w:rFonts w:hint="eastAsia" w:ascii="Times New Roman" w:hAnsi="Times New Roman"/>
                <w:szCs w:val="24"/>
              </w:rPr>
              <w:t>废矿物油等危险废物必须装入完好无损的容器内贮存、运输，防止污染物无组织排放，含</w:t>
            </w:r>
            <w:r>
              <w:rPr>
                <w:rFonts w:hint="eastAsia" w:ascii="Times New Roman" w:hAnsi="Times New Roman"/>
                <w:szCs w:val="24"/>
                <w:lang w:eastAsia="zh-CN"/>
              </w:rPr>
              <w:t>废包装桶</w:t>
            </w:r>
            <w:r>
              <w:rPr>
                <w:rFonts w:hint="eastAsia" w:ascii="Times New Roman" w:hAnsi="Times New Roman"/>
                <w:szCs w:val="24"/>
              </w:rPr>
              <w:t>类危险废物应置于专用包装物或容器内贮存、运输；</w:t>
            </w:r>
          </w:p>
          <w:p w14:paraId="48B1D97C">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仿宋" w:hAnsi="仿宋" w:cs="仿宋"/>
                <w:szCs w:val="24"/>
              </w:rPr>
              <w:t>⑦</w:t>
            </w:r>
            <w:r>
              <w:rPr>
                <w:rFonts w:hint="eastAsia" w:ascii="Times New Roman" w:hAnsi="Times New Roman"/>
                <w:szCs w:val="24"/>
              </w:rPr>
              <w:t>废矿物油贮存设施须设置</w:t>
            </w:r>
            <w:r>
              <w:rPr>
                <w:rFonts w:hint="eastAsia" w:ascii="Times New Roman" w:hAnsi="Times New Roman"/>
                <w:szCs w:val="24"/>
                <w:lang w:eastAsia="zh-CN"/>
              </w:rPr>
              <w:t>泄漏</w:t>
            </w:r>
            <w:r>
              <w:rPr>
                <w:rFonts w:hint="eastAsia" w:ascii="Times New Roman" w:hAnsi="Times New Roman"/>
                <w:szCs w:val="24"/>
              </w:rPr>
              <w:t>液体收集装置；</w:t>
            </w:r>
          </w:p>
          <w:p w14:paraId="02317025">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仿宋" w:hAnsi="仿宋" w:cs="仿宋"/>
                <w:szCs w:val="24"/>
              </w:rPr>
              <w:t>⑧《</w:t>
            </w:r>
            <w:r>
              <w:rPr>
                <w:rFonts w:hint="eastAsia"/>
                <w:szCs w:val="24"/>
              </w:rPr>
              <w:t>危险废物贮存污染控制标准</w:t>
            </w:r>
            <w:r>
              <w:rPr>
                <w:rFonts w:hint="eastAsia" w:ascii="仿宋" w:hAnsi="仿宋" w:cs="仿宋"/>
                <w:szCs w:val="24"/>
              </w:rPr>
              <w:t>》实施之日前已建成投入使用或环境影响评价文件已通过审批的贮存设施，应对照《标准》要求</w:t>
            </w:r>
            <w:r>
              <w:rPr>
                <w:rFonts w:ascii="Times New Roman" w:hAnsi="Times New Roman"/>
                <w:szCs w:val="24"/>
              </w:rPr>
              <w:t>，从危险废物贮存设施类型选择、选址、建设到危险废物包装、分类贮存、污染防治设施运行等方面进行自评，不满足要求的应立即制定整改方案并于2024年1月1日前完成整改，整改过程需注意妥善安置现存的危险废物和整改过程中产生的固体废物；危险废物贮存设施应按照《省生态环境厅关于做好江苏省危险废物全生命周期监控系统上线运行工作的通知》（苏环办</w:t>
            </w:r>
            <w:r>
              <w:rPr>
                <w:rFonts w:hint="eastAsia" w:ascii="Times New Roman" w:hAnsi="Times New Roman"/>
                <w:szCs w:val="24"/>
                <w:lang w:eastAsia="zh-CN"/>
              </w:rPr>
              <w:t>〔2020〕</w:t>
            </w:r>
            <w:r>
              <w:rPr>
                <w:rFonts w:ascii="Times New Roman" w:hAnsi="Times New Roman"/>
                <w:szCs w:val="24"/>
              </w:rPr>
              <w:t>）401号等文件要求设置视频监控，并与中控室联网，视频监控应确保监控画面清晰，视频记录保存时间至少为3个月。</w:t>
            </w:r>
          </w:p>
          <w:p w14:paraId="37340CB3">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w:t>
            </w:r>
            <w:r>
              <w:rPr>
                <w:rFonts w:ascii="Times New Roman" w:hAnsi="Times New Roman"/>
                <w:szCs w:val="24"/>
              </w:rPr>
              <w:t>2</w:t>
            </w:r>
            <w:r>
              <w:rPr>
                <w:rFonts w:hint="eastAsia" w:ascii="Times New Roman" w:hAnsi="Times New Roman"/>
                <w:szCs w:val="24"/>
              </w:rPr>
              <w:t>）根据《危险废物贮存污染控制标准》（</w:t>
            </w:r>
            <w:r>
              <w:rPr>
                <w:rFonts w:ascii="Times New Roman" w:hAnsi="Times New Roman"/>
                <w:szCs w:val="24"/>
              </w:rPr>
              <w:t>GB18597-2023</w:t>
            </w:r>
            <w:r>
              <w:rPr>
                <w:rFonts w:hint="eastAsia" w:ascii="Times New Roman" w:hAnsi="Times New Roman"/>
                <w:szCs w:val="24"/>
              </w:rPr>
              <w:t>），对危险废物的贮存要求如下：</w:t>
            </w:r>
          </w:p>
          <w:p w14:paraId="61CE6405">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①在常温常压下不水解、不挥发的固体废物可在贮存设施内分别堆放；</w:t>
            </w:r>
          </w:p>
          <w:p w14:paraId="272C2737">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②禁止将不相容（相互反应）的危险废物在同一容器内混装；</w:t>
            </w:r>
          </w:p>
          <w:p w14:paraId="48898BC8">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③无法装入常用容器的危险废物可用防漏胶袋等盛装；</w:t>
            </w:r>
          </w:p>
          <w:p w14:paraId="62959A53">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④装载液体、半固体危险废物的容器内须留足够空间，容器顶部与液体表面之间保留</w:t>
            </w:r>
            <w:r>
              <w:rPr>
                <w:rFonts w:ascii="Times New Roman" w:hAnsi="Times New Roman"/>
                <w:szCs w:val="24"/>
              </w:rPr>
              <w:t>100</w:t>
            </w:r>
            <w:r>
              <w:rPr>
                <w:rFonts w:hint="eastAsia" w:ascii="Times New Roman" w:hAnsi="Times New Roman"/>
                <w:szCs w:val="24"/>
              </w:rPr>
              <w:t>毫米以上的空间。新建企业需要新建的危险废物贮存、处置及其他污染防治设施的企业，在建设项目时，应将配套的危险废物贮存、处置及其他污染防治设施一并纳入工程项目设计、施工和验收范畴，依法履行项目立项、规划选址、用地、安全生产、消防、环境保护、建设等相关手续。不得擅自新建危险废物贮存、处置及其他污染防治设施。同时，未经允许不得将危险废物擅自储存在原辅材料及成品仓库中。</w:t>
            </w:r>
          </w:p>
          <w:p w14:paraId="5F611C74">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w:t>
            </w:r>
            <w:r>
              <w:rPr>
                <w:rFonts w:ascii="Times New Roman" w:hAnsi="Times New Roman"/>
                <w:szCs w:val="24"/>
              </w:rPr>
              <w:t>3</w:t>
            </w:r>
            <w:r>
              <w:rPr>
                <w:rFonts w:hint="eastAsia" w:ascii="Times New Roman" w:hAnsi="Times New Roman"/>
                <w:szCs w:val="24"/>
              </w:rPr>
              <w:t>）根据《危险废物贮存污染控制标准》（</w:t>
            </w:r>
            <w:r>
              <w:rPr>
                <w:rFonts w:ascii="Times New Roman" w:hAnsi="Times New Roman"/>
                <w:szCs w:val="24"/>
              </w:rPr>
              <w:t>GB18597-2023</w:t>
            </w:r>
            <w:r>
              <w:rPr>
                <w:rFonts w:hint="eastAsia" w:ascii="Times New Roman" w:hAnsi="Times New Roman"/>
                <w:szCs w:val="24"/>
              </w:rPr>
              <w:t>），危险废物贮存容器要求如下：</w:t>
            </w:r>
          </w:p>
          <w:p w14:paraId="3692D7F0">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①应当使用符合标准的容器盛装危险废物；</w:t>
            </w:r>
          </w:p>
          <w:p w14:paraId="60EA9E29">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②盛装危险废物的容器及材质要满足相应的强度要求；</w:t>
            </w:r>
          </w:p>
          <w:p w14:paraId="5CEDFA12">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③盛装危险废物的容器必须完好无损；</w:t>
            </w:r>
          </w:p>
          <w:p w14:paraId="1385F6A8">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④盛装危险废物的容器材质和衬里要与危险废物相容（不相互反应）；</w:t>
            </w:r>
          </w:p>
          <w:p w14:paraId="1B57C9E0">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⑤液体危险废物可注入开孔直径不超过</w:t>
            </w:r>
            <w:r>
              <w:rPr>
                <w:rFonts w:ascii="Times New Roman" w:hAnsi="Times New Roman"/>
                <w:szCs w:val="24"/>
              </w:rPr>
              <w:t>70</w:t>
            </w:r>
            <w:r>
              <w:rPr>
                <w:rFonts w:hint="eastAsia" w:ascii="Times New Roman" w:hAnsi="Times New Roman"/>
                <w:szCs w:val="24"/>
              </w:rPr>
              <w:t>毫米并有放气孔的桶中。</w:t>
            </w:r>
          </w:p>
          <w:p w14:paraId="625D9E5D">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w:t>
            </w:r>
            <w:r>
              <w:rPr>
                <w:rFonts w:ascii="Times New Roman" w:hAnsi="Times New Roman"/>
                <w:szCs w:val="24"/>
              </w:rPr>
              <w:t>4</w:t>
            </w:r>
            <w:r>
              <w:rPr>
                <w:rFonts w:hint="eastAsia" w:ascii="Times New Roman" w:hAnsi="Times New Roman"/>
                <w:szCs w:val="24"/>
              </w:rPr>
              <w:t>）按照《环境保护图形标志固体废物贮存（处置）场》（</w:t>
            </w:r>
            <w:r>
              <w:rPr>
                <w:rFonts w:ascii="Times New Roman" w:hAnsi="Times New Roman"/>
                <w:szCs w:val="24"/>
              </w:rPr>
              <w:t>GB15562.2-1995</w:t>
            </w:r>
            <w:r>
              <w:rPr>
                <w:rFonts w:hint="eastAsia" w:ascii="Times New Roman" w:hAnsi="Times New Roman"/>
                <w:szCs w:val="24"/>
              </w:rPr>
              <w:t>）和《危险废物识别标志设置技术规范》（</w:t>
            </w:r>
            <w:r>
              <w:rPr>
                <w:rFonts w:ascii="Times New Roman" w:hAnsi="Times New Roman"/>
                <w:szCs w:val="24"/>
              </w:rPr>
              <w:t>HJ1276</w:t>
            </w:r>
            <w:r>
              <w:rPr>
                <w:rFonts w:hint="eastAsia" w:ascii="Times New Roman" w:hAnsi="Times New Roman"/>
                <w:szCs w:val="24"/>
              </w:rPr>
              <w:t>-</w:t>
            </w:r>
            <w:r>
              <w:rPr>
                <w:rFonts w:ascii="Times New Roman" w:hAnsi="Times New Roman"/>
                <w:szCs w:val="24"/>
              </w:rPr>
              <w:t>2022</w:t>
            </w:r>
            <w:r>
              <w:rPr>
                <w:rFonts w:hint="eastAsia" w:ascii="Times New Roman" w:hAnsi="Times New Roman"/>
                <w:szCs w:val="24"/>
              </w:rPr>
              <w:t xml:space="preserve">）设置标志，配备通讯设备、照明设施和消防设施；在出入口、设施内部、危险废物运输车辆通道等关键位置设置视频监控，并与中控室联网。需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 </w:t>
            </w:r>
          </w:p>
          <w:p w14:paraId="527882B3">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w:t>
            </w:r>
            <w:r>
              <w:rPr>
                <w:rFonts w:ascii="Times New Roman" w:hAnsi="Times New Roman"/>
                <w:szCs w:val="24"/>
              </w:rPr>
              <w:t>5</w:t>
            </w:r>
            <w:r>
              <w:rPr>
                <w:rFonts w:hint="eastAsia" w:ascii="Times New Roman" w:hAnsi="Times New Roman"/>
                <w:szCs w:val="24"/>
              </w:rPr>
              <w:t>）固废处置要求</w:t>
            </w:r>
          </w:p>
          <w:p w14:paraId="194DBFE3">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①项目在危险废物的转移时，按有关规定签订危险废物转移单，并需得到有关环境行政主管部门的批准。同时，在危险固废转移前，要设立专门场地严格按要求保存，不得随意堆放，防止对周围环境造成影响。</w:t>
            </w:r>
          </w:p>
          <w:p w14:paraId="01BFC86E">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②处置单位应严格按照有关处置规定对废物进行处置，不得产生二次污染。</w:t>
            </w:r>
          </w:p>
          <w:p w14:paraId="21E28480">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由上可见，项目的固体废物得到了妥善</w:t>
            </w:r>
            <w:r>
              <w:rPr>
                <w:rFonts w:hint="eastAsia" w:ascii="Times New Roman" w:hAnsi="Times New Roman"/>
                <w:szCs w:val="24"/>
                <w:lang w:eastAsia="zh-CN"/>
              </w:rPr>
              <w:t>地</w:t>
            </w:r>
            <w:r>
              <w:rPr>
                <w:rFonts w:hint="eastAsia" w:ascii="Times New Roman" w:hAnsi="Times New Roman"/>
                <w:szCs w:val="24"/>
              </w:rPr>
              <w:t>处置。但本项目危险固废在厂内暂存期间如管理不善，发生流失、渗漏，易造成土壤及水环境污染。因此，固体废物在厂内暂存期间应根据《江苏省危险固废管理暂行办法》加强管理，堆放场地应防渗、防流失措施。</w:t>
            </w:r>
          </w:p>
          <w:p w14:paraId="2E84F425">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w:t>
            </w:r>
            <w:r>
              <w:rPr>
                <w:rFonts w:ascii="Times New Roman" w:hAnsi="Times New Roman"/>
                <w:szCs w:val="24"/>
              </w:rPr>
              <w:t>6</w:t>
            </w:r>
            <w:r>
              <w:rPr>
                <w:rFonts w:hint="eastAsia" w:ascii="Times New Roman" w:hAnsi="Times New Roman"/>
                <w:szCs w:val="24"/>
              </w:rPr>
              <w:t>）危险废物运输时的中转、装卸过程应遵守以下技术要求：</w:t>
            </w:r>
          </w:p>
          <w:p w14:paraId="770B86A3">
            <w:pPr>
              <w:pStyle w:val="16"/>
              <w:keepNext w:val="0"/>
              <w:pageBreakBefore w:val="0"/>
              <w:kinsoku/>
              <w:wordWrap/>
              <w:overflowPunct/>
              <w:topLinePunct w:val="0"/>
              <w:autoSpaceDE/>
              <w:autoSpaceDN/>
              <w:bidi w:val="0"/>
              <w:spacing w:before="0" w:beforeAutospacing="0" w:after="0" w:afterAutospacing="0" w:line="480" w:lineRule="exact"/>
              <w:ind w:firstLine="480" w:firstLineChars="200"/>
              <w:jc w:val="both"/>
              <w:textAlignment w:val="auto"/>
              <w:rPr>
                <w:rFonts w:ascii="Times New Roman" w:hAnsi="Times New Roman"/>
                <w:szCs w:val="24"/>
              </w:rPr>
            </w:pPr>
            <w:r>
              <w:rPr>
                <w:rFonts w:hint="eastAsia" w:ascii="Times New Roman" w:hAnsi="Times New Roman"/>
                <w:szCs w:val="24"/>
              </w:rPr>
              <w:t>①卸货区的工作人员应熟悉废物的危险特性，并配备适当的个人防护装备，装卸剧毒废物应配备特殊的防护装备。</w:t>
            </w:r>
          </w:p>
          <w:p w14:paraId="7EF605EA">
            <w:pPr>
              <w:keepNext w:val="0"/>
              <w:keepLines/>
              <w:pageBreakBefore w:val="0"/>
              <w:kinsoku/>
              <w:wordWrap/>
              <w:overflowPunct/>
              <w:topLinePunct w:val="0"/>
              <w:autoSpaceDE/>
              <w:autoSpaceDN/>
              <w:bidi w:val="0"/>
              <w:adjustRightInd w:val="0"/>
              <w:snapToGrid w:val="0"/>
              <w:spacing w:line="480" w:lineRule="exact"/>
              <w:ind w:firstLine="480" w:firstLineChars="200"/>
              <w:textAlignment w:val="auto"/>
            </w:pPr>
            <w:r>
              <w:rPr>
                <w:rFonts w:hint="eastAsia"/>
              </w:rPr>
              <w:t>②装卸区应配备必要的消防设备和设施，并设置明显的指示标志。</w:t>
            </w:r>
          </w:p>
        </w:tc>
      </w:tr>
    </w:tbl>
    <w:p w14:paraId="015AA686">
      <w:pPr>
        <w:pStyle w:val="3"/>
        <w:numPr>
          <w:ilvl w:val="0"/>
          <w:numId w:val="0"/>
        </w:numPr>
        <w:ind w:left="1680"/>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8158"/>
      </w:tblGrid>
      <w:tr w14:paraId="260C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8" w:hRule="atLeast"/>
          <w:jc w:val="center"/>
        </w:trPr>
        <w:tc>
          <w:tcPr>
            <w:tcW w:w="903" w:type="dxa"/>
          </w:tcPr>
          <w:p w14:paraId="71527378">
            <w:pPr>
              <w:pStyle w:val="2"/>
            </w:pPr>
          </w:p>
        </w:tc>
        <w:tc>
          <w:tcPr>
            <w:tcW w:w="8158" w:type="dxa"/>
          </w:tcPr>
          <w:p w14:paraId="5EAE9C13">
            <w:pPr>
              <w:pStyle w:val="16"/>
              <w:spacing w:before="0" w:beforeAutospacing="0" w:after="0" w:afterAutospacing="0" w:line="240" w:lineRule="auto"/>
              <w:ind w:firstLine="480" w:firstLineChars="200"/>
              <w:rPr>
                <w:rFonts w:ascii="Times New Roman" w:hAnsi="Times New Roman"/>
                <w:b/>
                <w:sz w:val="21"/>
                <w:szCs w:val="21"/>
              </w:rPr>
            </w:pPr>
            <w:r>
              <w:rPr>
                <w:rFonts w:ascii="Times New Roman" w:hAnsi="Times New Roman"/>
                <w:szCs w:val="24"/>
              </w:rPr>
              <w:t>建设项目危废贮存面积可行性分析见表4-</w:t>
            </w:r>
            <w:r>
              <w:rPr>
                <w:rFonts w:hint="eastAsia" w:ascii="Times New Roman" w:hAnsi="Times New Roman"/>
                <w:szCs w:val="24"/>
                <w:lang w:val="en-US" w:eastAsia="zh-CN"/>
              </w:rPr>
              <w:t>28</w:t>
            </w:r>
            <w:r>
              <w:rPr>
                <w:rFonts w:ascii="Times New Roman" w:hAnsi="Times New Roman"/>
                <w:szCs w:val="24"/>
              </w:rPr>
              <w:t>。</w:t>
            </w:r>
          </w:p>
          <w:p w14:paraId="0E7AF08F">
            <w:pPr>
              <w:pStyle w:val="16"/>
              <w:spacing w:before="0" w:beforeAutospacing="0" w:after="0" w:afterAutospacing="0" w:line="240" w:lineRule="auto"/>
              <w:jc w:val="center"/>
              <w:rPr>
                <w:rFonts w:ascii="Times New Roman" w:hAnsi="Times New Roman"/>
                <w:sz w:val="21"/>
                <w:szCs w:val="21"/>
              </w:rPr>
            </w:pPr>
            <w:r>
              <w:rPr>
                <w:rFonts w:ascii="Times New Roman" w:hAnsi="Times New Roman"/>
                <w:b/>
                <w:sz w:val="21"/>
                <w:szCs w:val="21"/>
              </w:rPr>
              <w:t>表4-</w:t>
            </w:r>
            <w:r>
              <w:rPr>
                <w:rFonts w:hint="eastAsia" w:ascii="Times New Roman" w:hAnsi="Times New Roman"/>
                <w:b/>
                <w:sz w:val="21"/>
                <w:szCs w:val="21"/>
                <w:lang w:val="en-US" w:eastAsia="zh-CN"/>
              </w:rPr>
              <w:t>28</w:t>
            </w:r>
            <w:r>
              <w:rPr>
                <w:rFonts w:ascii="Times New Roman" w:hAnsi="Times New Roman"/>
                <w:b/>
                <w:sz w:val="21"/>
                <w:szCs w:val="21"/>
              </w:rPr>
              <w:t xml:space="preserve">  </w:t>
            </w:r>
            <w:r>
              <w:rPr>
                <w:rFonts w:hint="eastAsia" w:ascii="Times New Roman" w:hAnsi="Times New Roman"/>
                <w:b/>
                <w:sz w:val="21"/>
                <w:szCs w:val="21"/>
                <w:lang w:val="en-US" w:eastAsia="zh-CN"/>
              </w:rPr>
              <w:t>本项目</w:t>
            </w:r>
            <w:r>
              <w:rPr>
                <w:rFonts w:ascii="Times New Roman" w:hAnsi="Times New Roman"/>
                <w:b/>
                <w:sz w:val="21"/>
                <w:szCs w:val="21"/>
              </w:rPr>
              <w:t>危险废物贮存场所基本情况表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289"/>
              <w:gridCol w:w="659"/>
              <w:gridCol w:w="921"/>
              <w:gridCol w:w="921"/>
              <w:gridCol w:w="1208"/>
              <w:gridCol w:w="1234"/>
              <w:gridCol w:w="1137"/>
            </w:tblGrid>
            <w:tr w14:paraId="6958C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34A61659">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序号</w:t>
                  </w:r>
                </w:p>
              </w:tc>
              <w:tc>
                <w:tcPr>
                  <w:tcW w:w="812" w:type="pct"/>
                  <w:tcBorders>
                    <w:tl2br w:val="nil"/>
                    <w:tr2bl w:val="nil"/>
                  </w:tcBorders>
                  <w:vAlign w:val="center"/>
                </w:tcPr>
                <w:p w14:paraId="2A91F427">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危险废物名称</w:t>
                  </w:r>
                </w:p>
              </w:tc>
              <w:tc>
                <w:tcPr>
                  <w:tcW w:w="415" w:type="pct"/>
                  <w:tcBorders>
                    <w:tl2br w:val="nil"/>
                    <w:tr2bl w:val="nil"/>
                  </w:tcBorders>
                  <w:vAlign w:val="center"/>
                </w:tcPr>
                <w:p w14:paraId="15EB755A">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贮存方式</w:t>
                  </w:r>
                </w:p>
              </w:tc>
              <w:tc>
                <w:tcPr>
                  <w:tcW w:w="580" w:type="pct"/>
                  <w:tcBorders>
                    <w:tl2br w:val="nil"/>
                    <w:tr2bl w:val="nil"/>
                  </w:tcBorders>
                  <w:vAlign w:val="center"/>
                </w:tcPr>
                <w:p w14:paraId="4D2C556E">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贮存能力（t）</w:t>
                  </w:r>
                </w:p>
              </w:tc>
              <w:tc>
                <w:tcPr>
                  <w:tcW w:w="580" w:type="pct"/>
                  <w:tcBorders>
                    <w:tl2br w:val="nil"/>
                    <w:tr2bl w:val="nil"/>
                  </w:tcBorders>
                  <w:vAlign w:val="center"/>
                </w:tcPr>
                <w:p w14:paraId="32C87C43">
                  <w:pPr>
                    <w:pStyle w:val="16"/>
                    <w:spacing w:before="0" w:beforeAutospacing="0" w:after="0" w:afterAutospacing="0" w:line="240" w:lineRule="auto"/>
                    <w:jc w:val="center"/>
                    <w:rPr>
                      <w:rFonts w:hint="default" w:ascii="Times New Roman" w:hAnsi="Times New Roman" w:eastAsia="仿宋"/>
                      <w:b/>
                      <w:bCs/>
                      <w:sz w:val="21"/>
                      <w:szCs w:val="21"/>
                      <w:lang w:val="en-US" w:eastAsia="zh-CN"/>
                    </w:rPr>
                  </w:pPr>
                  <w:r>
                    <w:rPr>
                      <w:rFonts w:hint="eastAsia" w:ascii="Times New Roman" w:hAnsi="Times New Roman"/>
                      <w:b/>
                      <w:bCs/>
                      <w:sz w:val="21"/>
                      <w:szCs w:val="21"/>
                      <w:lang w:val="en-US" w:eastAsia="zh-CN"/>
                    </w:rPr>
                    <w:t>最大贮存量（t）</w:t>
                  </w:r>
                </w:p>
              </w:tc>
              <w:tc>
                <w:tcPr>
                  <w:tcW w:w="759" w:type="pct"/>
                  <w:tcBorders>
                    <w:tl2br w:val="nil"/>
                    <w:tr2bl w:val="nil"/>
                  </w:tcBorders>
                  <w:vAlign w:val="center"/>
                </w:tcPr>
                <w:p w14:paraId="524D0AD2">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容器种类</w:t>
                  </w:r>
                </w:p>
              </w:tc>
              <w:tc>
                <w:tcPr>
                  <w:tcW w:w="777" w:type="pct"/>
                  <w:tcBorders>
                    <w:tl2br w:val="nil"/>
                    <w:tr2bl w:val="nil"/>
                  </w:tcBorders>
                  <w:vAlign w:val="center"/>
                </w:tcPr>
                <w:p w14:paraId="42938985">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占地面积（m</w:t>
                  </w:r>
                  <w:r>
                    <w:rPr>
                      <w:rFonts w:ascii="Times New Roman" w:hAnsi="Times New Roman"/>
                      <w:b/>
                      <w:bCs/>
                      <w:sz w:val="21"/>
                      <w:szCs w:val="21"/>
                      <w:vertAlign w:val="superscript"/>
                    </w:rPr>
                    <w:t>2</w:t>
                  </w:r>
                  <w:r>
                    <w:rPr>
                      <w:rFonts w:ascii="Times New Roman" w:hAnsi="Times New Roman"/>
                      <w:b/>
                      <w:bCs/>
                      <w:sz w:val="21"/>
                      <w:szCs w:val="21"/>
                    </w:rPr>
                    <w:t>）</w:t>
                  </w:r>
                </w:p>
              </w:tc>
              <w:tc>
                <w:tcPr>
                  <w:tcW w:w="716" w:type="pct"/>
                  <w:tcBorders>
                    <w:tl2br w:val="nil"/>
                    <w:tr2bl w:val="nil"/>
                  </w:tcBorders>
                  <w:vAlign w:val="center"/>
                </w:tcPr>
                <w:p w14:paraId="63B100C2">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最大贮存周期</w:t>
                  </w:r>
                </w:p>
              </w:tc>
            </w:tr>
            <w:tr w14:paraId="4AD1A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58" w:type="pct"/>
                  <w:tcBorders>
                    <w:tl2br w:val="nil"/>
                    <w:tr2bl w:val="nil"/>
                  </w:tcBorders>
                  <w:vAlign w:val="center"/>
                </w:tcPr>
                <w:p w14:paraId="49AADE5B">
                  <w:pPr>
                    <w:spacing w:line="240" w:lineRule="auto"/>
                    <w:jc w:val="center"/>
                    <w:rPr>
                      <w:rFonts w:ascii="Times New Roman" w:hAnsi="Times New Roman"/>
                      <w:sz w:val="21"/>
                      <w:szCs w:val="21"/>
                    </w:rPr>
                  </w:pPr>
                  <w:r>
                    <w:rPr>
                      <w:kern w:val="0"/>
                      <w:sz w:val="21"/>
                      <w:szCs w:val="21"/>
                    </w:rPr>
                    <w:t>1</w:t>
                  </w:r>
                </w:p>
              </w:tc>
              <w:tc>
                <w:tcPr>
                  <w:tcW w:w="812" w:type="pct"/>
                  <w:tcBorders>
                    <w:tl2br w:val="nil"/>
                    <w:tr2bl w:val="nil"/>
                  </w:tcBorders>
                  <w:vAlign w:val="center"/>
                </w:tcPr>
                <w:p w14:paraId="6CB1013D">
                  <w:pPr>
                    <w:spacing w:line="300" w:lineRule="exact"/>
                    <w:jc w:val="center"/>
                    <w:rPr>
                      <w:rFonts w:hint="eastAsia" w:eastAsia="仿宋"/>
                      <w:kern w:val="0"/>
                      <w:sz w:val="21"/>
                      <w:szCs w:val="21"/>
                      <w:lang w:eastAsia="zh-CN"/>
                    </w:rPr>
                  </w:pPr>
                  <w:r>
                    <w:rPr>
                      <w:rFonts w:hint="eastAsia" w:cs="Times New Roman"/>
                      <w:kern w:val="0"/>
                      <w:sz w:val="21"/>
                      <w:szCs w:val="21"/>
                      <w:lang w:eastAsia="zh-CN"/>
                    </w:rPr>
                    <w:t>炉渣</w:t>
                  </w:r>
                </w:p>
              </w:tc>
              <w:tc>
                <w:tcPr>
                  <w:tcW w:w="415" w:type="pct"/>
                  <w:tcBorders>
                    <w:tl2br w:val="nil"/>
                    <w:tr2bl w:val="nil"/>
                  </w:tcBorders>
                  <w:vAlign w:val="center"/>
                </w:tcPr>
                <w:p w14:paraId="26876630">
                  <w:pPr>
                    <w:pStyle w:val="16"/>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lang w:val="en-US" w:eastAsia="zh-CN"/>
                    </w:rPr>
                    <w:t>袋</w:t>
                  </w:r>
                  <w:r>
                    <w:rPr>
                      <w:rFonts w:hint="eastAsia" w:ascii="Times New Roman" w:hAnsi="Times New Roman"/>
                      <w:sz w:val="21"/>
                      <w:szCs w:val="21"/>
                    </w:rPr>
                    <w:t>装</w:t>
                  </w:r>
                </w:p>
              </w:tc>
              <w:tc>
                <w:tcPr>
                  <w:tcW w:w="580" w:type="pct"/>
                  <w:tcBorders>
                    <w:tl2br w:val="nil"/>
                    <w:tr2bl w:val="nil"/>
                  </w:tcBorders>
                  <w:shd w:val="clear" w:color="auto" w:fill="auto"/>
                  <w:vAlign w:val="center"/>
                </w:tcPr>
                <w:p w14:paraId="772C24F6">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30</w:t>
                  </w:r>
                </w:p>
              </w:tc>
              <w:tc>
                <w:tcPr>
                  <w:tcW w:w="580" w:type="pct"/>
                  <w:tcBorders>
                    <w:tl2br w:val="nil"/>
                    <w:tr2bl w:val="nil"/>
                  </w:tcBorders>
                  <w:shd w:val="clear" w:color="auto" w:fill="auto"/>
                  <w:vAlign w:val="center"/>
                </w:tcPr>
                <w:p w14:paraId="3C99D83D">
                  <w:pPr>
                    <w:spacing w:line="300" w:lineRule="exact"/>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7.5</w:t>
                  </w:r>
                </w:p>
              </w:tc>
              <w:tc>
                <w:tcPr>
                  <w:tcW w:w="759" w:type="pct"/>
                  <w:tcBorders>
                    <w:tl2br w:val="nil"/>
                    <w:tr2bl w:val="nil"/>
                  </w:tcBorders>
                  <w:vAlign w:val="center"/>
                </w:tcPr>
                <w:p w14:paraId="6D97B84C">
                  <w:pPr>
                    <w:pStyle w:val="16"/>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lang w:val="en-US" w:eastAsia="zh-CN"/>
                    </w:rPr>
                    <w:t>塑料袋</w:t>
                  </w:r>
                </w:p>
              </w:tc>
              <w:tc>
                <w:tcPr>
                  <w:tcW w:w="777" w:type="pct"/>
                  <w:tcBorders>
                    <w:tl2br w:val="nil"/>
                    <w:tr2bl w:val="nil"/>
                  </w:tcBorders>
                  <w:vAlign w:val="center"/>
                </w:tcPr>
                <w:p w14:paraId="3B3DF764">
                  <w:pPr>
                    <w:pStyle w:val="16"/>
                    <w:spacing w:before="0" w:beforeAutospacing="0" w:after="0" w:afterAutospacing="0"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8</w:t>
                  </w:r>
                </w:p>
              </w:tc>
              <w:tc>
                <w:tcPr>
                  <w:tcW w:w="716" w:type="pct"/>
                  <w:vMerge w:val="restart"/>
                  <w:tcBorders>
                    <w:tl2br w:val="nil"/>
                    <w:tr2bl w:val="nil"/>
                  </w:tcBorders>
                  <w:vAlign w:val="center"/>
                </w:tcPr>
                <w:p w14:paraId="66594F78">
                  <w:pPr>
                    <w:spacing w:line="300" w:lineRule="exact"/>
                    <w:jc w:val="center"/>
                    <w:rPr>
                      <w:sz w:val="21"/>
                      <w:szCs w:val="21"/>
                    </w:rPr>
                  </w:pPr>
                  <w:r>
                    <w:rPr>
                      <w:sz w:val="21"/>
                      <w:szCs w:val="21"/>
                    </w:rPr>
                    <w:t>3个月</w:t>
                  </w:r>
                </w:p>
              </w:tc>
            </w:tr>
            <w:tr w14:paraId="5E91F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58" w:type="pct"/>
                  <w:tcBorders>
                    <w:tl2br w:val="nil"/>
                    <w:tr2bl w:val="nil"/>
                  </w:tcBorders>
                  <w:shd w:val="clear" w:color="auto" w:fill="auto"/>
                  <w:vAlign w:val="center"/>
                </w:tcPr>
                <w:p w14:paraId="2F506737">
                  <w:pPr>
                    <w:spacing w:line="240" w:lineRule="auto"/>
                    <w:jc w:val="center"/>
                    <w:rPr>
                      <w:rFonts w:ascii="Times New Roman" w:hAnsi="Times New Roman" w:eastAsia="仿宋" w:cs="Times New Roman"/>
                      <w:kern w:val="2"/>
                      <w:sz w:val="21"/>
                      <w:szCs w:val="21"/>
                      <w:lang w:val="en-US" w:eastAsia="zh-CN" w:bidi="ar-SA"/>
                    </w:rPr>
                  </w:pPr>
                  <w:r>
                    <w:rPr>
                      <w:kern w:val="0"/>
                      <w:sz w:val="21"/>
                      <w:szCs w:val="21"/>
                    </w:rPr>
                    <w:t>2</w:t>
                  </w:r>
                </w:p>
              </w:tc>
              <w:tc>
                <w:tcPr>
                  <w:tcW w:w="812" w:type="pct"/>
                  <w:tcBorders>
                    <w:tl2br w:val="nil"/>
                    <w:tr2bl w:val="nil"/>
                  </w:tcBorders>
                  <w:vAlign w:val="center"/>
                </w:tcPr>
                <w:p w14:paraId="19FA5B02">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废过滤材料</w:t>
                  </w:r>
                </w:p>
              </w:tc>
              <w:tc>
                <w:tcPr>
                  <w:tcW w:w="415" w:type="pct"/>
                  <w:tcBorders>
                    <w:tl2br w:val="nil"/>
                    <w:tr2bl w:val="nil"/>
                  </w:tcBorders>
                  <w:vAlign w:val="center"/>
                </w:tcPr>
                <w:p w14:paraId="5BA04B07">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袋装</w:t>
                  </w:r>
                </w:p>
              </w:tc>
              <w:tc>
                <w:tcPr>
                  <w:tcW w:w="580" w:type="pct"/>
                  <w:tcBorders>
                    <w:tl2br w:val="nil"/>
                    <w:tr2bl w:val="nil"/>
                  </w:tcBorders>
                  <w:shd w:val="clear" w:color="auto" w:fill="auto"/>
                  <w:vAlign w:val="center"/>
                </w:tcPr>
                <w:p w14:paraId="4361527D">
                  <w:pPr>
                    <w:spacing w:line="300" w:lineRule="exact"/>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0.1</w:t>
                  </w:r>
                </w:p>
              </w:tc>
              <w:tc>
                <w:tcPr>
                  <w:tcW w:w="580" w:type="pct"/>
                  <w:tcBorders>
                    <w:tl2br w:val="nil"/>
                    <w:tr2bl w:val="nil"/>
                  </w:tcBorders>
                  <w:shd w:val="clear" w:color="auto" w:fill="auto"/>
                  <w:vAlign w:val="center"/>
                </w:tcPr>
                <w:p w14:paraId="01785EA9">
                  <w:pPr>
                    <w:spacing w:line="300" w:lineRule="exact"/>
                    <w:jc w:val="center"/>
                    <w:rPr>
                      <w:rFonts w:hint="default" w:cs="Times New Roman"/>
                      <w:kern w:val="0"/>
                      <w:sz w:val="21"/>
                      <w:szCs w:val="21"/>
                      <w:lang w:val="en-US" w:eastAsia="zh-CN"/>
                    </w:rPr>
                  </w:pPr>
                  <w:r>
                    <w:rPr>
                      <w:rFonts w:hint="eastAsia" w:cs="Times New Roman"/>
                      <w:kern w:val="0"/>
                      <w:sz w:val="21"/>
                      <w:szCs w:val="21"/>
                      <w:lang w:val="en-US" w:eastAsia="zh-CN"/>
                    </w:rPr>
                    <w:t>0.025</w:t>
                  </w:r>
                </w:p>
              </w:tc>
              <w:tc>
                <w:tcPr>
                  <w:tcW w:w="759" w:type="pct"/>
                  <w:tcBorders>
                    <w:tl2br w:val="nil"/>
                    <w:tr2bl w:val="nil"/>
                  </w:tcBorders>
                  <w:vAlign w:val="center"/>
                </w:tcPr>
                <w:p w14:paraId="6C32346B">
                  <w:pPr>
                    <w:pStyle w:val="16"/>
                    <w:spacing w:before="0" w:beforeAutospacing="0" w:after="0" w:afterAutospacing="0"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塑料袋</w:t>
                  </w:r>
                </w:p>
              </w:tc>
              <w:tc>
                <w:tcPr>
                  <w:tcW w:w="777" w:type="pct"/>
                  <w:tcBorders>
                    <w:tl2br w:val="nil"/>
                    <w:tr2bl w:val="nil"/>
                  </w:tcBorders>
                  <w:vAlign w:val="center"/>
                </w:tcPr>
                <w:p w14:paraId="55930FCD">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w:t>
                  </w:r>
                </w:p>
              </w:tc>
              <w:tc>
                <w:tcPr>
                  <w:tcW w:w="716" w:type="pct"/>
                  <w:vMerge w:val="continue"/>
                  <w:tcBorders>
                    <w:tl2br w:val="nil"/>
                    <w:tr2bl w:val="nil"/>
                  </w:tcBorders>
                  <w:vAlign w:val="center"/>
                </w:tcPr>
                <w:p w14:paraId="6F855484">
                  <w:pPr>
                    <w:spacing w:line="300" w:lineRule="exact"/>
                    <w:jc w:val="center"/>
                    <w:rPr>
                      <w:sz w:val="21"/>
                      <w:szCs w:val="21"/>
                    </w:rPr>
                  </w:pPr>
                </w:p>
              </w:tc>
            </w:tr>
            <w:tr w14:paraId="1135C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58" w:type="pct"/>
                  <w:tcBorders>
                    <w:tl2br w:val="nil"/>
                    <w:tr2bl w:val="nil"/>
                  </w:tcBorders>
                  <w:shd w:val="clear" w:color="auto" w:fill="auto"/>
                  <w:vAlign w:val="center"/>
                </w:tcPr>
                <w:p w14:paraId="1FB5FCEC">
                  <w:pPr>
                    <w:spacing w:line="240" w:lineRule="auto"/>
                    <w:jc w:val="center"/>
                    <w:rPr>
                      <w:rFonts w:ascii="Times New Roman" w:hAnsi="Times New Roman" w:eastAsia="仿宋" w:cs="Times New Roman"/>
                      <w:kern w:val="2"/>
                      <w:sz w:val="21"/>
                      <w:szCs w:val="21"/>
                      <w:lang w:val="en-US" w:eastAsia="zh-CN" w:bidi="ar-SA"/>
                    </w:rPr>
                  </w:pPr>
                  <w:r>
                    <w:rPr>
                      <w:rFonts w:hint="eastAsia"/>
                      <w:kern w:val="0"/>
                      <w:sz w:val="21"/>
                      <w:szCs w:val="21"/>
                    </w:rPr>
                    <w:t>3</w:t>
                  </w:r>
                </w:p>
              </w:tc>
              <w:tc>
                <w:tcPr>
                  <w:tcW w:w="812" w:type="pct"/>
                  <w:tcBorders>
                    <w:tl2br w:val="nil"/>
                    <w:tr2bl w:val="nil"/>
                  </w:tcBorders>
                  <w:vAlign w:val="center"/>
                </w:tcPr>
                <w:p w14:paraId="21488C64">
                  <w:pPr>
                    <w:spacing w:line="300" w:lineRule="exact"/>
                    <w:jc w:val="center"/>
                    <w:rPr>
                      <w:rFonts w:hint="eastAsia" w:eastAsia="仿宋"/>
                      <w:kern w:val="0"/>
                      <w:sz w:val="21"/>
                      <w:szCs w:val="21"/>
                      <w:lang w:eastAsia="zh-CN"/>
                    </w:rPr>
                  </w:pPr>
                  <w:r>
                    <w:rPr>
                      <w:rFonts w:hint="eastAsia" w:ascii="Times New Roman" w:hAnsi="Times New Roman" w:cs="Times New Roman"/>
                      <w:kern w:val="0"/>
                      <w:sz w:val="21"/>
                      <w:szCs w:val="21"/>
                    </w:rPr>
                    <w:t>废包装桶</w:t>
                  </w:r>
                </w:p>
              </w:tc>
              <w:tc>
                <w:tcPr>
                  <w:tcW w:w="415" w:type="pct"/>
                  <w:tcBorders>
                    <w:tl2br w:val="nil"/>
                    <w:tr2bl w:val="nil"/>
                  </w:tcBorders>
                  <w:vAlign w:val="center"/>
                </w:tcPr>
                <w:p w14:paraId="4CDD9B7B">
                  <w:pPr>
                    <w:pStyle w:val="16"/>
                    <w:spacing w:before="0" w:beforeAutospacing="0" w:after="0" w:afterAutospacing="0" w:line="240" w:lineRule="auto"/>
                    <w:jc w:val="center"/>
                    <w:rPr>
                      <w:rFonts w:hint="eastAsia" w:ascii="Times New Roman" w:hAnsi="Times New Roman" w:eastAsia="仿宋"/>
                      <w:sz w:val="21"/>
                      <w:szCs w:val="21"/>
                      <w:lang w:eastAsia="zh-CN"/>
                    </w:rPr>
                  </w:pPr>
                  <w:r>
                    <w:rPr>
                      <w:rFonts w:hint="eastAsia" w:ascii="Times New Roman" w:hAnsi="Times New Roman"/>
                      <w:sz w:val="21"/>
                      <w:szCs w:val="21"/>
                      <w:lang w:val="en-US" w:eastAsia="zh-CN"/>
                    </w:rPr>
                    <w:t>袋</w:t>
                  </w:r>
                  <w:r>
                    <w:rPr>
                      <w:rFonts w:hint="eastAsia" w:ascii="Times New Roman" w:hAnsi="Times New Roman"/>
                      <w:sz w:val="21"/>
                      <w:szCs w:val="21"/>
                    </w:rPr>
                    <w:t>装</w:t>
                  </w:r>
                </w:p>
              </w:tc>
              <w:tc>
                <w:tcPr>
                  <w:tcW w:w="580" w:type="pct"/>
                  <w:tcBorders>
                    <w:tl2br w:val="nil"/>
                    <w:tr2bl w:val="nil"/>
                  </w:tcBorders>
                  <w:shd w:val="clear" w:color="auto" w:fill="auto"/>
                  <w:vAlign w:val="center"/>
                </w:tcPr>
                <w:p w14:paraId="45B997B2">
                  <w:pPr>
                    <w:spacing w:line="300" w:lineRule="exact"/>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w:t>
                  </w:r>
                  <w:r>
                    <w:rPr>
                      <w:rFonts w:hint="eastAsia" w:cs="Times New Roman"/>
                      <w:kern w:val="0"/>
                      <w:sz w:val="21"/>
                      <w:szCs w:val="21"/>
                      <w:lang w:val="en-US" w:eastAsia="zh-CN"/>
                    </w:rPr>
                    <w:t>2</w:t>
                  </w:r>
                  <w:r>
                    <w:rPr>
                      <w:rFonts w:hint="eastAsia" w:ascii="Times New Roman" w:hAnsi="Times New Roman" w:cs="Times New Roman"/>
                      <w:kern w:val="0"/>
                      <w:sz w:val="21"/>
                      <w:szCs w:val="21"/>
                      <w:lang w:val="en-US" w:eastAsia="zh-CN"/>
                    </w:rPr>
                    <w:t>5</w:t>
                  </w:r>
                </w:p>
              </w:tc>
              <w:tc>
                <w:tcPr>
                  <w:tcW w:w="580" w:type="pct"/>
                  <w:tcBorders>
                    <w:tl2br w:val="nil"/>
                    <w:tr2bl w:val="nil"/>
                  </w:tcBorders>
                  <w:shd w:val="clear" w:color="auto" w:fill="auto"/>
                  <w:vAlign w:val="center"/>
                </w:tcPr>
                <w:p w14:paraId="39A3ADEE">
                  <w:pPr>
                    <w:spacing w:line="300" w:lineRule="exact"/>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0.0625</w:t>
                  </w:r>
                </w:p>
              </w:tc>
              <w:tc>
                <w:tcPr>
                  <w:tcW w:w="759" w:type="pct"/>
                  <w:tcBorders>
                    <w:tl2br w:val="nil"/>
                    <w:tr2bl w:val="nil"/>
                  </w:tcBorders>
                  <w:vAlign w:val="center"/>
                </w:tcPr>
                <w:p w14:paraId="110C7E65">
                  <w:pPr>
                    <w:pStyle w:val="16"/>
                    <w:spacing w:before="0" w:beforeAutospacing="0" w:after="0" w:afterAutospacing="0" w:line="240" w:lineRule="auto"/>
                    <w:jc w:val="center"/>
                    <w:rPr>
                      <w:rFonts w:hint="eastAsia" w:ascii="Times New Roman" w:hAnsi="Times New Roman" w:eastAsia="仿宋"/>
                      <w:sz w:val="21"/>
                      <w:szCs w:val="21"/>
                      <w:lang w:eastAsia="zh-CN"/>
                    </w:rPr>
                  </w:pPr>
                  <w:r>
                    <w:rPr>
                      <w:rFonts w:hint="eastAsia" w:ascii="Times New Roman" w:hAnsi="Times New Roman"/>
                      <w:sz w:val="21"/>
                      <w:szCs w:val="21"/>
                      <w:lang w:val="en-US" w:eastAsia="zh-CN"/>
                    </w:rPr>
                    <w:t>塑料袋</w:t>
                  </w:r>
                </w:p>
              </w:tc>
              <w:tc>
                <w:tcPr>
                  <w:tcW w:w="777" w:type="pct"/>
                  <w:tcBorders>
                    <w:tl2br w:val="nil"/>
                    <w:tr2bl w:val="nil"/>
                  </w:tcBorders>
                  <w:vAlign w:val="center"/>
                </w:tcPr>
                <w:p w14:paraId="6EC2CBAC">
                  <w:pPr>
                    <w:pStyle w:val="16"/>
                    <w:spacing w:before="0" w:beforeAutospacing="0" w:after="0" w:afterAutospacing="0" w:line="240" w:lineRule="auto"/>
                    <w:jc w:val="center"/>
                    <w:rPr>
                      <w:rFonts w:hint="eastAsia" w:ascii="Times New Roman" w:hAnsi="Times New Roman" w:eastAsia="仿宋"/>
                      <w:sz w:val="21"/>
                      <w:szCs w:val="21"/>
                      <w:lang w:eastAsia="zh-CN"/>
                    </w:rPr>
                  </w:pPr>
                  <w:r>
                    <w:rPr>
                      <w:rFonts w:hint="eastAsia" w:ascii="Times New Roman" w:hAnsi="Times New Roman"/>
                      <w:sz w:val="21"/>
                      <w:szCs w:val="21"/>
                      <w:lang w:val="en-US" w:eastAsia="zh-CN"/>
                    </w:rPr>
                    <w:t>1</w:t>
                  </w:r>
                </w:p>
              </w:tc>
              <w:tc>
                <w:tcPr>
                  <w:tcW w:w="716" w:type="pct"/>
                  <w:vMerge w:val="continue"/>
                  <w:tcBorders>
                    <w:tl2br w:val="nil"/>
                    <w:tr2bl w:val="nil"/>
                  </w:tcBorders>
                  <w:vAlign w:val="center"/>
                </w:tcPr>
                <w:p w14:paraId="2EC02ADA">
                  <w:pPr>
                    <w:spacing w:line="300" w:lineRule="exact"/>
                    <w:jc w:val="center"/>
                    <w:rPr>
                      <w:sz w:val="21"/>
                      <w:szCs w:val="21"/>
                    </w:rPr>
                  </w:pPr>
                </w:p>
              </w:tc>
            </w:tr>
            <w:tr w14:paraId="05882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58" w:type="pct"/>
                  <w:tcBorders>
                    <w:tl2br w:val="nil"/>
                    <w:tr2bl w:val="nil"/>
                  </w:tcBorders>
                  <w:shd w:val="clear" w:color="auto" w:fill="auto"/>
                  <w:vAlign w:val="center"/>
                </w:tcPr>
                <w:p w14:paraId="5E2229FF">
                  <w:pPr>
                    <w:spacing w:line="240" w:lineRule="auto"/>
                    <w:jc w:val="center"/>
                    <w:rPr>
                      <w:rFonts w:ascii="Times New Roman" w:hAnsi="Times New Roman" w:eastAsia="仿宋" w:cs="Times New Roman"/>
                      <w:kern w:val="2"/>
                      <w:sz w:val="21"/>
                      <w:szCs w:val="21"/>
                      <w:lang w:val="en-US" w:eastAsia="zh-CN" w:bidi="ar-SA"/>
                    </w:rPr>
                  </w:pPr>
                  <w:r>
                    <w:rPr>
                      <w:rFonts w:hint="eastAsia"/>
                      <w:kern w:val="0"/>
                      <w:sz w:val="21"/>
                      <w:szCs w:val="21"/>
                      <w:lang w:val="en-US" w:eastAsia="zh-CN"/>
                    </w:rPr>
                    <w:t>4</w:t>
                  </w:r>
                </w:p>
              </w:tc>
              <w:tc>
                <w:tcPr>
                  <w:tcW w:w="812" w:type="pct"/>
                  <w:tcBorders>
                    <w:tl2br w:val="nil"/>
                    <w:tr2bl w:val="nil"/>
                  </w:tcBorders>
                  <w:vAlign w:val="center"/>
                </w:tcPr>
                <w:p w14:paraId="388A3A21">
                  <w:pPr>
                    <w:spacing w:line="300" w:lineRule="exact"/>
                    <w:jc w:val="center"/>
                    <w:rPr>
                      <w:rFonts w:hint="eastAsia"/>
                      <w:kern w:val="0"/>
                      <w:sz w:val="21"/>
                      <w:szCs w:val="21"/>
                      <w:lang w:val="en-US" w:eastAsia="zh-CN"/>
                    </w:rPr>
                  </w:pPr>
                  <w:r>
                    <w:rPr>
                      <w:rFonts w:hint="eastAsia" w:ascii="Times New Roman" w:hAnsi="Times New Roman" w:cs="Times New Roman"/>
                      <w:kern w:val="0"/>
                      <w:sz w:val="21"/>
                      <w:szCs w:val="21"/>
                    </w:rPr>
                    <w:t>废活性炭</w:t>
                  </w:r>
                </w:p>
              </w:tc>
              <w:tc>
                <w:tcPr>
                  <w:tcW w:w="415" w:type="pct"/>
                  <w:tcBorders>
                    <w:tl2br w:val="nil"/>
                    <w:tr2bl w:val="nil"/>
                  </w:tcBorders>
                  <w:vAlign w:val="center"/>
                </w:tcPr>
                <w:p w14:paraId="1A51AF42">
                  <w:pPr>
                    <w:pStyle w:val="16"/>
                    <w:spacing w:before="0" w:beforeAutospacing="0" w:after="0" w:afterAutospacing="0"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袋</w:t>
                  </w:r>
                  <w:r>
                    <w:rPr>
                      <w:rFonts w:hint="eastAsia" w:ascii="Times New Roman" w:hAnsi="Times New Roman"/>
                      <w:sz w:val="21"/>
                      <w:szCs w:val="21"/>
                    </w:rPr>
                    <w:t>装</w:t>
                  </w:r>
                </w:p>
              </w:tc>
              <w:tc>
                <w:tcPr>
                  <w:tcW w:w="580" w:type="pct"/>
                  <w:tcBorders>
                    <w:tl2br w:val="nil"/>
                    <w:tr2bl w:val="nil"/>
                  </w:tcBorders>
                  <w:shd w:val="clear" w:color="auto" w:fill="auto"/>
                  <w:vAlign w:val="center"/>
                </w:tcPr>
                <w:p w14:paraId="6F102685">
                  <w:pPr>
                    <w:spacing w:line="300" w:lineRule="exact"/>
                    <w:jc w:val="center"/>
                    <w:rPr>
                      <w:rFonts w:hint="eastAsia" w:ascii="Times New Roman" w:hAnsi="Times New Roman" w:eastAsia="仿宋" w:cs="Times New Roman"/>
                      <w:kern w:val="0"/>
                      <w:sz w:val="21"/>
                      <w:szCs w:val="21"/>
                      <w:lang w:val="en-US" w:eastAsia="zh-CN" w:bidi="ar-SA"/>
                    </w:rPr>
                  </w:pPr>
                  <w:r>
                    <w:rPr>
                      <w:rFonts w:hint="eastAsia" w:cs="Times New Roman"/>
                      <w:kern w:val="0"/>
                      <w:sz w:val="21"/>
                      <w:szCs w:val="21"/>
                      <w:lang w:val="en-US" w:eastAsia="zh-CN"/>
                    </w:rPr>
                    <w:t>14.93</w:t>
                  </w:r>
                </w:p>
              </w:tc>
              <w:tc>
                <w:tcPr>
                  <w:tcW w:w="580" w:type="pct"/>
                  <w:tcBorders>
                    <w:tl2br w:val="nil"/>
                    <w:tr2bl w:val="nil"/>
                  </w:tcBorders>
                  <w:shd w:val="clear" w:color="auto" w:fill="auto"/>
                  <w:vAlign w:val="center"/>
                </w:tcPr>
                <w:p w14:paraId="3063C5C2">
                  <w:pPr>
                    <w:spacing w:line="300" w:lineRule="exact"/>
                    <w:jc w:val="center"/>
                    <w:rPr>
                      <w:rFonts w:hint="default" w:cs="Times New Roman"/>
                      <w:kern w:val="0"/>
                      <w:sz w:val="21"/>
                      <w:szCs w:val="21"/>
                      <w:lang w:val="en-US" w:eastAsia="zh-CN"/>
                    </w:rPr>
                  </w:pPr>
                  <w:r>
                    <w:rPr>
                      <w:rFonts w:hint="eastAsia" w:cs="Times New Roman"/>
                      <w:kern w:val="0"/>
                      <w:sz w:val="21"/>
                      <w:szCs w:val="21"/>
                      <w:lang w:val="en-US" w:eastAsia="zh-CN"/>
                    </w:rPr>
                    <w:t>3.7325</w:t>
                  </w:r>
                </w:p>
              </w:tc>
              <w:tc>
                <w:tcPr>
                  <w:tcW w:w="759" w:type="pct"/>
                  <w:tcBorders>
                    <w:tl2br w:val="nil"/>
                    <w:tr2bl w:val="nil"/>
                  </w:tcBorders>
                  <w:shd w:val="clear" w:color="auto" w:fill="auto"/>
                  <w:vAlign w:val="center"/>
                </w:tcPr>
                <w:p w14:paraId="72F62430">
                  <w:pPr>
                    <w:pStyle w:val="16"/>
                    <w:spacing w:before="0" w:beforeAutospacing="0" w:after="0" w:afterAutospacing="0" w:line="240" w:lineRule="auto"/>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sz w:val="21"/>
                      <w:szCs w:val="21"/>
                      <w:lang w:val="en-US" w:eastAsia="zh-CN"/>
                    </w:rPr>
                    <w:t>塑料袋</w:t>
                  </w:r>
                </w:p>
              </w:tc>
              <w:tc>
                <w:tcPr>
                  <w:tcW w:w="777" w:type="pct"/>
                  <w:tcBorders>
                    <w:tl2br w:val="nil"/>
                    <w:tr2bl w:val="nil"/>
                  </w:tcBorders>
                  <w:vAlign w:val="center"/>
                </w:tcPr>
                <w:p w14:paraId="43A219A3">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w:t>
                  </w:r>
                </w:p>
              </w:tc>
              <w:tc>
                <w:tcPr>
                  <w:tcW w:w="716" w:type="pct"/>
                  <w:vMerge w:val="continue"/>
                  <w:tcBorders>
                    <w:tl2br w:val="nil"/>
                    <w:tr2bl w:val="nil"/>
                  </w:tcBorders>
                  <w:vAlign w:val="center"/>
                </w:tcPr>
                <w:p w14:paraId="3548E9B5">
                  <w:pPr>
                    <w:spacing w:line="300" w:lineRule="exact"/>
                    <w:jc w:val="center"/>
                    <w:rPr>
                      <w:sz w:val="21"/>
                      <w:szCs w:val="21"/>
                    </w:rPr>
                  </w:pPr>
                </w:p>
              </w:tc>
            </w:tr>
            <w:tr w14:paraId="0DCAC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58" w:type="pct"/>
                  <w:tcBorders>
                    <w:tl2br w:val="nil"/>
                    <w:tr2bl w:val="nil"/>
                  </w:tcBorders>
                  <w:shd w:val="clear" w:color="auto" w:fill="auto"/>
                  <w:vAlign w:val="center"/>
                </w:tcPr>
                <w:p w14:paraId="3E9EE55E">
                  <w:pPr>
                    <w:spacing w:line="240" w:lineRule="auto"/>
                    <w:jc w:val="center"/>
                    <w:rPr>
                      <w:rFonts w:hint="eastAsia" w:ascii="Times New Roman" w:hAnsi="Times New Roman" w:eastAsia="仿宋" w:cs="Times New Roman"/>
                      <w:kern w:val="2"/>
                      <w:sz w:val="21"/>
                      <w:szCs w:val="21"/>
                      <w:lang w:val="en-US" w:eastAsia="zh-CN" w:bidi="ar-SA"/>
                    </w:rPr>
                  </w:pPr>
                  <w:r>
                    <w:rPr>
                      <w:rFonts w:hint="eastAsia"/>
                      <w:kern w:val="0"/>
                      <w:sz w:val="21"/>
                      <w:szCs w:val="21"/>
                      <w:lang w:val="en-US" w:eastAsia="zh-CN"/>
                    </w:rPr>
                    <w:t>5</w:t>
                  </w:r>
                </w:p>
              </w:tc>
              <w:tc>
                <w:tcPr>
                  <w:tcW w:w="812" w:type="pct"/>
                  <w:tcBorders>
                    <w:tl2br w:val="nil"/>
                    <w:tr2bl w:val="nil"/>
                  </w:tcBorders>
                  <w:vAlign w:val="center"/>
                </w:tcPr>
                <w:p w14:paraId="034F524B">
                  <w:pPr>
                    <w:spacing w:line="300" w:lineRule="exact"/>
                    <w:jc w:val="center"/>
                    <w:rPr>
                      <w:rFonts w:hint="default" w:ascii="Times New Roman" w:hAnsi="Times New Roman" w:eastAsia="仿宋" w:cs="Times New Roman"/>
                      <w:kern w:val="0"/>
                      <w:sz w:val="21"/>
                      <w:szCs w:val="21"/>
                      <w:lang w:val="en-US" w:eastAsia="zh-CN"/>
                    </w:rPr>
                  </w:pPr>
                  <w:r>
                    <w:rPr>
                      <w:rFonts w:hint="eastAsia" w:cs="Times New Roman"/>
                      <w:kern w:val="0"/>
                      <w:sz w:val="21"/>
                      <w:szCs w:val="21"/>
                      <w:lang w:val="en-US" w:eastAsia="zh-CN"/>
                    </w:rPr>
                    <w:t>废脱模剂</w:t>
                  </w:r>
                </w:p>
              </w:tc>
              <w:tc>
                <w:tcPr>
                  <w:tcW w:w="415" w:type="pct"/>
                  <w:tcBorders>
                    <w:tl2br w:val="nil"/>
                    <w:tr2bl w:val="nil"/>
                  </w:tcBorders>
                  <w:vAlign w:val="center"/>
                </w:tcPr>
                <w:p w14:paraId="1EB04C08">
                  <w:pPr>
                    <w:pStyle w:val="16"/>
                    <w:spacing w:before="0" w:beforeAutospacing="0" w:after="0" w:afterAutospacing="0" w:line="240" w:lineRule="auto"/>
                    <w:jc w:val="center"/>
                    <w:rPr>
                      <w:rFonts w:hint="eastAsia" w:ascii="Times New Roman" w:hAnsi="Times New Roman"/>
                      <w:sz w:val="21"/>
                      <w:szCs w:val="21"/>
                      <w:lang w:val="en-US" w:eastAsia="zh-CN"/>
                    </w:rPr>
                  </w:pPr>
                  <w:r>
                    <w:rPr>
                      <w:rFonts w:hint="eastAsia" w:ascii="Times New Roman" w:hAnsi="Times New Roman"/>
                      <w:sz w:val="21"/>
                      <w:szCs w:val="21"/>
                    </w:rPr>
                    <w:t>桶装</w:t>
                  </w:r>
                </w:p>
              </w:tc>
              <w:tc>
                <w:tcPr>
                  <w:tcW w:w="580" w:type="pct"/>
                  <w:tcBorders>
                    <w:tl2br w:val="nil"/>
                    <w:tr2bl w:val="nil"/>
                  </w:tcBorders>
                  <w:shd w:val="clear" w:color="auto" w:fill="auto"/>
                  <w:vAlign w:val="center"/>
                </w:tcPr>
                <w:p w14:paraId="23A629C8">
                  <w:pPr>
                    <w:spacing w:line="300" w:lineRule="exact"/>
                    <w:jc w:val="center"/>
                    <w:rPr>
                      <w:rFonts w:hint="default" w:cs="Times New Roman"/>
                      <w:kern w:val="0"/>
                      <w:sz w:val="21"/>
                      <w:szCs w:val="21"/>
                      <w:lang w:val="en-US" w:eastAsia="zh-CN"/>
                    </w:rPr>
                  </w:pPr>
                  <w:r>
                    <w:rPr>
                      <w:rFonts w:hint="eastAsia" w:cs="Times New Roman"/>
                      <w:kern w:val="0"/>
                      <w:sz w:val="21"/>
                      <w:szCs w:val="21"/>
                      <w:lang w:val="en-US" w:eastAsia="zh-CN"/>
                    </w:rPr>
                    <w:t>0.3</w:t>
                  </w:r>
                </w:p>
              </w:tc>
              <w:tc>
                <w:tcPr>
                  <w:tcW w:w="580" w:type="pct"/>
                  <w:tcBorders>
                    <w:tl2br w:val="nil"/>
                    <w:tr2bl w:val="nil"/>
                  </w:tcBorders>
                  <w:shd w:val="clear" w:color="auto" w:fill="auto"/>
                  <w:vAlign w:val="center"/>
                </w:tcPr>
                <w:p w14:paraId="2250CE0B">
                  <w:pPr>
                    <w:spacing w:line="300" w:lineRule="exact"/>
                    <w:jc w:val="center"/>
                    <w:rPr>
                      <w:rFonts w:hint="default" w:cs="Times New Roman"/>
                      <w:kern w:val="0"/>
                      <w:sz w:val="21"/>
                      <w:szCs w:val="21"/>
                      <w:lang w:val="en-US" w:eastAsia="zh-CN"/>
                    </w:rPr>
                  </w:pPr>
                  <w:r>
                    <w:rPr>
                      <w:rFonts w:hint="eastAsia" w:cs="Times New Roman"/>
                      <w:kern w:val="0"/>
                      <w:sz w:val="21"/>
                      <w:szCs w:val="21"/>
                      <w:lang w:val="en-US" w:eastAsia="zh-CN"/>
                    </w:rPr>
                    <w:t>0.075</w:t>
                  </w:r>
                </w:p>
              </w:tc>
              <w:tc>
                <w:tcPr>
                  <w:tcW w:w="759" w:type="pct"/>
                  <w:tcBorders>
                    <w:tl2br w:val="nil"/>
                    <w:tr2bl w:val="nil"/>
                  </w:tcBorders>
                  <w:shd w:val="clear" w:color="auto" w:fill="auto"/>
                  <w:vAlign w:val="center"/>
                </w:tcPr>
                <w:p w14:paraId="0D1A4929">
                  <w:pPr>
                    <w:pStyle w:val="16"/>
                    <w:spacing w:before="0" w:beforeAutospacing="0" w:after="0" w:afterAutospacing="0"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金属桶</w:t>
                  </w:r>
                </w:p>
              </w:tc>
              <w:tc>
                <w:tcPr>
                  <w:tcW w:w="777" w:type="pct"/>
                  <w:tcBorders>
                    <w:tl2br w:val="nil"/>
                    <w:tr2bl w:val="nil"/>
                  </w:tcBorders>
                  <w:vAlign w:val="center"/>
                </w:tcPr>
                <w:p w14:paraId="267E666F">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w:t>
                  </w:r>
                </w:p>
              </w:tc>
              <w:tc>
                <w:tcPr>
                  <w:tcW w:w="716" w:type="pct"/>
                  <w:vMerge w:val="continue"/>
                  <w:tcBorders>
                    <w:tl2br w:val="nil"/>
                    <w:tr2bl w:val="nil"/>
                  </w:tcBorders>
                  <w:vAlign w:val="center"/>
                </w:tcPr>
                <w:p w14:paraId="02146B77">
                  <w:pPr>
                    <w:spacing w:line="300" w:lineRule="exact"/>
                    <w:jc w:val="center"/>
                    <w:rPr>
                      <w:sz w:val="21"/>
                      <w:szCs w:val="21"/>
                    </w:rPr>
                  </w:pPr>
                </w:p>
              </w:tc>
            </w:tr>
            <w:tr w14:paraId="4849D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58" w:type="pct"/>
                  <w:tcBorders>
                    <w:tl2br w:val="nil"/>
                    <w:tr2bl w:val="nil"/>
                  </w:tcBorders>
                  <w:shd w:val="clear" w:color="auto" w:fill="auto"/>
                  <w:vAlign w:val="center"/>
                </w:tcPr>
                <w:p w14:paraId="5354D21D">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6</w:t>
                  </w:r>
                </w:p>
              </w:tc>
              <w:tc>
                <w:tcPr>
                  <w:tcW w:w="812" w:type="pct"/>
                  <w:tcBorders>
                    <w:tl2br w:val="nil"/>
                    <w:tr2bl w:val="nil"/>
                  </w:tcBorders>
                  <w:vAlign w:val="center"/>
                </w:tcPr>
                <w:p w14:paraId="31FD1E4C">
                  <w:pPr>
                    <w:spacing w:line="300" w:lineRule="exact"/>
                    <w:jc w:val="center"/>
                    <w:rPr>
                      <w:rFonts w:hint="eastAsia"/>
                      <w:kern w:val="0"/>
                      <w:sz w:val="21"/>
                      <w:szCs w:val="21"/>
                      <w:lang w:val="en-US" w:eastAsia="zh-CN"/>
                    </w:rPr>
                  </w:pPr>
                  <w:r>
                    <w:rPr>
                      <w:rFonts w:hint="eastAsia" w:ascii="Times New Roman" w:hAnsi="Times New Roman" w:cs="Times New Roman"/>
                      <w:kern w:val="0"/>
                      <w:sz w:val="21"/>
                      <w:szCs w:val="21"/>
                    </w:rPr>
                    <w:t>喷淋废液</w:t>
                  </w:r>
                </w:p>
              </w:tc>
              <w:tc>
                <w:tcPr>
                  <w:tcW w:w="415" w:type="pct"/>
                  <w:tcBorders>
                    <w:tl2br w:val="nil"/>
                    <w:tr2bl w:val="nil"/>
                  </w:tcBorders>
                  <w:vAlign w:val="center"/>
                </w:tcPr>
                <w:p w14:paraId="7A01EBE6">
                  <w:pPr>
                    <w:pStyle w:val="16"/>
                    <w:spacing w:before="0" w:beforeAutospacing="0" w:after="0" w:afterAutospacing="0" w:line="240" w:lineRule="auto"/>
                    <w:jc w:val="center"/>
                    <w:rPr>
                      <w:rFonts w:hint="eastAsia" w:ascii="Times New Roman" w:hAnsi="Times New Roman"/>
                      <w:sz w:val="21"/>
                      <w:szCs w:val="21"/>
                      <w:lang w:val="en-US" w:eastAsia="zh-CN"/>
                    </w:rPr>
                  </w:pPr>
                  <w:r>
                    <w:rPr>
                      <w:rFonts w:hint="eastAsia" w:ascii="Times New Roman" w:hAnsi="Times New Roman"/>
                      <w:sz w:val="21"/>
                      <w:szCs w:val="21"/>
                    </w:rPr>
                    <w:t>桶装</w:t>
                  </w:r>
                </w:p>
              </w:tc>
              <w:tc>
                <w:tcPr>
                  <w:tcW w:w="580" w:type="pct"/>
                  <w:tcBorders>
                    <w:tl2br w:val="nil"/>
                    <w:tr2bl w:val="nil"/>
                  </w:tcBorders>
                  <w:shd w:val="clear" w:color="auto" w:fill="auto"/>
                  <w:vAlign w:val="center"/>
                </w:tcPr>
                <w:p w14:paraId="4B0C50D0">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2</w:t>
                  </w:r>
                </w:p>
              </w:tc>
              <w:tc>
                <w:tcPr>
                  <w:tcW w:w="580" w:type="pct"/>
                  <w:tcBorders>
                    <w:tl2br w:val="nil"/>
                    <w:tr2bl w:val="nil"/>
                  </w:tcBorders>
                  <w:shd w:val="clear" w:color="auto" w:fill="auto"/>
                  <w:vAlign w:val="center"/>
                </w:tcPr>
                <w:p w14:paraId="478EB41D">
                  <w:pPr>
                    <w:spacing w:line="300" w:lineRule="exact"/>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0.5</w:t>
                  </w:r>
                </w:p>
              </w:tc>
              <w:tc>
                <w:tcPr>
                  <w:tcW w:w="759" w:type="pct"/>
                  <w:tcBorders>
                    <w:tl2br w:val="nil"/>
                    <w:tr2bl w:val="nil"/>
                  </w:tcBorders>
                  <w:vAlign w:val="center"/>
                </w:tcPr>
                <w:p w14:paraId="4E6F07A6">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金属桶</w:t>
                  </w:r>
                </w:p>
              </w:tc>
              <w:tc>
                <w:tcPr>
                  <w:tcW w:w="777" w:type="pct"/>
                  <w:tcBorders>
                    <w:tl2br w:val="nil"/>
                    <w:tr2bl w:val="nil"/>
                  </w:tcBorders>
                  <w:vAlign w:val="center"/>
                </w:tcPr>
                <w:p w14:paraId="37645D17">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w:t>
                  </w:r>
                </w:p>
              </w:tc>
              <w:tc>
                <w:tcPr>
                  <w:tcW w:w="716" w:type="pct"/>
                  <w:vMerge w:val="continue"/>
                  <w:tcBorders>
                    <w:tl2br w:val="nil"/>
                    <w:tr2bl w:val="nil"/>
                  </w:tcBorders>
                  <w:vAlign w:val="center"/>
                </w:tcPr>
                <w:p w14:paraId="5B40C9D0">
                  <w:pPr>
                    <w:spacing w:line="300" w:lineRule="exact"/>
                    <w:jc w:val="center"/>
                    <w:rPr>
                      <w:sz w:val="21"/>
                      <w:szCs w:val="21"/>
                    </w:rPr>
                  </w:pPr>
                </w:p>
              </w:tc>
            </w:tr>
            <w:tr w14:paraId="58823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4715A3C0">
                  <w:pPr>
                    <w:spacing w:line="240" w:lineRule="auto"/>
                    <w:jc w:val="center"/>
                    <w:rPr>
                      <w:rFonts w:hint="default" w:ascii="Times New Roman" w:hAnsi="Times New Roman" w:eastAsia="仿宋"/>
                      <w:sz w:val="21"/>
                      <w:szCs w:val="21"/>
                      <w:lang w:val="en-US" w:eastAsia="zh-CN"/>
                    </w:rPr>
                  </w:pPr>
                  <w:r>
                    <w:rPr>
                      <w:rFonts w:hint="eastAsia"/>
                      <w:sz w:val="21"/>
                      <w:szCs w:val="21"/>
                      <w:lang w:val="en-US" w:eastAsia="zh-CN"/>
                    </w:rPr>
                    <w:t>7</w:t>
                  </w:r>
                </w:p>
              </w:tc>
              <w:tc>
                <w:tcPr>
                  <w:tcW w:w="812" w:type="pct"/>
                  <w:tcBorders>
                    <w:tl2br w:val="nil"/>
                    <w:tr2bl w:val="nil"/>
                  </w:tcBorders>
                  <w:vAlign w:val="center"/>
                </w:tcPr>
                <w:p w14:paraId="660D9075">
                  <w:pPr>
                    <w:spacing w:line="300" w:lineRule="exact"/>
                    <w:jc w:val="center"/>
                    <w:rPr>
                      <w:rFonts w:hint="eastAsia" w:eastAsia="仿宋"/>
                      <w:kern w:val="0"/>
                      <w:sz w:val="21"/>
                      <w:szCs w:val="21"/>
                      <w:lang w:val="en-US" w:eastAsia="zh-CN"/>
                    </w:rPr>
                  </w:pPr>
                  <w:r>
                    <w:rPr>
                      <w:rFonts w:hint="eastAsia" w:ascii="Times New Roman" w:hAnsi="Times New Roman" w:cs="Times New Roman"/>
                      <w:kern w:val="0"/>
                      <w:sz w:val="21"/>
                      <w:szCs w:val="21"/>
                    </w:rPr>
                    <w:t>废机油</w:t>
                  </w:r>
                </w:p>
              </w:tc>
              <w:tc>
                <w:tcPr>
                  <w:tcW w:w="415" w:type="pct"/>
                  <w:tcBorders>
                    <w:tl2br w:val="nil"/>
                    <w:tr2bl w:val="nil"/>
                  </w:tcBorders>
                  <w:vAlign w:val="center"/>
                </w:tcPr>
                <w:p w14:paraId="78CA6291">
                  <w:pPr>
                    <w:pStyle w:val="16"/>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rPr>
                    <w:t>桶装</w:t>
                  </w:r>
                </w:p>
              </w:tc>
              <w:tc>
                <w:tcPr>
                  <w:tcW w:w="580" w:type="pct"/>
                  <w:tcBorders>
                    <w:tl2br w:val="nil"/>
                    <w:tr2bl w:val="nil"/>
                  </w:tcBorders>
                  <w:shd w:val="clear" w:color="auto" w:fill="auto"/>
                  <w:vAlign w:val="center"/>
                </w:tcPr>
                <w:p w14:paraId="73C9CED6">
                  <w:pPr>
                    <w:spacing w:line="300" w:lineRule="exact"/>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cs="Times New Roman"/>
                      <w:kern w:val="0"/>
                      <w:sz w:val="21"/>
                      <w:szCs w:val="21"/>
                      <w:lang w:val="en-US" w:eastAsia="zh-CN"/>
                    </w:rPr>
                    <w:t>0.5</w:t>
                  </w:r>
                </w:p>
              </w:tc>
              <w:tc>
                <w:tcPr>
                  <w:tcW w:w="580" w:type="pct"/>
                  <w:tcBorders>
                    <w:tl2br w:val="nil"/>
                    <w:tr2bl w:val="nil"/>
                  </w:tcBorders>
                  <w:shd w:val="clear" w:color="auto" w:fill="auto"/>
                  <w:vAlign w:val="center"/>
                </w:tcPr>
                <w:p w14:paraId="29953352">
                  <w:pPr>
                    <w:spacing w:line="300" w:lineRule="exact"/>
                    <w:jc w:val="center"/>
                    <w:rPr>
                      <w:rFonts w:hint="eastAsia" w:ascii="Times New Roman" w:hAnsi="Times New Roman" w:cs="Times New Roman"/>
                      <w:kern w:val="0"/>
                      <w:sz w:val="21"/>
                      <w:szCs w:val="21"/>
                      <w:lang w:val="en-US" w:eastAsia="zh-CN"/>
                    </w:rPr>
                  </w:pPr>
                  <w:r>
                    <w:rPr>
                      <w:rFonts w:hint="eastAsia" w:cs="Times New Roman"/>
                      <w:kern w:val="0"/>
                      <w:sz w:val="21"/>
                      <w:szCs w:val="21"/>
                      <w:lang w:val="en-US" w:eastAsia="zh-CN"/>
                    </w:rPr>
                    <w:t>0.125</w:t>
                  </w:r>
                </w:p>
              </w:tc>
              <w:tc>
                <w:tcPr>
                  <w:tcW w:w="759" w:type="pct"/>
                  <w:tcBorders>
                    <w:tl2br w:val="nil"/>
                    <w:tr2bl w:val="nil"/>
                  </w:tcBorders>
                  <w:shd w:val="clear" w:color="auto" w:fill="auto"/>
                  <w:vAlign w:val="center"/>
                </w:tcPr>
                <w:p w14:paraId="188C0C3B">
                  <w:pPr>
                    <w:pStyle w:val="16"/>
                    <w:spacing w:before="0" w:beforeAutospacing="0" w:after="0" w:afterAutospacing="0" w:line="240" w:lineRule="auto"/>
                    <w:jc w:val="center"/>
                    <w:rPr>
                      <w:rFonts w:hint="eastAsia" w:ascii="Times New Roman" w:hAnsi="Times New Roman" w:eastAsia="仿宋" w:cs="Times New Roman"/>
                      <w:kern w:val="0"/>
                      <w:sz w:val="21"/>
                      <w:szCs w:val="21"/>
                      <w:lang w:val="en-US" w:eastAsia="zh-CN" w:bidi="ar-SA"/>
                    </w:rPr>
                  </w:pPr>
                  <w:r>
                    <w:rPr>
                      <w:rFonts w:hint="eastAsia" w:ascii="Times New Roman" w:hAnsi="Times New Roman"/>
                      <w:sz w:val="21"/>
                      <w:szCs w:val="21"/>
                      <w:lang w:val="en-US" w:eastAsia="zh-CN"/>
                    </w:rPr>
                    <w:t>金属桶</w:t>
                  </w:r>
                </w:p>
              </w:tc>
              <w:tc>
                <w:tcPr>
                  <w:tcW w:w="777" w:type="pct"/>
                  <w:tcBorders>
                    <w:tl2br w:val="nil"/>
                    <w:tr2bl w:val="nil"/>
                  </w:tcBorders>
                  <w:vAlign w:val="center"/>
                </w:tcPr>
                <w:p w14:paraId="3485BAB7">
                  <w:pPr>
                    <w:pStyle w:val="16"/>
                    <w:spacing w:before="0" w:beforeAutospacing="0" w:after="0" w:afterAutospacing="0" w:line="240" w:lineRule="auto"/>
                    <w:jc w:val="center"/>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1</w:t>
                  </w:r>
                </w:p>
              </w:tc>
              <w:tc>
                <w:tcPr>
                  <w:tcW w:w="716" w:type="pct"/>
                  <w:vMerge w:val="continue"/>
                  <w:tcBorders>
                    <w:tl2br w:val="nil"/>
                    <w:tr2bl w:val="nil"/>
                  </w:tcBorders>
                  <w:vAlign w:val="center"/>
                </w:tcPr>
                <w:p w14:paraId="054B43A5">
                  <w:pPr>
                    <w:spacing w:line="300" w:lineRule="exact"/>
                    <w:jc w:val="center"/>
                    <w:rPr>
                      <w:sz w:val="21"/>
                      <w:szCs w:val="21"/>
                    </w:rPr>
                  </w:pPr>
                </w:p>
              </w:tc>
            </w:tr>
            <w:tr w14:paraId="686D4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06" w:type="pct"/>
                  <w:gridSpan w:val="6"/>
                  <w:tcBorders>
                    <w:tl2br w:val="nil"/>
                    <w:tr2bl w:val="nil"/>
                  </w:tcBorders>
                  <w:vAlign w:val="center"/>
                </w:tcPr>
                <w:p w14:paraId="4A990DBD">
                  <w:pPr>
                    <w:widowControl/>
                    <w:spacing w:line="240" w:lineRule="auto"/>
                    <w:jc w:val="center"/>
                    <w:rPr>
                      <w:rFonts w:hint="default"/>
                      <w:sz w:val="21"/>
                      <w:szCs w:val="21"/>
                      <w:lang w:val="en-US" w:eastAsia="zh-CN"/>
                    </w:rPr>
                  </w:pPr>
                  <w:r>
                    <w:rPr>
                      <w:rFonts w:hint="eastAsia"/>
                      <w:sz w:val="21"/>
                      <w:szCs w:val="21"/>
                      <w:lang w:val="en-US" w:eastAsia="zh-CN"/>
                    </w:rPr>
                    <w:t>合计</w:t>
                  </w:r>
                </w:p>
              </w:tc>
              <w:tc>
                <w:tcPr>
                  <w:tcW w:w="777" w:type="pct"/>
                  <w:tcBorders>
                    <w:tl2br w:val="nil"/>
                    <w:tr2bl w:val="nil"/>
                  </w:tcBorders>
                  <w:vAlign w:val="center"/>
                </w:tcPr>
                <w:p w14:paraId="13072E0B">
                  <w:pPr>
                    <w:pStyle w:val="16"/>
                    <w:spacing w:before="0" w:beforeAutospacing="0" w:after="0" w:afterAutospacing="0" w:line="240" w:lineRule="auto"/>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17</w:t>
                  </w:r>
                </w:p>
              </w:tc>
              <w:tc>
                <w:tcPr>
                  <w:tcW w:w="716" w:type="pct"/>
                  <w:tcBorders>
                    <w:tl2br w:val="nil"/>
                    <w:tr2bl w:val="nil"/>
                  </w:tcBorders>
                  <w:vAlign w:val="center"/>
                </w:tcPr>
                <w:p w14:paraId="2BA526B5">
                  <w:pPr>
                    <w:spacing w:line="300" w:lineRule="exact"/>
                    <w:jc w:val="center"/>
                    <w:rPr>
                      <w:rFonts w:hint="eastAsia" w:eastAsia="仿宋"/>
                      <w:sz w:val="21"/>
                      <w:szCs w:val="21"/>
                      <w:lang w:val="en-US" w:eastAsia="zh-CN"/>
                    </w:rPr>
                  </w:pPr>
                  <w:r>
                    <w:rPr>
                      <w:rFonts w:hint="eastAsia"/>
                      <w:sz w:val="21"/>
                      <w:szCs w:val="21"/>
                      <w:lang w:val="en-US" w:eastAsia="zh-CN"/>
                    </w:rPr>
                    <w:t>/</w:t>
                  </w:r>
                </w:p>
              </w:tc>
            </w:tr>
          </w:tbl>
          <w:p w14:paraId="0C9E92C2">
            <w:pPr>
              <w:pStyle w:val="16"/>
              <w:spacing w:before="0" w:beforeAutospacing="0" w:after="0" w:afterAutospacing="0" w:line="480" w:lineRule="exact"/>
              <w:ind w:firstLine="480" w:firstLineChars="200"/>
              <w:jc w:val="both"/>
              <w:rPr>
                <w:rFonts w:ascii="Times New Roman" w:hAnsi="Times New Roman"/>
                <w:szCs w:val="24"/>
              </w:rPr>
            </w:pPr>
            <w:r>
              <w:rPr>
                <w:rFonts w:hint="eastAsia" w:ascii="Times New Roman" w:hAnsi="Times New Roman"/>
                <w:szCs w:val="24"/>
                <w:lang w:val="en-US" w:eastAsia="zh-CN"/>
              </w:rPr>
              <w:t>根据上表，</w:t>
            </w:r>
            <w:r>
              <w:rPr>
                <w:rFonts w:ascii="Times New Roman" w:hAnsi="Times New Roman"/>
                <w:szCs w:val="24"/>
              </w:rPr>
              <w:t>本项目</w:t>
            </w:r>
            <w:r>
              <w:rPr>
                <w:rFonts w:hint="eastAsia" w:ascii="Times New Roman" w:hAnsi="Times New Roman"/>
                <w:szCs w:val="24"/>
                <w:lang w:val="en-US" w:eastAsia="zh-CN"/>
              </w:rPr>
              <w:t>危废暂存需17</w:t>
            </w:r>
            <w:r>
              <w:rPr>
                <w:rFonts w:ascii="Times New Roman" w:hAnsi="Times New Roman"/>
                <w:szCs w:val="24"/>
              </w:rPr>
              <w:t>m</w:t>
            </w:r>
            <w:r>
              <w:rPr>
                <w:rFonts w:ascii="Times New Roman" w:hAnsi="Times New Roman"/>
                <w:szCs w:val="24"/>
                <w:vertAlign w:val="superscript"/>
              </w:rPr>
              <w:t>2</w:t>
            </w:r>
            <w:r>
              <w:rPr>
                <w:rFonts w:hint="eastAsia" w:ascii="Times New Roman" w:hAnsi="Times New Roman"/>
                <w:szCs w:val="24"/>
                <w:vertAlign w:val="baseline"/>
                <w:lang w:eastAsia="zh-CN"/>
              </w:rPr>
              <w:t>，</w:t>
            </w:r>
            <w:r>
              <w:rPr>
                <w:rFonts w:hint="eastAsia" w:ascii="Times New Roman" w:hAnsi="Times New Roman"/>
                <w:szCs w:val="24"/>
                <w:lang w:val="en-US" w:eastAsia="zh-CN"/>
              </w:rPr>
              <w:t>20</w:t>
            </w:r>
            <w:r>
              <w:rPr>
                <w:rFonts w:ascii="Times New Roman" w:hAnsi="Times New Roman"/>
                <w:szCs w:val="24"/>
              </w:rPr>
              <w:t>m</w:t>
            </w:r>
            <w:r>
              <w:rPr>
                <w:rFonts w:ascii="Times New Roman" w:hAnsi="Times New Roman"/>
                <w:szCs w:val="24"/>
                <w:vertAlign w:val="superscript"/>
              </w:rPr>
              <w:t>2</w:t>
            </w:r>
            <w:r>
              <w:rPr>
                <w:rFonts w:ascii="Times New Roman" w:hAnsi="Times New Roman"/>
                <w:szCs w:val="24"/>
              </w:rPr>
              <w:t>的危废仓库可满足项目危废暂存需求。</w:t>
            </w:r>
          </w:p>
          <w:p w14:paraId="2B3D239F">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危险废物贮存设施视频监控布设要求见下表：</w:t>
            </w:r>
          </w:p>
          <w:p w14:paraId="01C42256">
            <w:pPr>
              <w:pStyle w:val="16"/>
              <w:spacing w:before="0" w:beforeAutospacing="0" w:after="0" w:afterAutospacing="0" w:line="240" w:lineRule="auto"/>
              <w:jc w:val="center"/>
              <w:rPr>
                <w:rFonts w:ascii="Times New Roman" w:hAnsi="Times New Roman"/>
                <w:sz w:val="21"/>
                <w:szCs w:val="21"/>
              </w:rPr>
            </w:pPr>
            <w:r>
              <w:rPr>
                <w:rFonts w:ascii="Times New Roman" w:hAnsi="Times New Roman"/>
                <w:b/>
                <w:sz w:val="21"/>
                <w:szCs w:val="21"/>
              </w:rPr>
              <w:t>表4-</w:t>
            </w:r>
            <w:r>
              <w:rPr>
                <w:rFonts w:hint="eastAsia" w:ascii="Times New Roman" w:hAnsi="Times New Roman"/>
                <w:b/>
                <w:sz w:val="21"/>
                <w:szCs w:val="21"/>
                <w:lang w:val="en-US" w:eastAsia="zh-CN"/>
              </w:rPr>
              <w:t>29</w:t>
            </w:r>
            <w:r>
              <w:rPr>
                <w:rFonts w:ascii="Times New Roman" w:hAnsi="Times New Roman"/>
                <w:b/>
                <w:sz w:val="21"/>
                <w:szCs w:val="21"/>
              </w:rPr>
              <w:t xml:space="preserve">  危险废物贮存设施视频监控布设要求</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1416"/>
              <w:gridCol w:w="2130"/>
              <w:gridCol w:w="1908"/>
              <w:gridCol w:w="1213"/>
            </w:tblGrid>
            <w:tr w14:paraId="5D926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gridSpan w:val="2"/>
                  <w:vMerge w:val="restart"/>
                  <w:tcBorders>
                    <w:tl2br w:val="nil"/>
                    <w:tr2bl w:val="nil"/>
                  </w:tcBorders>
                  <w:vAlign w:val="center"/>
                </w:tcPr>
                <w:p w14:paraId="199B8A85">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设置位置</w:t>
                  </w:r>
                </w:p>
              </w:tc>
              <w:tc>
                <w:tcPr>
                  <w:tcW w:w="1080" w:type="pct"/>
                  <w:vMerge w:val="restart"/>
                  <w:tcBorders>
                    <w:tl2br w:val="nil"/>
                    <w:tr2bl w:val="nil"/>
                  </w:tcBorders>
                  <w:vAlign w:val="center"/>
                </w:tcPr>
                <w:p w14:paraId="18285AD4">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监控范围</w:t>
                  </w:r>
                </w:p>
              </w:tc>
              <w:tc>
                <w:tcPr>
                  <w:tcW w:w="3077" w:type="pct"/>
                  <w:gridSpan w:val="3"/>
                  <w:tcBorders>
                    <w:tl2br w:val="nil"/>
                    <w:tr2bl w:val="nil"/>
                  </w:tcBorders>
                  <w:vAlign w:val="center"/>
                </w:tcPr>
                <w:p w14:paraId="771799B7">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监控系统要求</w:t>
                  </w:r>
                </w:p>
              </w:tc>
            </w:tr>
            <w:tr w14:paraId="4F172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gridSpan w:val="2"/>
                  <w:vMerge w:val="continue"/>
                  <w:tcBorders>
                    <w:tl2br w:val="nil"/>
                    <w:tr2bl w:val="nil"/>
                  </w:tcBorders>
                  <w:vAlign w:val="center"/>
                </w:tcPr>
                <w:p w14:paraId="473ED26B">
                  <w:pPr>
                    <w:tabs>
                      <w:tab w:val="left" w:pos="372"/>
                    </w:tabs>
                    <w:spacing w:line="240" w:lineRule="auto"/>
                    <w:jc w:val="center"/>
                    <w:rPr>
                      <w:b/>
                      <w:bCs/>
                      <w:sz w:val="21"/>
                      <w:szCs w:val="21"/>
                    </w:rPr>
                  </w:pPr>
                </w:p>
              </w:tc>
              <w:tc>
                <w:tcPr>
                  <w:tcW w:w="1080" w:type="pct"/>
                  <w:vMerge w:val="continue"/>
                  <w:tcBorders>
                    <w:tl2br w:val="nil"/>
                    <w:tr2bl w:val="nil"/>
                  </w:tcBorders>
                  <w:vAlign w:val="center"/>
                </w:tcPr>
                <w:p w14:paraId="26FE85B9">
                  <w:pPr>
                    <w:tabs>
                      <w:tab w:val="left" w:pos="372"/>
                    </w:tabs>
                    <w:spacing w:line="240" w:lineRule="auto"/>
                    <w:jc w:val="center"/>
                    <w:rPr>
                      <w:b/>
                      <w:bCs/>
                      <w:sz w:val="21"/>
                      <w:szCs w:val="21"/>
                    </w:rPr>
                  </w:pPr>
                </w:p>
              </w:tc>
              <w:tc>
                <w:tcPr>
                  <w:tcW w:w="883" w:type="pct"/>
                  <w:tcBorders>
                    <w:tl2br w:val="nil"/>
                    <w:tr2bl w:val="nil"/>
                  </w:tcBorders>
                  <w:vAlign w:val="center"/>
                </w:tcPr>
                <w:p w14:paraId="2D515663">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设置标准</w:t>
                  </w:r>
                </w:p>
              </w:tc>
              <w:tc>
                <w:tcPr>
                  <w:tcW w:w="1316" w:type="pct"/>
                  <w:tcBorders>
                    <w:tl2br w:val="nil"/>
                    <w:tr2bl w:val="nil"/>
                  </w:tcBorders>
                  <w:vAlign w:val="center"/>
                </w:tcPr>
                <w:p w14:paraId="2B462BC2">
                  <w:pPr>
                    <w:spacing w:line="240" w:lineRule="auto"/>
                    <w:jc w:val="center"/>
                    <w:rPr>
                      <w:b/>
                      <w:bCs/>
                      <w:sz w:val="21"/>
                      <w:szCs w:val="21"/>
                    </w:rPr>
                  </w:pPr>
                  <w:r>
                    <w:rPr>
                      <w:b/>
                      <w:bCs/>
                      <w:sz w:val="21"/>
                      <w:szCs w:val="21"/>
                    </w:rPr>
                    <w:t>监控质量要求</w:t>
                  </w:r>
                </w:p>
              </w:tc>
              <w:tc>
                <w:tcPr>
                  <w:tcW w:w="877" w:type="pct"/>
                  <w:tcBorders>
                    <w:tl2br w:val="nil"/>
                    <w:tr2bl w:val="nil"/>
                  </w:tcBorders>
                  <w:vAlign w:val="center"/>
                </w:tcPr>
                <w:p w14:paraId="6C98A7F2">
                  <w:pPr>
                    <w:pStyle w:val="16"/>
                    <w:spacing w:before="0" w:beforeAutospacing="0" w:after="0" w:afterAutospacing="0" w:line="240" w:lineRule="auto"/>
                    <w:jc w:val="center"/>
                    <w:rPr>
                      <w:rFonts w:ascii="Times New Roman" w:hAnsi="Times New Roman"/>
                      <w:b/>
                      <w:bCs/>
                      <w:sz w:val="21"/>
                      <w:szCs w:val="21"/>
                    </w:rPr>
                  </w:pPr>
                  <w:r>
                    <w:rPr>
                      <w:rFonts w:ascii="Times New Roman" w:hAnsi="Times New Roman"/>
                      <w:b/>
                      <w:bCs/>
                      <w:sz w:val="21"/>
                      <w:szCs w:val="21"/>
                    </w:rPr>
                    <w:t>存储传输</w:t>
                  </w:r>
                </w:p>
              </w:tc>
            </w:tr>
            <w:tr w14:paraId="330FE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restart"/>
                  <w:tcBorders>
                    <w:tl2br w:val="nil"/>
                    <w:tr2bl w:val="nil"/>
                  </w:tcBorders>
                  <w:vAlign w:val="center"/>
                </w:tcPr>
                <w:p w14:paraId="7B2D940E">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一、贮存设施</w:t>
                  </w:r>
                </w:p>
              </w:tc>
              <w:tc>
                <w:tcPr>
                  <w:tcW w:w="441" w:type="pct"/>
                  <w:tcBorders>
                    <w:tl2br w:val="nil"/>
                    <w:tr2bl w:val="nil"/>
                  </w:tcBorders>
                  <w:vAlign w:val="center"/>
                </w:tcPr>
                <w:p w14:paraId="426141A4">
                  <w:pPr>
                    <w:spacing w:line="240" w:lineRule="auto"/>
                    <w:jc w:val="center"/>
                    <w:rPr>
                      <w:sz w:val="21"/>
                      <w:szCs w:val="21"/>
                    </w:rPr>
                  </w:pPr>
                  <w:r>
                    <w:rPr>
                      <w:sz w:val="21"/>
                      <w:szCs w:val="21"/>
                    </w:rPr>
                    <w:t>全封闭式仓库出入口</w:t>
                  </w:r>
                </w:p>
              </w:tc>
              <w:tc>
                <w:tcPr>
                  <w:tcW w:w="1080" w:type="pct"/>
                  <w:tcBorders>
                    <w:tl2br w:val="nil"/>
                    <w:tr2bl w:val="nil"/>
                  </w:tcBorders>
                  <w:vAlign w:val="center"/>
                </w:tcPr>
                <w:p w14:paraId="22BE1EE4">
                  <w:pPr>
                    <w:spacing w:line="240" w:lineRule="auto"/>
                    <w:jc w:val="center"/>
                    <w:rPr>
                      <w:sz w:val="21"/>
                      <w:szCs w:val="21"/>
                    </w:rPr>
                  </w:pPr>
                  <w:r>
                    <w:rPr>
                      <w:sz w:val="21"/>
                      <w:szCs w:val="21"/>
                    </w:rPr>
                    <w:t>全景视频监控，清晰记录危险废物入库、出库行为。</w:t>
                  </w:r>
                </w:p>
              </w:tc>
              <w:tc>
                <w:tcPr>
                  <w:tcW w:w="883" w:type="pct"/>
                  <w:vMerge w:val="restart"/>
                  <w:tcBorders>
                    <w:tl2br w:val="nil"/>
                    <w:tr2bl w:val="nil"/>
                  </w:tcBorders>
                  <w:vAlign w:val="center"/>
                </w:tcPr>
                <w:p w14:paraId="4D1B3CD9">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1、监控系统须满足《公共安全视频监控联网系统信息传输、交换、控制技术要求</w:t>
                  </w:r>
                  <w:r>
                    <w:rPr>
                      <w:rFonts w:hint="eastAsia" w:ascii="Times New Roman" w:hAnsi="Times New Roman"/>
                      <w:sz w:val="21"/>
                      <w:szCs w:val="21"/>
                      <w:lang w:eastAsia="zh-CN"/>
                    </w:rPr>
                    <w:t>》（</w:t>
                  </w:r>
                  <w:r>
                    <w:rPr>
                      <w:rFonts w:ascii="Times New Roman" w:hAnsi="Times New Roman"/>
                      <w:sz w:val="21"/>
                      <w:szCs w:val="21"/>
                    </w:rPr>
                    <w:t>GB/T28181-2016</w:t>
                  </w:r>
                  <w:r>
                    <w:rPr>
                      <w:rFonts w:hint="eastAsia" w:ascii="Times New Roman" w:hAnsi="Times New Roman"/>
                      <w:sz w:val="21"/>
                      <w:szCs w:val="21"/>
                      <w:lang w:eastAsia="zh-CN"/>
                    </w:rPr>
                    <w:t>）</w:t>
                  </w:r>
                  <w:r>
                    <w:rPr>
                      <w:rFonts w:ascii="Times New Roman" w:hAnsi="Times New Roman"/>
                      <w:sz w:val="21"/>
                      <w:szCs w:val="21"/>
                    </w:rPr>
                    <w:t>《安全防范高清视频监控系统技术要求》</w:t>
                  </w:r>
                  <w:r>
                    <w:rPr>
                      <w:rFonts w:hint="eastAsia" w:ascii="Times New Roman" w:hAnsi="Times New Roman"/>
                      <w:sz w:val="21"/>
                      <w:szCs w:val="21"/>
                      <w:lang w:eastAsia="zh-CN"/>
                    </w:rPr>
                    <w:t>（</w:t>
                  </w:r>
                  <w:r>
                    <w:rPr>
                      <w:rFonts w:ascii="Times New Roman" w:hAnsi="Times New Roman"/>
                      <w:sz w:val="21"/>
                      <w:szCs w:val="21"/>
                    </w:rPr>
                    <w:t>GA/T1211-2014）等标准；2、所有摄像机须支持ONVIF、GB/T28181-2016标准协议。</w:t>
                  </w:r>
                </w:p>
              </w:tc>
              <w:tc>
                <w:tcPr>
                  <w:tcW w:w="1316" w:type="pct"/>
                  <w:vMerge w:val="restart"/>
                  <w:tcBorders>
                    <w:tl2br w:val="nil"/>
                    <w:tr2bl w:val="nil"/>
                  </w:tcBorders>
                  <w:vAlign w:val="center"/>
                </w:tcPr>
                <w:p w14:paraId="60246774">
                  <w:pPr>
                    <w:spacing w:line="240" w:lineRule="auto"/>
                    <w:jc w:val="center"/>
                    <w:rPr>
                      <w:sz w:val="21"/>
                      <w:szCs w:val="21"/>
                    </w:rPr>
                  </w:pPr>
                  <w:r>
                    <w:rPr>
                      <w:sz w:val="21"/>
                      <w:szCs w:val="21"/>
                    </w:rPr>
                    <w:t>1、须连续记录危险废物出入库情况和物流情况，包含录制日期及时间显示，不得对原始影像文件进行拼接、剪辑和编辑，保证影像连贯；2、摄像头距离监控对象的位置应保证监控对象全部摄入监控视频中，同时避免人员、设备、建筑物等的遮挡，清楚辨识贮存、处理等关键环节；3、监控区域24小时须有足够的光源以保证画面清晰辨识。无法保证24小时足够光源的区域，应安装全景红外夜视高清视频监控；4、视频监控录像画面分辨率须达到300像素以上</w:t>
                  </w:r>
                  <w:r>
                    <w:rPr>
                      <w:rFonts w:hint="eastAsia"/>
                      <w:sz w:val="21"/>
                      <w:szCs w:val="21"/>
                    </w:rPr>
                    <w:t>。</w:t>
                  </w:r>
                </w:p>
              </w:tc>
              <w:tc>
                <w:tcPr>
                  <w:tcW w:w="877" w:type="pct"/>
                  <w:vMerge w:val="restart"/>
                  <w:tcBorders>
                    <w:tl2br w:val="nil"/>
                    <w:tr2bl w:val="nil"/>
                  </w:tcBorders>
                  <w:vAlign w:val="center"/>
                </w:tcPr>
                <w:p w14:paraId="0B2739B2">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1、视频监控系统应与中控室联网，并存储于中控系统。没有配备中控系统的，应采用硬盘或其他安全的方式存储，鼓励使用云存储方式，将视频记录传至网络云端按相关规定存储；2、企业应当做好备用电源、视频双备份等保障措施，确保视频监控全天24小时不间断录像，监控视频保存时间至少为3个月。</w:t>
                  </w:r>
                </w:p>
              </w:tc>
            </w:tr>
            <w:tr w14:paraId="25B5F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continue"/>
                  <w:tcBorders>
                    <w:tl2br w:val="nil"/>
                    <w:tr2bl w:val="nil"/>
                  </w:tcBorders>
                  <w:vAlign w:val="center"/>
                </w:tcPr>
                <w:p w14:paraId="064CCE0A">
                  <w:pPr>
                    <w:pStyle w:val="16"/>
                    <w:spacing w:before="0" w:beforeAutospacing="0" w:after="0" w:afterAutospacing="0" w:line="240" w:lineRule="auto"/>
                    <w:jc w:val="center"/>
                    <w:rPr>
                      <w:rFonts w:ascii="Times New Roman" w:hAnsi="Times New Roman"/>
                      <w:sz w:val="21"/>
                      <w:szCs w:val="21"/>
                    </w:rPr>
                  </w:pPr>
                </w:p>
              </w:tc>
              <w:tc>
                <w:tcPr>
                  <w:tcW w:w="441" w:type="pct"/>
                  <w:tcBorders>
                    <w:tl2br w:val="nil"/>
                    <w:tr2bl w:val="nil"/>
                  </w:tcBorders>
                  <w:vAlign w:val="center"/>
                </w:tcPr>
                <w:p w14:paraId="4B45ACFE">
                  <w:pPr>
                    <w:spacing w:line="240" w:lineRule="auto"/>
                    <w:jc w:val="center"/>
                    <w:rPr>
                      <w:sz w:val="21"/>
                      <w:szCs w:val="21"/>
                    </w:rPr>
                  </w:pPr>
                  <w:r>
                    <w:rPr>
                      <w:sz w:val="21"/>
                      <w:szCs w:val="21"/>
                    </w:rPr>
                    <w:t>全封闭式仓库内部</w:t>
                  </w:r>
                </w:p>
              </w:tc>
              <w:tc>
                <w:tcPr>
                  <w:tcW w:w="1080" w:type="pct"/>
                  <w:tcBorders>
                    <w:tl2br w:val="nil"/>
                    <w:tr2bl w:val="nil"/>
                  </w:tcBorders>
                  <w:vAlign w:val="center"/>
                </w:tcPr>
                <w:p w14:paraId="27A5749F">
                  <w:pPr>
                    <w:spacing w:line="240" w:lineRule="auto"/>
                    <w:jc w:val="center"/>
                    <w:rPr>
                      <w:sz w:val="21"/>
                      <w:szCs w:val="21"/>
                    </w:rPr>
                  </w:pPr>
                  <w:r>
                    <w:rPr>
                      <w:sz w:val="21"/>
                      <w:szCs w:val="21"/>
                    </w:rPr>
                    <w:t>全景视频监控，清晰记录仓库内部所有位置危险废物情况。</w:t>
                  </w:r>
                </w:p>
              </w:tc>
              <w:tc>
                <w:tcPr>
                  <w:tcW w:w="883" w:type="pct"/>
                  <w:vMerge w:val="continue"/>
                  <w:tcBorders>
                    <w:tl2br w:val="nil"/>
                    <w:tr2bl w:val="nil"/>
                  </w:tcBorders>
                  <w:vAlign w:val="center"/>
                </w:tcPr>
                <w:p w14:paraId="2B975F17">
                  <w:pPr>
                    <w:pStyle w:val="16"/>
                    <w:spacing w:before="0" w:beforeAutospacing="0" w:after="0" w:afterAutospacing="0" w:line="240" w:lineRule="auto"/>
                    <w:jc w:val="center"/>
                    <w:rPr>
                      <w:rFonts w:ascii="Times New Roman" w:hAnsi="Times New Roman"/>
                      <w:sz w:val="21"/>
                      <w:szCs w:val="21"/>
                    </w:rPr>
                  </w:pPr>
                </w:p>
              </w:tc>
              <w:tc>
                <w:tcPr>
                  <w:tcW w:w="1316" w:type="pct"/>
                  <w:vMerge w:val="continue"/>
                  <w:tcBorders>
                    <w:tl2br w:val="nil"/>
                    <w:tr2bl w:val="nil"/>
                  </w:tcBorders>
                  <w:vAlign w:val="center"/>
                </w:tcPr>
                <w:p w14:paraId="4BC06793">
                  <w:pPr>
                    <w:spacing w:line="240" w:lineRule="auto"/>
                    <w:jc w:val="center"/>
                    <w:rPr>
                      <w:sz w:val="21"/>
                      <w:szCs w:val="21"/>
                    </w:rPr>
                  </w:pPr>
                </w:p>
              </w:tc>
              <w:tc>
                <w:tcPr>
                  <w:tcW w:w="877" w:type="pct"/>
                  <w:vMerge w:val="continue"/>
                  <w:tcBorders>
                    <w:tl2br w:val="nil"/>
                    <w:tr2bl w:val="nil"/>
                  </w:tcBorders>
                  <w:vAlign w:val="center"/>
                </w:tcPr>
                <w:p w14:paraId="730E30E5">
                  <w:pPr>
                    <w:pStyle w:val="16"/>
                    <w:spacing w:before="0" w:beforeAutospacing="0" w:after="0" w:afterAutospacing="0" w:line="240" w:lineRule="auto"/>
                    <w:jc w:val="center"/>
                    <w:rPr>
                      <w:rFonts w:ascii="Times New Roman" w:hAnsi="Times New Roman"/>
                      <w:sz w:val="21"/>
                      <w:szCs w:val="21"/>
                    </w:rPr>
                  </w:pPr>
                </w:p>
              </w:tc>
            </w:tr>
            <w:tr w14:paraId="2B304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continue"/>
                  <w:tcBorders>
                    <w:tl2br w:val="nil"/>
                    <w:tr2bl w:val="nil"/>
                  </w:tcBorders>
                  <w:vAlign w:val="center"/>
                </w:tcPr>
                <w:p w14:paraId="253EA620">
                  <w:pPr>
                    <w:pStyle w:val="16"/>
                    <w:spacing w:before="0" w:beforeAutospacing="0" w:after="0" w:afterAutospacing="0" w:line="240" w:lineRule="auto"/>
                    <w:jc w:val="center"/>
                    <w:rPr>
                      <w:rFonts w:ascii="Times New Roman" w:hAnsi="Times New Roman"/>
                      <w:sz w:val="21"/>
                      <w:szCs w:val="21"/>
                    </w:rPr>
                  </w:pPr>
                </w:p>
              </w:tc>
              <w:tc>
                <w:tcPr>
                  <w:tcW w:w="441" w:type="pct"/>
                  <w:tcBorders>
                    <w:tl2br w:val="nil"/>
                    <w:tr2bl w:val="nil"/>
                  </w:tcBorders>
                  <w:vAlign w:val="center"/>
                </w:tcPr>
                <w:p w14:paraId="7F9B2801">
                  <w:pPr>
                    <w:spacing w:line="240" w:lineRule="auto"/>
                    <w:jc w:val="center"/>
                    <w:rPr>
                      <w:sz w:val="21"/>
                      <w:szCs w:val="21"/>
                    </w:rPr>
                  </w:pPr>
                  <w:r>
                    <w:rPr>
                      <w:sz w:val="21"/>
                      <w:szCs w:val="21"/>
                    </w:rPr>
                    <w:t>围墙、防护栅栏隔离区域</w:t>
                  </w:r>
                </w:p>
              </w:tc>
              <w:tc>
                <w:tcPr>
                  <w:tcW w:w="1080" w:type="pct"/>
                  <w:tcBorders>
                    <w:tl2br w:val="nil"/>
                    <w:tr2bl w:val="nil"/>
                  </w:tcBorders>
                  <w:vAlign w:val="center"/>
                </w:tcPr>
                <w:p w14:paraId="71CF51F5">
                  <w:pPr>
                    <w:spacing w:line="240" w:lineRule="auto"/>
                    <w:jc w:val="center"/>
                    <w:rPr>
                      <w:sz w:val="21"/>
                      <w:szCs w:val="21"/>
                    </w:rPr>
                  </w:pPr>
                  <w:r>
                    <w:rPr>
                      <w:sz w:val="21"/>
                      <w:szCs w:val="21"/>
                    </w:rPr>
                    <w:t>全景视频监控，画面须完全覆盖围墙围挡区域、防护栅栏隔离区域</w:t>
                  </w:r>
                </w:p>
              </w:tc>
              <w:tc>
                <w:tcPr>
                  <w:tcW w:w="883" w:type="pct"/>
                  <w:vMerge w:val="continue"/>
                  <w:tcBorders>
                    <w:tl2br w:val="nil"/>
                    <w:tr2bl w:val="nil"/>
                  </w:tcBorders>
                  <w:vAlign w:val="center"/>
                </w:tcPr>
                <w:p w14:paraId="4EECD658">
                  <w:pPr>
                    <w:pStyle w:val="16"/>
                    <w:spacing w:before="0" w:beforeAutospacing="0" w:after="0" w:afterAutospacing="0" w:line="240" w:lineRule="auto"/>
                    <w:jc w:val="center"/>
                    <w:rPr>
                      <w:rFonts w:ascii="Times New Roman" w:hAnsi="Times New Roman"/>
                      <w:sz w:val="21"/>
                      <w:szCs w:val="21"/>
                    </w:rPr>
                  </w:pPr>
                </w:p>
              </w:tc>
              <w:tc>
                <w:tcPr>
                  <w:tcW w:w="1316" w:type="pct"/>
                  <w:vMerge w:val="continue"/>
                  <w:tcBorders>
                    <w:tl2br w:val="nil"/>
                    <w:tr2bl w:val="nil"/>
                  </w:tcBorders>
                  <w:vAlign w:val="center"/>
                </w:tcPr>
                <w:p w14:paraId="6C1F9CB9">
                  <w:pPr>
                    <w:spacing w:line="240" w:lineRule="auto"/>
                    <w:jc w:val="center"/>
                    <w:rPr>
                      <w:sz w:val="21"/>
                      <w:szCs w:val="21"/>
                    </w:rPr>
                  </w:pPr>
                </w:p>
              </w:tc>
              <w:tc>
                <w:tcPr>
                  <w:tcW w:w="877" w:type="pct"/>
                  <w:vMerge w:val="continue"/>
                  <w:tcBorders>
                    <w:tl2br w:val="nil"/>
                    <w:tr2bl w:val="nil"/>
                  </w:tcBorders>
                  <w:vAlign w:val="center"/>
                </w:tcPr>
                <w:p w14:paraId="04B1BB90">
                  <w:pPr>
                    <w:pStyle w:val="16"/>
                    <w:spacing w:before="0" w:beforeAutospacing="0" w:after="0" w:afterAutospacing="0" w:line="240" w:lineRule="auto"/>
                    <w:jc w:val="center"/>
                    <w:rPr>
                      <w:rFonts w:ascii="Times New Roman" w:hAnsi="Times New Roman"/>
                      <w:sz w:val="21"/>
                      <w:szCs w:val="21"/>
                    </w:rPr>
                  </w:pPr>
                </w:p>
              </w:tc>
            </w:tr>
            <w:tr w14:paraId="3F245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continue"/>
                  <w:tcBorders>
                    <w:tl2br w:val="nil"/>
                    <w:tr2bl w:val="nil"/>
                  </w:tcBorders>
                  <w:vAlign w:val="center"/>
                </w:tcPr>
                <w:p w14:paraId="4157C2C3">
                  <w:pPr>
                    <w:pStyle w:val="16"/>
                    <w:spacing w:before="0" w:beforeAutospacing="0" w:after="0" w:afterAutospacing="0" w:line="240" w:lineRule="auto"/>
                    <w:jc w:val="center"/>
                    <w:rPr>
                      <w:rFonts w:ascii="Times New Roman" w:hAnsi="Times New Roman"/>
                      <w:sz w:val="21"/>
                      <w:szCs w:val="21"/>
                    </w:rPr>
                  </w:pPr>
                </w:p>
              </w:tc>
              <w:tc>
                <w:tcPr>
                  <w:tcW w:w="441" w:type="pct"/>
                  <w:tcBorders>
                    <w:tl2br w:val="nil"/>
                    <w:tr2bl w:val="nil"/>
                  </w:tcBorders>
                  <w:vAlign w:val="center"/>
                </w:tcPr>
                <w:p w14:paraId="69EBFAFB">
                  <w:pPr>
                    <w:spacing w:line="240" w:lineRule="auto"/>
                    <w:jc w:val="center"/>
                    <w:rPr>
                      <w:sz w:val="21"/>
                      <w:szCs w:val="21"/>
                    </w:rPr>
                  </w:pPr>
                  <w:r>
                    <w:rPr>
                      <w:sz w:val="21"/>
                      <w:szCs w:val="21"/>
                    </w:rPr>
                    <w:t>储罐、贮槽等罐区</w:t>
                  </w:r>
                </w:p>
              </w:tc>
              <w:tc>
                <w:tcPr>
                  <w:tcW w:w="1080" w:type="pct"/>
                  <w:tcBorders>
                    <w:tl2br w:val="nil"/>
                    <w:tr2bl w:val="nil"/>
                  </w:tcBorders>
                  <w:vAlign w:val="center"/>
                </w:tcPr>
                <w:p w14:paraId="301EC2FA">
                  <w:pPr>
                    <w:spacing w:line="240" w:lineRule="auto"/>
                    <w:jc w:val="center"/>
                    <w:rPr>
                      <w:sz w:val="21"/>
                      <w:szCs w:val="21"/>
                    </w:rPr>
                  </w:pPr>
                  <w:r>
                    <w:rPr>
                      <w:sz w:val="21"/>
                      <w:szCs w:val="21"/>
                    </w:rPr>
                    <w:t>1、含数据输出功能的液位计；2、全景视频监控，画面须完全覆盖罐区、贮槽区域。</w:t>
                  </w:r>
                </w:p>
              </w:tc>
              <w:tc>
                <w:tcPr>
                  <w:tcW w:w="883" w:type="pct"/>
                  <w:vMerge w:val="continue"/>
                  <w:tcBorders>
                    <w:tl2br w:val="nil"/>
                    <w:tr2bl w:val="nil"/>
                  </w:tcBorders>
                  <w:vAlign w:val="center"/>
                </w:tcPr>
                <w:p w14:paraId="1CC67813">
                  <w:pPr>
                    <w:pStyle w:val="16"/>
                    <w:spacing w:before="0" w:beforeAutospacing="0" w:after="0" w:afterAutospacing="0" w:line="240" w:lineRule="auto"/>
                    <w:jc w:val="center"/>
                    <w:rPr>
                      <w:rFonts w:ascii="Times New Roman" w:hAnsi="Times New Roman"/>
                      <w:sz w:val="21"/>
                      <w:szCs w:val="21"/>
                    </w:rPr>
                  </w:pPr>
                </w:p>
              </w:tc>
              <w:tc>
                <w:tcPr>
                  <w:tcW w:w="1316" w:type="pct"/>
                  <w:vMerge w:val="continue"/>
                  <w:tcBorders>
                    <w:tl2br w:val="nil"/>
                    <w:tr2bl w:val="nil"/>
                  </w:tcBorders>
                  <w:vAlign w:val="center"/>
                </w:tcPr>
                <w:p w14:paraId="5EE15F25">
                  <w:pPr>
                    <w:spacing w:line="240" w:lineRule="auto"/>
                    <w:jc w:val="center"/>
                    <w:rPr>
                      <w:sz w:val="21"/>
                      <w:szCs w:val="21"/>
                    </w:rPr>
                  </w:pPr>
                </w:p>
              </w:tc>
              <w:tc>
                <w:tcPr>
                  <w:tcW w:w="877" w:type="pct"/>
                  <w:vMerge w:val="continue"/>
                  <w:tcBorders>
                    <w:tl2br w:val="nil"/>
                    <w:tr2bl w:val="nil"/>
                  </w:tcBorders>
                  <w:vAlign w:val="center"/>
                </w:tcPr>
                <w:p w14:paraId="412951F9">
                  <w:pPr>
                    <w:pStyle w:val="16"/>
                    <w:spacing w:before="0" w:beforeAutospacing="0" w:after="0" w:afterAutospacing="0" w:line="240" w:lineRule="auto"/>
                    <w:jc w:val="center"/>
                    <w:rPr>
                      <w:rFonts w:ascii="Times New Roman" w:hAnsi="Times New Roman"/>
                      <w:sz w:val="21"/>
                      <w:szCs w:val="21"/>
                    </w:rPr>
                  </w:pPr>
                </w:p>
              </w:tc>
            </w:tr>
            <w:tr w14:paraId="08A9C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gridSpan w:val="2"/>
                  <w:tcBorders>
                    <w:tl2br w:val="nil"/>
                    <w:tr2bl w:val="nil"/>
                  </w:tcBorders>
                  <w:vAlign w:val="center"/>
                </w:tcPr>
                <w:p w14:paraId="536DBA62">
                  <w:pPr>
                    <w:spacing w:line="240" w:lineRule="auto"/>
                    <w:jc w:val="center"/>
                    <w:rPr>
                      <w:kern w:val="0"/>
                      <w:sz w:val="21"/>
                      <w:szCs w:val="21"/>
                    </w:rPr>
                  </w:pPr>
                  <w:r>
                    <w:rPr>
                      <w:kern w:val="0"/>
                      <w:sz w:val="21"/>
                      <w:szCs w:val="21"/>
                    </w:rPr>
                    <w:t>二、装卸区域</w:t>
                  </w:r>
                </w:p>
              </w:tc>
              <w:tc>
                <w:tcPr>
                  <w:tcW w:w="1080" w:type="pct"/>
                  <w:tcBorders>
                    <w:tl2br w:val="nil"/>
                    <w:tr2bl w:val="nil"/>
                  </w:tcBorders>
                  <w:vAlign w:val="center"/>
                </w:tcPr>
                <w:p w14:paraId="1E7E7F93">
                  <w:pPr>
                    <w:spacing w:line="240" w:lineRule="auto"/>
                    <w:jc w:val="center"/>
                    <w:rPr>
                      <w:kern w:val="0"/>
                      <w:sz w:val="21"/>
                      <w:szCs w:val="21"/>
                    </w:rPr>
                  </w:pPr>
                  <w:r>
                    <w:rPr>
                      <w:kern w:val="0"/>
                      <w:sz w:val="21"/>
                      <w:szCs w:val="21"/>
                    </w:rPr>
                    <w:t>全景视频监控，能清晰记录装卸过程，抓拍驾驶员和运输车辆车牌号码等信息。</w:t>
                  </w:r>
                </w:p>
              </w:tc>
              <w:tc>
                <w:tcPr>
                  <w:tcW w:w="883" w:type="pct"/>
                  <w:tcBorders>
                    <w:tl2br w:val="nil"/>
                    <w:tr2bl w:val="nil"/>
                  </w:tcBorders>
                  <w:vAlign w:val="center"/>
                </w:tcPr>
                <w:p w14:paraId="20BF5310">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同上</w:t>
                  </w:r>
                </w:p>
              </w:tc>
              <w:tc>
                <w:tcPr>
                  <w:tcW w:w="1316" w:type="pct"/>
                  <w:tcBorders>
                    <w:tl2br w:val="nil"/>
                    <w:tr2bl w:val="nil"/>
                  </w:tcBorders>
                  <w:vAlign w:val="center"/>
                </w:tcPr>
                <w:p w14:paraId="2857E384">
                  <w:pPr>
                    <w:spacing w:line="240" w:lineRule="auto"/>
                    <w:jc w:val="center"/>
                    <w:rPr>
                      <w:sz w:val="21"/>
                      <w:szCs w:val="21"/>
                    </w:rPr>
                  </w:pPr>
                  <w:r>
                    <w:rPr>
                      <w:sz w:val="21"/>
                      <w:szCs w:val="21"/>
                    </w:rPr>
                    <w:t>同上</w:t>
                  </w:r>
                </w:p>
              </w:tc>
              <w:tc>
                <w:tcPr>
                  <w:tcW w:w="877" w:type="pct"/>
                  <w:tcBorders>
                    <w:tl2br w:val="nil"/>
                    <w:tr2bl w:val="nil"/>
                  </w:tcBorders>
                  <w:vAlign w:val="center"/>
                </w:tcPr>
                <w:p w14:paraId="056BAEAA">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同上</w:t>
                  </w:r>
                </w:p>
              </w:tc>
            </w:tr>
            <w:tr w14:paraId="7D0F4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gridSpan w:val="2"/>
                  <w:tcBorders>
                    <w:tl2br w:val="nil"/>
                    <w:tr2bl w:val="nil"/>
                  </w:tcBorders>
                  <w:vAlign w:val="center"/>
                </w:tcPr>
                <w:p w14:paraId="293B05AC">
                  <w:pPr>
                    <w:spacing w:line="240" w:lineRule="auto"/>
                    <w:jc w:val="center"/>
                    <w:rPr>
                      <w:sz w:val="21"/>
                      <w:szCs w:val="21"/>
                    </w:rPr>
                  </w:pPr>
                  <w:r>
                    <w:rPr>
                      <w:sz w:val="21"/>
                      <w:szCs w:val="21"/>
                    </w:rPr>
                    <w:t>三、危废运输车辆通道（含车辆出口和入口）</w:t>
                  </w:r>
                </w:p>
              </w:tc>
              <w:tc>
                <w:tcPr>
                  <w:tcW w:w="1080" w:type="pct"/>
                  <w:tcBorders>
                    <w:tl2br w:val="nil"/>
                    <w:tr2bl w:val="nil"/>
                  </w:tcBorders>
                  <w:vAlign w:val="center"/>
                </w:tcPr>
                <w:p w14:paraId="40C9ABBE">
                  <w:pPr>
                    <w:spacing w:line="240" w:lineRule="auto"/>
                    <w:jc w:val="center"/>
                    <w:rPr>
                      <w:sz w:val="21"/>
                      <w:szCs w:val="21"/>
                    </w:rPr>
                  </w:pPr>
                  <w:r>
                    <w:rPr>
                      <w:sz w:val="21"/>
                      <w:szCs w:val="21"/>
                    </w:rPr>
                    <w:t>1、全景视频监控，清晰记录车辆出入情况；2、摄像机应具备抓拍驾驶员和车牌号码功能。</w:t>
                  </w:r>
                </w:p>
              </w:tc>
              <w:tc>
                <w:tcPr>
                  <w:tcW w:w="883" w:type="pct"/>
                  <w:tcBorders>
                    <w:tl2br w:val="nil"/>
                    <w:tr2bl w:val="nil"/>
                  </w:tcBorders>
                  <w:vAlign w:val="center"/>
                </w:tcPr>
                <w:p w14:paraId="7EC083D6">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同上</w:t>
                  </w:r>
                </w:p>
              </w:tc>
              <w:tc>
                <w:tcPr>
                  <w:tcW w:w="1316" w:type="pct"/>
                  <w:tcBorders>
                    <w:tl2br w:val="nil"/>
                    <w:tr2bl w:val="nil"/>
                  </w:tcBorders>
                  <w:vAlign w:val="center"/>
                </w:tcPr>
                <w:p w14:paraId="32A008F1">
                  <w:pPr>
                    <w:spacing w:line="240" w:lineRule="auto"/>
                    <w:jc w:val="center"/>
                    <w:rPr>
                      <w:sz w:val="21"/>
                      <w:szCs w:val="21"/>
                    </w:rPr>
                  </w:pPr>
                  <w:r>
                    <w:rPr>
                      <w:sz w:val="21"/>
                      <w:szCs w:val="21"/>
                    </w:rPr>
                    <w:t>同上</w:t>
                  </w:r>
                </w:p>
              </w:tc>
              <w:tc>
                <w:tcPr>
                  <w:tcW w:w="877" w:type="pct"/>
                  <w:tcBorders>
                    <w:tl2br w:val="nil"/>
                    <w:tr2bl w:val="nil"/>
                  </w:tcBorders>
                  <w:vAlign w:val="center"/>
                </w:tcPr>
                <w:p w14:paraId="730C3FA8">
                  <w:pPr>
                    <w:pStyle w:val="16"/>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同上</w:t>
                  </w:r>
                </w:p>
              </w:tc>
            </w:tr>
          </w:tbl>
          <w:p w14:paraId="3199499D">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（4）危废收集、运输措施分析</w:t>
            </w:r>
          </w:p>
          <w:p w14:paraId="4467F922">
            <w:pPr>
              <w:pStyle w:val="16"/>
              <w:spacing w:before="0" w:beforeAutospacing="0" w:after="0" w:afterAutospacing="0" w:line="480" w:lineRule="exact"/>
              <w:ind w:firstLine="480" w:firstLineChars="200"/>
              <w:jc w:val="both"/>
              <w:rPr>
                <w:rFonts w:ascii="Times New Roman" w:hAnsi="Times New Roman"/>
                <w:szCs w:val="24"/>
              </w:rPr>
            </w:pPr>
            <w:r>
              <w:rPr>
                <w:rFonts w:hint="eastAsia" w:ascii="仿宋" w:hAnsi="仿宋" w:eastAsia="仿宋" w:cs="仿宋"/>
                <w:szCs w:val="24"/>
              </w:rPr>
              <w:t>①</w:t>
            </w:r>
            <w:r>
              <w:rPr>
                <w:rFonts w:ascii="Times New Roman" w:hAnsi="Times New Roman"/>
                <w:szCs w:val="24"/>
              </w:rPr>
              <w:t xml:space="preserve">危险废物收集污染防治措施分析 </w:t>
            </w:r>
          </w:p>
          <w:p w14:paraId="442E21FC">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危险废物在收集时，应清楚废物的类别和主要成分，以方便委托处理单位处理，根据危险废物的性质和形态，可采用不同大小的和不同材质的容器进行包装，所有包装容器应足够安全，并经过周密检查，严防在装载、搬移或运输途中出现渗漏、溢出、抛洒或挥发等情况，最后按照江苏省环保厅（苏环控</w:t>
            </w:r>
            <w:r>
              <w:rPr>
                <w:rFonts w:hint="eastAsia" w:ascii="Times New Roman" w:hAnsi="Times New Roman"/>
                <w:szCs w:val="24"/>
                <w:lang w:eastAsia="zh-CN"/>
              </w:rPr>
              <w:t>〔1997〕134号</w:t>
            </w:r>
            <w:r>
              <w:rPr>
                <w:rFonts w:ascii="Times New Roman" w:hAnsi="Times New Roman"/>
                <w:szCs w:val="24"/>
              </w:rPr>
              <w:t>文）《关于加强危险废物交换和转移管理工作的通知》要求，对危险废物进行安全包装，并在包装明显位置附上危险废物标签。</w:t>
            </w:r>
          </w:p>
          <w:p w14:paraId="62EBFC9D">
            <w:pPr>
              <w:pStyle w:val="16"/>
              <w:spacing w:before="0" w:beforeAutospacing="0" w:after="0" w:afterAutospacing="0" w:line="480" w:lineRule="exact"/>
              <w:ind w:firstLine="480" w:firstLineChars="200"/>
              <w:jc w:val="both"/>
              <w:rPr>
                <w:rFonts w:ascii="Times New Roman" w:hAnsi="Times New Roman"/>
                <w:szCs w:val="24"/>
              </w:rPr>
            </w:pPr>
            <w:r>
              <w:rPr>
                <w:rFonts w:hint="eastAsia" w:ascii="仿宋" w:hAnsi="仿宋" w:eastAsia="仿宋" w:cs="仿宋"/>
                <w:szCs w:val="24"/>
              </w:rPr>
              <w:t>②</w:t>
            </w:r>
            <w:r>
              <w:rPr>
                <w:rFonts w:ascii="Times New Roman" w:hAnsi="Times New Roman"/>
                <w:szCs w:val="24"/>
              </w:rPr>
              <w:t>危险废物运输污染防治措施分析</w:t>
            </w:r>
          </w:p>
          <w:p w14:paraId="16C825E3">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危险废物运输中</w:t>
            </w:r>
            <w:r>
              <w:rPr>
                <w:rFonts w:hint="eastAsia" w:ascii="Times New Roman" w:hAnsi="Times New Roman"/>
                <w:szCs w:val="24"/>
              </w:rPr>
              <w:t>应</w:t>
            </w:r>
            <w:r>
              <w:rPr>
                <w:rFonts w:ascii="Times New Roman" w:hAnsi="Times New Roman"/>
                <w:szCs w:val="24"/>
              </w:rPr>
              <w:t>做到以下几点：</w:t>
            </w:r>
          </w:p>
          <w:p w14:paraId="0031F44B">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a.危险废物的运输车辆必须经主管单位检查，并持有有关单位签发的许可证，负责运输的司机应通过培训，持有证明文件；</w:t>
            </w:r>
          </w:p>
          <w:p w14:paraId="47131FED">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b.运输危险废物的车辆须有明显的标注或适当的危险信号，以引起注意；</w:t>
            </w:r>
          </w:p>
          <w:p w14:paraId="7F9B4124">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c.载有危险废物的车辆在公路上行驶时，需持有运输许可证，其上应注明废物来源、性质和运往地点，必要时须有专门单位人员负责押运；</w:t>
            </w:r>
          </w:p>
          <w:p w14:paraId="7B62D03B">
            <w:pPr>
              <w:pStyle w:val="16"/>
              <w:spacing w:before="0" w:beforeAutospacing="0" w:after="0" w:afterAutospacing="0" w:line="480" w:lineRule="exact"/>
              <w:ind w:firstLine="480" w:firstLineChars="200"/>
              <w:jc w:val="both"/>
              <w:rPr>
                <w:rFonts w:ascii="Times New Roman" w:hAnsi="Times New Roman"/>
                <w:szCs w:val="24"/>
              </w:rPr>
            </w:pPr>
            <w:r>
              <w:rPr>
                <w:rFonts w:ascii="Times New Roman" w:hAnsi="Times New Roman"/>
                <w:szCs w:val="24"/>
              </w:rPr>
              <w:t>d.组织危险废物的运输单位，在事先需作出周密的运输计划和行驶路线，其中包括了废物泄漏情况下的应急措施。</w:t>
            </w:r>
          </w:p>
          <w:p w14:paraId="7ACD9D0F">
            <w:pPr>
              <w:pStyle w:val="16"/>
              <w:spacing w:before="0" w:beforeAutospacing="0" w:after="0" w:afterAutospacing="0" w:line="480" w:lineRule="exact"/>
              <w:ind w:firstLine="480" w:firstLineChars="200"/>
              <w:jc w:val="both"/>
              <w:rPr>
                <w:rFonts w:ascii="Times New Roman" w:hAnsi="Times New Roman"/>
              </w:rPr>
            </w:pPr>
            <w:r>
              <w:rPr>
                <w:rFonts w:ascii="Times New Roman" w:hAnsi="Times New Roman"/>
              </w:rPr>
              <w:t>（5）危险废物处置可行性分析</w:t>
            </w:r>
          </w:p>
          <w:p w14:paraId="5260F2CA">
            <w:pPr>
              <w:pStyle w:val="16"/>
              <w:spacing w:before="0" w:beforeAutospacing="0" w:after="0" w:afterAutospacing="0" w:line="480" w:lineRule="exact"/>
              <w:ind w:firstLine="480" w:firstLineChars="200"/>
              <w:jc w:val="both"/>
              <w:rPr>
                <w:rFonts w:hint="eastAsia" w:ascii="Times New Roman" w:hAnsi="Times New Roman"/>
                <w:lang w:val="en-US" w:eastAsia="zh-CN"/>
              </w:rPr>
            </w:pPr>
            <w:r>
              <w:rPr>
                <w:rFonts w:ascii="Times New Roman" w:hAnsi="Times New Roman"/>
              </w:rPr>
              <w:t>本项目产生的危险废物主要为废</w:t>
            </w:r>
            <w:r>
              <w:rPr>
                <w:rFonts w:hint="eastAsia" w:ascii="Times New Roman" w:hAnsi="Times New Roman"/>
                <w:lang w:val="en-US" w:eastAsia="zh-CN"/>
              </w:rPr>
              <w:t>机</w:t>
            </w:r>
            <w:r>
              <w:rPr>
                <w:rFonts w:hint="eastAsia" w:ascii="Times New Roman" w:hAnsi="Times New Roman"/>
              </w:rPr>
              <w:t>油</w:t>
            </w:r>
            <w:r>
              <w:rPr>
                <w:rFonts w:ascii="Times New Roman" w:hAnsi="Times New Roman"/>
              </w:rPr>
              <w:t>、</w:t>
            </w:r>
            <w:r>
              <w:rPr>
                <w:rFonts w:hint="eastAsia" w:ascii="Times New Roman" w:hAnsi="Times New Roman"/>
                <w:lang w:val="en-US" w:eastAsia="zh-CN"/>
              </w:rPr>
              <w:t>废包装桶</w:t>
            </w:r>
            <w:r>
              <w:rPr>
                <w:rFonts w:hint="eastAsia" w:ascii="Times New Roman" w:hAnsi="Times New Roman"/>
              </w:rPr>
              <w:t>、</w:t>
            </w:r>
            <w:r>
              <w:rPr>
                <w:rFonts w:hint="eastAsia" w:ascii="Times New Roman" w:hAnsi="Times New Roman"/>
                <w:lang w:val="en-US" w:eastAsia="zh-CN"/>
              </w:rPr>
              <w:t>炉渣、废过滤材料、废脱模剂、喷淋废液和废活性炭。</w:t>
            </w:r>
          </w:p>
          <w:p w14:paraId="63333198">
            <w:pPr>
              <w:pStyle w:val="16"/>
              <w:spacing w:before="0" w:beforeAutospacing="0" w:after="0" w:afterAutospacing="0" w:line="480" w:lineRule="exact"/>
              <w:ind w:firstLine="480" w:firstLineChars="200"/>
              <w:jc w:val="both"/>
              <w:rPr>
                <w:rFonts w:hint="default" w:ascii="Times New Roman" w:hAnsi="Times New Roman"/>
                <w:lang w:val="en-US" w:eastAsia="zh-CN"/>
              </w:rPr>
            </w:pPr>
            <w:r>
              <w:rPr>
                <w:rFonts w:hint="eastAsia" w:ascii="Times New Roman" w:hAnsi="Times New Roman"/>
                <w:lang w:val="en-US" w:eastAsia="zh-CN"/>
              </w:rPr>
              <w:t>炉渣</w:t>
            </w:r>
            <w:r>
              <w:rPr>
                <w:rFonts w:ascii="Times New Roman" w:hAnsi="Times New Roman"/>
              </w:rPr>
              <w:t>拟委托</w:t>
            </w:r>
            <w:r>
              <w:rPr>
                <w:rFonts w:hint="eastAsia" w:ascii="Times New Roman" w:hAnsi="Times New Roman"/>
                <w:lang w:eastAsia="zh-CN"/>
              </w:rPr>
              <w:t>高邮市环创资源再生科技有限公司</w:t>
            </w:r>
            <w:r>
              <w:rPr>
                <w:rFonts w:ascii="Times New Roman" w:hAnsi="Times New Roman"/>
              </w:rPr>
              <w:t>处置。</w:t>
            </w:r>
            <w:r>
              <w:rPr>
                <w:rFonts w:hint="eastAsia" w:ascii="Times New Roman" w:hAnsi="Times New Roman"/>
                <w:lang w:eastAsia="zh-CN"/>
              </w:rPr>
              <w:t>高邮市环创资源再生科技有限公司</w:t>
            </w:r>
            <w:r>
              <w:rPr>
                <w:rFonts w:hint="eastAsia" w:ascii="Times New Roman" w:hAnsi="Times New Roman"/>
                <w:lang w:val="en-US" w:eastAsia="zh-CN"/>
              </w:rPr>
              <w:t>位于</w:t>
            </w:r>
            <w:r>
              <w:rPr>
                <w:rFonts w:ascii="Times New Roman" w:hAnsi="Times New Roman"/>
              </w:rPr>
              <w:t>高邮市龙虬镇环保产业园，危废经营许可证编号JSYZ1084OOD033-3，</w:t>
            </w:r>
            <w:r>
              <w:rPr>
                <w:rFonts w:hint="eastAsia" w:ascii="Times New Roman" w:hAnsi="Times New Roman"/>
              </w:rPr>
              <w:t>有效期至202</w:t>
            </w:r>
            <w:r>
              <w:rPr>
                <w:rFonts w:hint="eastAsia" w:ascii="Times New Roman" w:hAnsi="Times New Roman"/>
                <w:lang w:val="en-US" w:eastAsia="zh-CN"/>
              </w:rPr>
              <w:t>8</w:t>
            </w:r>
            <w:r>
              <w:rPr>
                <w:rFonts w:hint="eastAsia" w:ascii="Times New Roman" w:hAnsi="Times New Roman"/>
              </w:rPr>
              <w:t>年</w:t>
            </w:r>
            <w:r>
              <w:rPr>
                <w:rFonts w:hint="eastAsia" w:ascii="Times New Roman" w:hAnsi="Times New Roman"/>
                <w:lang w:val="en-US" w:eastAsia="zh-CN"/>
              </w:rPr>
              <w:t>6</w:t>
            </w:r>
            <w:r>
              <w:rPr>
                <w:rFonts w:hint="eastAsia" w:ascii="Times New Roman" w:hAnsi="Times New Roman"/>
              </w:rPr>
              <w:t>月</w:t>
            </w:r>
            <w:r>
              <w:rPr>
                <w:rFonts w:hint="eastAsia" w:ascii="Times New Roman" w:hAnsi="Times New Roman"/>
                <w:lang w:val="en-US" w:eastAsia="zh-CN"/>
              </w:rPr>
              <w:t>24</w:t>
            </w:r>
            <w:r>
              <w:rPr>
                <w:rFonts w:hint="eastAsia" w:ascii="Times New Roman" w:hAnsi="Times New Roman"/>
              </w:rPr>
              <w:t>日，</w:t>
            </w:r>
            <w:r>
              <w:rPr>
                <w:rFonts w:hint="eastAsia" w:ascii="Times New Roman" w:hAnsi="Times New Roman"/>
                <w:lang w:val="en-US" w:eastAsia="zh-CN"/>
              </w:rPr>
              <w:t>处置方式为</w:t>
            </w:r>
            <w:r>
              <w:rPr>
                <w:rFonts w:ascii="Times New Roman" w:hAnsi="Times New Roman"/>
              </w:rPr>
              <w:t>R4再循环/再利用金属和金属化合物</w:t>
            </w:r>
            <w:r>
              <w:rPr>
                <w:rFonts w:hint="eastAsia" w:ascii="Times New Roman" w:hAnsi="Times New Roman"/>
                <w:lang w:eastAsia="zh-CN"/>
              </w:rPr>
              <w:t>，</w:t>
            </w:r>
            <w:r>
              <w:rPr>
                <w:rFonts w:hint="eastAsia" w:ascii="Times New Roman" w:hAnsi="Times New Roman"/>
                <w:lang w:val="en-US" w:eastAsia="zh-CN"/>
              </w:rPr>
              <w:t>处置能力为68000吨/年；</w:t>
            </w:r>
          </w:p>
          <w:p w14:paraId="11AB2151">
            <w:pPr>
              <w:pStyle w:val="16"/>
              <w:spacing w:before="0" w:beforeAutospacing="0" w:after="0" w:afterAutospacing="0" w:line="480" w:lineRule="exact"/>
              <w:ind w:firstLine="480" w:firstLineChars="200"/>
              <w:jc w:val="both"/>
              <w:rPr>
                <w:rFonts w:ascii="Times New Roman" w:hAnsi="Times New Roman"/>
                <w:bCs/>
              </w:rPr>
            </w:pPr>
            <w:r>
              <w:rPr>
                <w:rFonts w:ascii="Times New Roman" w:hAnsi="Times New Roman"/>
              </w:rPr>
              <w:t>废</w:t>
            </w:r>
            <w:r>
              <w:rPr>
                <w:rFonts w:hint="eastAsia" w:ascii="Times New Roman" w:hAnsi="Times New Roman"/>
                <w:lang w:val="en-US" w:eastAsia="zh-CN"/>
              </w:rPr>
              <w:t>机</w:t>
            </w:r>
            <w:r>
              <w:rPr>
                <w:rFonts w:hint="eastAsia" w:ascii="Times New Roman" w:hAnsi="Times New Roman"/>
              </w:rPr>
              <w:t>油</w:t>
            </w:r>
            <w:r>
              <w:rPr>
                <w:rFonts w:ascii="Times New Roman" w:hAnsi="Times New Roman"/>
              </w:rPr>
              <w:t>、</w:t>
            </w:r>
            <w:r>
              <w:rPr>
                <w:rFonts w:hint="eastAsia" w:ascii="Times New Roman" w:hAnsi="Times New Roman"/>
                <w:lang w:val="en-US" w:eastAsia="zh-CN"/>
              </w:rPr>
              <w:t>废包装桶、废过滤材料、废脱模剂、喷淋废液和废活性炭</w:t>
            </w:r>
            <w:r>
              <w:rPr>
                <w:rFonts w:ascii="Times New Roman" w:hAnsi="Times New Roman"/>
              </w:rPr>
              <w:t>拟委托</w:t>
            </w:r>
            <w:r>
              <w:rPr>
                <w:rFonts w:hint="eastAsia" w:ascii="Times New Roman" w:hAnsi="Times New Roman"/>
                <w:bCs/>
                <w:lang w:eastAsia="zh-CN"/>
              </w:rPr>
              <w:t>江苏苏铖洪曜环保科技有限公司</w:t>
            </w:r>
            <w:r>
              <w:rPr>
                <w:rFonts w:ascii="Times New Roman" w:hAnsi="Times New Roman"/>
              </w:rPr>
              <w:t>处置。</w:t>
            </w:r>
            <w:r>
              <w:rPr>
                <w:rFonts w:hint="eastAsia" w:ascii="Times New Roman" w:hAnsi="Times New Roman"/>
                <w:bCs/>
                <w:lang w:eastAsia="zh-CN"/>
              </w:rPr>
              <w:t>江苏苏铖洪曜环保科技有限公司</w:t>
            </w:r>
            <w:r>
              <w:rPr>
                <w:rFonts w:hint="eastAsia" w:ascii="Times New Roman" w:hAnsi="Times New Roman"/>
                <w:lang w:val="en-US" w:eastAsia="zh-CN"/>
              </w:rPr>
              <w:t>位于</w:t>
            </w:r>
            <w:r>
              <w:rPr>
                <w:rFonts w:hint="eastAsia" w:ascii="Times New Roman" w:hAnsi="Times New Roman"/>
                <w:bCs/>
                <w:lang w:eastAsia="zh-CN"/>
              </w:rPr>
              <w:t>常州市新北区正强路9号</w:t>
            </w:r>
            <w:r>
              <w:rPr>
                <w:rFonts w:ascii="Times New Roman" w:hAnsi="Times New Roman"/>
                <w:bCs/>
              </w:rPr>
              <w:t>，危废经营许可证编号</w:t>
            </w:r>
            <w:r>
              <w:rPr>
                <w:rFonts w:hint="eastAsia" w:ascii="Times New Roman" w:hAnsi="Times New Roman"/>
                <w:bCs/>
                <w:lang w:eastAsia="zh-CN"/>
              </w:rPr>
              <w:t>JSCZ0411CSO090-2</w:t>
            </w:r>
            <w:r>
              <w:rPr>
                <w:rFonts w:ascii="Times New Roman" w:hAnsi="Times New Roman"/>
                <w:bCs/>
              </w:rPr>
              <w:t>，</w:t>
            </w:r>
            <w:r>
              <w:rPr>
                <w:rFonts w:hint="eastAsia" w:ascii="Times New Roman" w:hAnsi="Times New Roman"/>
                <w:bCs/>
              </w:rPr>
              <w:t>有效期至202</w:t>
            </w:r>
            <w:r>
              <w:rPr>
                <w:rFonts w:hint="eastAsia" w:ascii="Times New Roman" w:hAnsi="Times New Roman"/>
                <w:bCs/>
                <w:lang w:val="en-US" w:eastAsia="zh-CN"/>
              </w:rPr>
              <w:t>6</w:t>
            </w:r>
            <w:r>
              <w:rPr>
                <w:rFonts w:hint="eastAsia" w:ascii="Times New Roman" w:hAnsi="Times New Roman"/>
                <w:bCs/>
              </w:rPr>
              <w:t>年</w:t>
            </w:r>
            <w:r>
              <w:rPr>
                <w:rFonts w:hint="eastAsia" w:ascii="Times New Roman" w:hAnsi="Times New Roman"/>
                <w:bCs/>
                <w:lang w:val="en-US" w:eastAsia="zh-CN"/>
              </w:rPr>
              <w:t>12</w:t>
            </w:r>
            <w:r>
              <w:rPr>
                <w:rFonts w:hint="eastAsia" w:ascii="Times New Roman" w:hAnsi="Times New Roman"/>
                <w:bCs/>
              </w:rPr>
              <w:t>月</w:t>
            </w:r>
            <w:r>
              <w:rPr>
                <w:rFonts w:hint="eastAsia" w:ascii="Times New Roman" w:hAnsi="Times New Roman"/>
                <w:bCs/>
                <w:lang w:val="en-US" w:eastAsia="zh-CN"/>
              </w:rPr>
              <w:t>28</w:t>
            </w:r>
            <w:r>
              <w:rPr>
                <w:rFonts w:hint="eastAsia" w:ascii="Times New Roman" w:hAnsi="Times New Roman"/>
                <w:bCs/>
              </w:rPr>
              <w:t>日，</w:t>
            </w:r>
            <w:r>
              <w:rPr>
                <w:rFonts w:hint="eastAsia" w:ascii="Times New Roman" w:hAnsi="Times New Roman"/>
                <w:lang w:val="en-US" w:eastAsia="zh-CN"/>
              </w:rPr>
              <w:t>处置方式为</w:t>
            </w:r>
            <w:r>
              <w:rPr>
                <w:rFonts w:ascii="Times New Roman" w:hAnsi="Times New Roman"/>
                <w:bCs/>
              </w:rPr>
              <w:t>C5收集废物，收集废物</w:t>
            </w:r>
            <w:r>
              <w:rPr>
                <w:rFonts w:hint="eastAsia" w:ascii="Times New Roman" w:hAnsi="Times New Roman"/>
                <w:bCs/>
                <w:lang w:val="en-US" w:eastAsia="zh-CN"/>
              </w:rPr>
              <w:t>能力为</w:t>
            </w:r>
            <w:r>
              <w:rPr>
                <w:rFonts w:hint="eastAsia" w:ascii="Times New Roman" w:hAnsi="Times New Roman"/>
                <w:bCs/>
              </w:rPr>
              <w:t>5</w:t>
            </w:r>
            <w:r>
              <w:rPr>
                <w:rFonts w:ascii="Times New Roman" w:hAnsi="Times New Roman"/>
                <w:bCs/>
              </w:rPr>
              <w:t>000吨/年。</w:t>
            </w:r>
          </w:p>
          <w:p w14:paraId="05F20604">
            <w:pPr>
              <w:pStyle w:val="16"/>
              <w:spacing w:before="0" w:beforeAutospacing="0" w:after="0" w:afterAutospacing="0" w:line="480" w:lineRule="exact"/>
              <w:ind w:firstLine="480" w:firstLineChars="200"/>
              <w:jc w:val="both"/>
              <w:rPr>
                <w:rFonts w:ascii="Times New Roman" w:hAnsi="Times New Roman"/>
                <w:bCs/>
              </w:rPr>
            </w:pPr>
            <w:r>
              <w:rPr>
                <w:rFonts w:hint="eastAsia" w:ascii="Times New Roman" w:hAnsi="Times New Roman"/>
                <w:bCs/>
              </w:rPr>
              <w:t>可见</w:t>
            </w:r>
            <w:r>
              <w:rPr>
                <w:rFonts w:hint="eastAsia" w:ascii="Times New Roman" w:hAnsi="Times New Roman"/>
                <w:bCs/>
                <w:lang w:val="en-US" w:eastAsia="zh-CN"/>
              </w:rPr>
              <w:t>本项目危废</w:t>
            </w:r>
            <w:r>
              <w:rPr>
                <w:rFonts w:ascii="Times New Roman" w:hAnsi="Times New Roman"/>
                <w:bCs/>
              </w:rPr>
              <w:t>委托</w:t>
            </w:r>
            <w:r>
              <w:rPr>
                <w:rFonts w:hint="eastAsia" w:ascii="Times New Roman" w:hAnsi="Times New Roman"/>
                <w:lang w:eastAsia="zh-CN"/>
              </w:rPr>
              <w:t>高邮市环创资源再生科技有限公司</w:t>
            </w:r>
            <w:r>
              <w:rPr>
                <w:rFonts w:hint="eastAsia" w:ascii="Times New Roman" w:hAnsi="Times New Roman"/>
                <w:lang w:val="en-US" w:eastAsia="zh-CN"/>
              </w:rPr>
              <w:t>和</w:t>
            </w:r>
            <w:r>
              <w:rPr>
                <w:rFonts w:hint="eastAsia" w:ascii="Times New Roman" w:hAnsi="Times New Roman"/>
                <w:bCs/>
                <w:lang w:eastAsia="zh-CN"/>
              </w:rPr>
              <w:t>江苏苏铖洪曜环保科技有限公司</w:t>
            </w:r>
            <w:r>
              <w:rPr>
                <w:rFonts w:ascii="Times New Roman" w:hAnsi="Times New Roman"/>
                <w:bCs/>
              </w:rPr>
              <w:t>进行处置是可行的。</w:t>
            </w:r>
          </w:p>
          <w:p w14:paraId="7A94CBC2">
            <w:pPr>
              <w:spacing w:line="480" w:lineRule="exact"/>
              <w:ind w:firstLine="480" w:firstLineChars="200"/>
            </w:pPr>
            <w:r>
              <w:t>（6）排放情况</w:t>
            </w:r>
          </w:p>
          <w:p w14:paraId="42B3AED4">
            <w:pPr>
              <w:spacing w:line="480" w:lineRule="exact"/>
              <w:ind w:firstLine="480" w:firstLineChars="200"/>
            </w:pPr>
            <w:r>
              <w:t>综上所述，建设项目产生的固体废物通过以上方法处理处置后，对周围环境及人体不会造成影响，亦不会造成二次污染，所采取的治理措施是可行的，不会对周围的环境产生影响。必须指出的是，固体废物处理处置前在厂内的堆放、贮存场所应按照国家固体废物贮存有关要求设置，在厂内存放时要有防水、防渗措施，避免其对周围环境产生污染。</w:t>
            </w:r>
          </w:p>
          <w:p w14:paraId="3013E308">
            <w:pPr>
              <w:spacing w:line="480" w:lineRule="exact"/>
              <w:ind w:firstLine="482" w:firstLineChars="200"/>
              <w:rPr>
                <w:b/>
                <w:bCs/>
              </w:rPr>
            </w:pPr>
            <w:r>
              <w:rPr>
                <w:rFonts w:hint="eastAsia"/>
                <w:b/>
                <w:bCs/>
              </w:rPr>
              <w:t>5、</w:t>
            </w:r>
            <w:r>
              <w:rPr>
                <w:b/>
                <w:bCs/>
              </w:rPr>
              <w:t>土壤</w:t>
            </w:r>
            <w:r>
              <w:rPr>
                <w:rFonts w:hint="eastAsia"/>
                <w:b/>
                <w:bCs/>
              </w:rPr>
              <w:t>、地下水环境影响分析</w:t>
            </w:r>
          </w:p>
          <w:p w14:paraId="0D662ED7">
            <w:pPr>
              <w:spacing w:line="480" w:lineRule="exact"/>
              <w:ind w:firstLine="480" w:firstLineChars="200"/>
              <w:rPr>
                <w:szCs w:val="22"/>
              </w:rPr>
            </w:pPr>
            <w:r>
              <w:rPr>
                <w:rFonts w:hint="eastAsia"/>
                <w:szCs w:val="22"/>
              </w:rPr>
              <w:t>本项目使用的原辅材料均通过封闭货车运输至厂内，生产车间均已做好地面硬化，可有效防风、防渗、防雨，原辅材料无露天堆放。</w:t>
            </w:r>
          </w:p>
          <w:p w14:paraId="102C1699">
            <w:pPr>
              <w:spacing w:line="480" w:lineRule="exact"/>
              <w:ind w:firstLine="480" w:firstLineChars="200"/>
              <w:rPr>
                <w:szCs w:val="22"/>
              </w:rPr>
            </w:pPr>
            <w:r>
              <w:rPr>
                <w:rFonts w:hint="eastAsia"/>
                <w:szCs w:val="22"/>
              </w:rPr>
              <w:t>（1）污染源及污染物类型</w:t>
            </w:r>
          </w:p>
          <w:p w14:paraId="06C85A71">
            <w:pPr>
              <w:spacing w:line="480" w:lineRule="exact"/>
              <w:ind w:firstLine="480" w:firstLineChars="200"/>
              <w:rPr>
                <w:szCs w:val="22"/>
              </w:rPr>
            </w:pPr>
            <w:r>
              <w:rPr>
                <w:rFonts w:hint="eastAsia"/>
                <w:szCs w:val="22"/>
              </w:rPr>
              <w:t>本项目可能对地下水和土壤环境造成影响的环境主要包括：原辅料（</w:t>
            </w:r>
            <w:r>
              <w:rPr>
                <w:rFonts w:hint="eastAsia"/>
                <w:szCs w:val="22"/>
                <w:lang w:val="en-US" w:eastAsia="zh-CN"/>
              </w:rPr>
              <w:t>脱模剂</w:t>
            </w:r>
            <w:r>
              <w:rPr>
                <w:rFonts w:hint="eastAsia"/>
                <w:szCs w:val="22"/>
              </w:rPr>
              <w:t>等）和危险废物（废</w:t>
            </w:r>
            <w:r>
              <w:rPr>
                <w:rFonts w:hint="eastAsia"/>
                <w:szCs w:val="22"/>
                <w:lang w:val="en-US" w:eastAsia="zh-CN"/>
              </w:rPr>
              <w:t>机</w:t>
            </w:r>
            <w:r>
              <w:rPr>
                <w:rFonts w:hint="eastAsia"/>
                <w:szCs w:val="22"/>
              </w:rPr>
              <w:t>油</w:t>
            </w:r>
            <w:r>
              <w:rPr>
                <w:rFonts w:hint="eastAsia"/>
                <w:szCs w:val="22"/>
                <w:lang w:eastAsia="zh-CN"/>
              </w:rPr>
              <w:t>、</w:t>
            </w:r>
            <w:r>
              <w:rPr>
                <w:rFonts w:hint="eastAsia"/>
                <w:szCs w:val="22"/>
                <w:lang w:val="en-US" w:eastAsia="zh-CN"/>
              </w:rPr>
              <w:t>喷淋废液</w:t>
            </w:r>
            <w:r>
              <w:rPr>
                <w:rFonts w:hint="eastAsia"/>
                <w:szCs w:val="22"/>
              </w:rPr>
              <w:t>等）泄漏对地下水和土壤造成影响。</w:t>
            </w:r>
          </w:p>
          <w:p w14:paraId="56E2E5D3">
            <w:pPr>
              <w:spacing w:line="480" w:lineRule="exact"/>
              <w:ind w:firstLine="480" w:firstLineChars="200"/>
              <w:rPr>
                <w:szCs w:val="22"/>
              </w:rPr>
            </w:pPr>
            <w:r>
              <w:rPr>
                <w:rFonts w:hint="eastAsia"/>
                <w:szCs w:val="22"/>
              </w:rPr>
              <w:t>（2）污染途径</w:t>
            </w:r>
          </w:p>
          <w:p w14:paraId="543E3D59">
            <w:pPr>
              <w:pStyle w:val="48"/>
              <w:spacing w:line="480" w:lineRule="exact"/>
              <w:ind w:firstLine="496" w:firstLineChars="200"/>
              <w:rPr>
                <w:rFonts w:ascii="Times New Roman" w:hAnsi="Times New Roman"/>
                <w:szCs w:val="22"/>
              </w:rPr>
            </w:pPr>
            <w:r>
              <w:rPr>
                <w:rFonts w:ascii="Times New Roman" w:hAnsi="Times New Roman"/>
                <w:szCs w:val="22"/>
              </w:rPr>
              <w:t>正常工况下，由于车间及厂区地面均由水泥硬化，且危废仓库等区域均采取了防渗措施，一般情况下不会发生</w:t>
            </w:r>
            <w:r>
              <w:rPr>
                <w:rFonts w:hint="eastAsia" w:ascii="Times New Roman" w:hAnsi="Times New Roman"/>
                <w:szCs w:val="22"/>
              </w:rPr>
              <w:t>物料泄漏</w:t>
            </w:r>
            <w:r>
              <w:rPr>
                <w:rFonts w:ascii="Times New Roman" w:hAnsi="Times New Roman"/>
                <w:szCs w:val="22"/>
              </w:rPr>
              <w:t>污染土壤及地下水的情况。</w:t>
            </w:r>
          </w:p>
          <w:p w14:paraId="513B2676">
            <w:pPr>
              <w:pStyle w:val="48"/>
              <w:spacing w:line="480" w:lineRule="exact"/>
              <w:ind w:firstLine="496" w:firstLineChars="200"/>
              <w:rPr>
                <w:rFonts w:ascii="Times New Roman" w:hAnsi="Times New Roman"/>
                <w:szCs w:val="22"/>
              </w:rPr>
            </w:pPr>
            <w:r>
              <w:rPr>
                <w:rFonts w:ascii="Times New Roman" w:hAnsi="Times New Roman"/>
                <w:szCs w:val="22"/>
              </w:rPr>
              <w:t>非正常工况下，如</w:t>
            </w:r>
            <w:r>
              <w:rPr>
                <w:rFonts w:hint="eastAsia"/>
                <w:szCs w:val="22"/>
              </w:rPr>
              <w:t>废</w:t>
            </w:r>
            <w:r>
              <w:rPr>
                <w:rFonts w:hint="eastAsia"/>
                <w:szCs w:val="22"/>
                <w:lang w:val="en-US" w:eastAsia="zh-CN"/>
              </w:rPr>
              <w:t>机</w:t>
            </w:r>
            <w:r>
              <w:rPr>
                <w:rFonts w:hint="eastAsia"/>
                <w:szCs w:val="22"/>
              </w:rPr>
              <w:t>油</w:t>
            </w:r>
            <w:r>
              <w:rPr>
                <w:rFonts w:hint="eastAsia"/>
                <w:szCs w:val="22"/>
                <w:lang w:eastAsia="zh-CN"/>
              </w:rPr>
              <w:t>、</w:t>
            </w:r>
            <w:r>
              <w:rPr>
                <w:rFonts w:hint="eastAsia"/>
                <w:szCs w:val="22"/>
                <w:lang w:val="en-US" w:eastAsia="zh-CN"/>
              </w:rPr>
              <w:t>喷淋废液</w:t>
            </w:r>
            <w:r>
              <w:rPr>
                <w:rFonts w:hint="eastAsia" w:ascii="Times New Roman" w:hAnsi="Times New Roman"/>
                <w:szCs w:val="22"/>
              </w:rPr>
              <w:t>等泄漏</w:t>
            </w:r>
            <w:r>
              <w:rPr>
                <w:rFonts w:ascii="Times New Roman" w:hAnsi="Times New Roman"/>
                <w:szCs w:val="22"/>
              </w:rPr>
              <w:t>可能发生地面漫流，进而由裂缝渗入地下，对土壤</w:t>
            </w:r>
            <w:r>
              <w:rPr>
                <w:rFonts w:hint="eastAsia" w:ascii="Times New Roman" w:hAnsi="Times New Roman"/>
                <w:szCs w:val="22"/>
              </w:rPr>
              <w:t>及地下水</w:t>
            </w:r>
            <w:r>
              <w:rPr>
                <w:rFonts w:ascii="Times New Roman" w:hAnsi="Times New Roman"/>
                <w:szCs w:val="22"/>
              </w:rPr>
              <w:t>造成污染。</w:t>
            </w:r>
          </w:p>
          <w:p w14:paraId="34475870">
            <w:pPr>
              <w:spacing w:line="480" w:lineRule="exact"/>
              <w:ind w:firstLine="480" w:firstLineChars="200"/>
              <w:rPr>
                <w:szCs w:val="22"/>
              </w:rPr>
            </w:pPr>
            <w:r>
              <w:rPr>
                <w:rFonts w:hint="eastAsia"/>
                <w:szCs w:val="22"/>
              </w:rPr>
              <w:t>（3）土壤和地下水污染防治原则</w:t>
            </w:r>
          </w:p>
          <w:p w14:paraId="53037DA1">
            <w:pPr>
              <w:pStyle w:val="48"/>
              <w:spacing w:line="480" w:lineRule="exact"/>
              <w:ind w:firstLine="496" w:firstLineChars="200"/>
              <w:rPr>
                <w:rFonts w:ascii="Times New Roman" w:hAnsi="Times New Roman"/>
                <w:szCs w:val="22"/>
              </w:rPr>
            </w:pPr>
            <w:r>
              <w:rPr>
                <w:rFonts w:hint="eastAsia" w:ascii="Times New Roman" w:hAnsi="Times New Roman"/>
                <w:szCs w:val="22"/>
              </w:rPr>
              <w:t>针对项目可能发生的污染，污染防治措施按照</w:t>
            </w:r>
            <w:r>
              <w:rPr>
                <w:rFonts w:hint="eastAsia" w:ascii="仿宋" w:hAnsi="仿宋" w:cs="仿宋"/>
                <w:szCs w:val="22"/>
                <w:lang w:eastAsia="zh-CN"/>
              </w:rPr>
              <w:t>“</w:t>
            </w:r>
            <w:r>
              <w:rPr>
                <w:rFonts w:hint="eastAsia" w:ascii="仿宋" w:hAnsi="仿宋" w:cs="仿宋"/>
                <w:szCs w:val="22"/>
              </w:rPr>
              <w:t>源头控制、分区防治、污染监控、应急响应</w:t>
            </w:r>
            <w:r>
              <w:rPr>
                <w:rFonts w:hint="eastAsia" w:ascii="仿宋" w:hAnsi="仿宋" w:cs="仿宋"/>
                <w:szCs w:val="22"/>
                <w:lang w:eastAsia="zh-CN"/>
              </w:rPr>
              <w:t>”</w:t>
            </w:r>
            <w:r>
              <w:rPr>
                <w:rFonts w:ascii="Times New Roman" w:hAnsi="Times New Roman"/>
                <w:szCs w:val="22"/>
              </w:rPr>
              <w:t>相结合的原则，从污染物的产生、渗入、扩散、应急响应进行控制</w:t>
            </w:r>
            <w:r>
              <w:rPr>
                <w:rFonts w:hint="eastAsia" w:ascii="Times New Roman" w:hAnsi="Times New Roman"/>
                <w:szCs w:val="22"/>
              </w:rPr>
              <w:t>。</w:t>
            </w:r>
          </w:p>
          <w:p w14:paraId="1669C083">
            <w:pPr>
              <w:widowControl/>
              <w:spacing w:line="480" w:lineRule="exact"/>
              <w:ind w:firstLine="480" w:firstLineChars="200"/>
              <w:rPr>
                <w:kern w:val="0"/>
                <w:lang w:bidi="ar"/>
              </w:rPr>
            </w:pPr>
            <w:r>
              <w:rPr>
                <w:kern w:val="0"/>
                <w:lang w:bidi="ar"/>
              </w:rPr>
              <w:t>A.源头控制措施</w:t>
            </w:r>
          </w:p>
          <w:p w14:paraId="26DAD952">
            <w:pPr>
              <w:widowControl/>
              <w:spacing w:line="480" w:lineRule="exact"/>
              <w:ind w:firstLine="480" w:firstLineChars="200"/>
              <w:rPr>
                <w:kern w:val="0"/>
                <w:lang w:bidi="ar"/>
              </w:rPr>
            </w:pPr>
            <w:r>
              <w:rPr>
                <w:kern w:val="0"/>
                <w:lang w:bidi="ar"/>
              </w:rPr>
              <w:t>从原料和产品储存、装卸、运输、生产过程、污染处理装置等全过程控制各种有毒有害原辅材料、中间材料、产品泄漏（含跑、冒、滴、漏），同时对有害物质可能泄漏到地面的区域采取防渗措施，阻止其进入土壤</w:t>
            </w:r>
            <w:r>
              <w:rPr>
                <w:rFonts w:hint="eastAsia"/>
                <w:kern w:val="0"/>
                <w:lang w:bidi="ar"/>
              </w:rPr>
              <w:t>及地下水</w:t>
            </w:r>
            <w:r>
              <w:rPr>
                <w:kern w:val="0"/>
                <w:lang w:bidi="ar"/>
              </w:rPr>
              <w:t>中，即从源头到末端全方位采取控制措施，防止项目的建设对土壤</w:t>
            </w:r>
            <w:r>
              <w:rPr>
                <w:rFonts w:hint="eastAsia"/>
                <w:kern w:val="0"/>
                <w:lang w:bidi="ar"/>
              </w:rPr>
              <w:t>及地下水</w:t>
            </w:r>
            <w:r>
              <w:rPr>
                <w:kern w:val="0"/>
                <w:lang w:bidi="ar"/>
              </w:rPr>
              <w:t>造成污染。</w:t>
            </w:r>
          </w:p>
          <w:p w14:paraId="203712C8">
            <w:pPr>
              <w:widowControl/>
              <w:spacing w:line="480" w:lineRule="exact"/>
              <w:ind w:firstLine="480" w:firstLineChars="200"/>
              <w:rPr>
                <w:kern w:val="0"/>
                <w:lang w:bidi="ar"/>
              </w:rPr>
            </w:pPr>
            <w:r>
              <w:rPr>
                <w:kern w:val="0"/>
                <w:lang w:bidi="ar"/>
              </w:rPr>
              <w:t>从生产过程入手，在工艺、管道、设备、给排水等方面尽可能地采取泄漏控制措施，从源头最大限度降低污染物质泄漏的可能性和泄漏量，使项目区污染物对土壤</w:t>
            </w:r>
            <w:r>
              <w:rPr>
                <w:rFonts w:hint="eastAsia"/>
                <w:kern w:val="0"/>
                <w:lang w:bidi="ar"/>
              </w:rPr>
              <w:t>及地下水</w:t>
            </w:r>
            <w:r>
              <w:rPr>
                <w:kern w:val="0"/>
                <w:lang w:bidi="ar"/>
              </w:rPr>
              <w:t>的影响降至最低，一旦出现泄漏等即可由区域内的各种配套措施进行收集、处置，同时经过硬化处理的地面有效阻止污染物的下渗。</w:t>
            </w:r>
          </w:p>
          <w:p w14:paraId="32213B83">
            <w:pPr>
              <w:widowControl/>
              <w:spacing w:line="480" w:lineRule="exact"/>
              <w:ind w:firstLine="480" w:firstLineChars="200"/>
              <w:rPr>
                <w:kern w:val="0"/>
                <w:lang w:bidi="ar"/>
              </w:rPr>
            </w:pPr>
            <w:r>
              <w:rPr>
                <w:kern w:val="0"/>
                <w:lang w:bidi="ar"/>
              </w:rPr>
              <w:t>B.过程防控措施</w:t>
            </w:r>
          </w:p>
          <w:p w14:paraId="7BB62418">
            <w:pPr>
              <w:widowControl/>
              <w:spacing w:line="480" w:lineRule="exact"/>
              <w:ind w:firstLine="480" w:firstLineChars="200"/>
              <w:rPr>
                <w:kern w:val="0"/>
                <w:lang w:bidi="ar"/>
              </w:rPr>
            </w:pPr>
            <w:r>
              <w:rPr>
                <w:kern w:val="0"/>
                <w:lang w:bidi="ar"/>
              </w:rPr>
              <w:t>本项目</w:t>
            </w:r>
            <w:r>
              <w:rPr>
                <w:rFonts w:hint="eastAsia"/>
                <w:kern w:val="0"/>
                <w:lang w:bidi="ar"/>
              </w:rPr>
              <w:t>对地面漫流和垂直入渗两个途径分别进行控制</w:t>
            </w:r>
            <w:r>
              <w:rPr>
                <w:kern w:val="0"/>
                <w:lang w:bidi="ar"/>
              </w:rPr>
              <w:t>：</w:t>
            </w:r>
          </w:p>
          <w:p w14:paraId="30D0E60B">
            <w:pPr>
              <w:widowControl/>
              <w:spacing w:line="480" w:lineRule="exact"/>
              <w:ind w:firstLine="480" w:firstLineChars="200"/>
              <w:rPr>
                <w:rFonts w:ascii="仿宋" w:hAnsi="仿宋" w:cs="仿宋"/>
                <w:kern w:val="0"/>
                <w:lang w:bidi="ar"/>
              </w:rPr>
            </w:pPr>
            <w:r>
              <w:rPr>
                <w:rFonts w:hint="eastAsia" w:ascii="仿宋" w:hAnsi="仿宋" w:cs="仿宋"/>
                <w:kern w:val="0"/>
                <w:lang w:bidi="ar"/>
              </w:rPr>
              <w:t>①地面漫流污染途径治理措施及效果</w:t>
            </w:r>
          </w:p>
          <w:p w14:paraId="6183A6EF">
            <w:pPr>
              <w:widowControl/>
              <w:spacing w:line="480" w:lineRule="exact"/>
              <w:ind w:firstLine="480" w:firstLineChars="200"/>
              <w:rPr>
                <w:rFonts w:ascii="仿宋" w:hAnsi="仿宋" w:cs="仿宋"/>
                <w:kern w:val="0"/>
                <w:lang w:bidi="ar"/>
              </w:rPr>
            </w:pPr>
            <w:r>
              <w:rPr>
                <w:rFonts w:hint="eastAsia" w:ascii="仿宋" w:hAnsi="仿宋" w:cs="仿宋"/>
                <w:kern w:val="0"/>
                <w:lang w:bidi="ar"/>
              </w:rPr>
              <w:t>涉及地面漫流途径须设置防控、地面硬化等措施。对于项目事故状态的废液，必须保证在未经处理满足要求的前提下不得流出厂界。项目须贯彻</w:t>
            </w:r>
            <w:r>
              <w:rPr>
                <w:rFonts w:hint="eastAsia" w:ascii="仿宋" w:hAnsi="仿宋" w:cs="仿宋"/>
                <w:kern w:val="0"/>
                <w:lang w:eastAsia="zh-CN" w:bidi="ar"/>
              </w:rPr>
              <w:t>“</w:t>
            </w:r>
            <w:r>
              <w:rPr>
                <w:rFonts w:hint="eastAsia" w:ascii="仿宋" w:hAnsi="仿宋" w:cs="仿宋"/>
                <w:kern w:val="0"/>
                <w:lang w:bidi="ar"/>
              </w:rPr>
              <w:t>围、追、堵、截</w:t>
            </w:r>
            <w:r>
              <w:rPr>
                <w:rFonts w:hint="eastAsia" w:ascii="仿宋" w:hAnsi="仿宋" w:cs="仿宋"/>
                <w:kern w:val="0"/>
                <w:lang w:eastAsia="zh-CN" w:bidi="ar"/>
              </w:rPr>
              <w:t>”</w:t>
            </w:r>
            <w:r>
              <w:rPr>
                <w:rFonts w:hint="eastAsia" w:ascii="仿宋" w:hAnsi="仿宋" w:cs="仿宋"/>
                <w:kern w:val="0"/>
                <w:lang w:bidi="ar"/>
              </w:rPr>
              <w:t>的原则，采取多级防护措施，确保事故废水未经处理不得出厂界。</w:t>
            </w:r>
          </w:p>
          <w:p w14:paraId="0596EE8E">
            <w:pPr>
              <w:widowControl/>
              <w:spacing w:line="480" w:lineRule="exact"/>
              <w:ind w:firstLine="480" w:firstLineChars="200"/>
              <w:rPr>
                <w:kern w:val="0"/>
                <w:lang w:bidi="ar"/>
              </w:rPr>
            </w:pPr>
            <w:r>
              <w:rPr>
                <w:rFonts w:hint="eastAsia" w:ascii="仿宋" w:hAnsi="仿宋" w:cs="仿宋"/>
                <w:kern w:val="0"/>
                <w:lang w:bidi="ar"/>
              </w:rPr>
              <w:t>②</w:t>
            </w:r>
            <w:r>
              <w:rPr>
                <w:kern w:val="0"/>
                <w:lang w:bidi="ar"/>
              </w:rPr>
              <w:t>垂直入渗污染途径治理措施及效果</w:t>
            </w:r>
          </w:p>
          <w:p w14:paraId="5013A4E0">
            <w:pPr>
              <w:widowControl/>
              <w:spacing w:line="480" w:lineRule="exact"/>
              <w:ind w:firstLine="480" w:firstLineChars="200"/>
              <w:rPr>
                <w:kern w:val="0"/>
                <w:lang w:bidi="ar"/>
              </w:rPr>
            </w:pPr>
            <w:r>
              <w:rPr>
                <w:kern w:val="0"/>
                <w:lang w:bidi="ar"/>
              </w:rPr>
              <w:t>项目按重点污染防治区、一般污染防治区、简单防渗区分别采取不同等级的防渗措施，防渗层尽量在地表铺设，防渗材料拟选取环氧树脂和水泥基渗透结晶型防渗材料，按照污染防治分区采取不同的设计方案。其中项目危废仓库等重点防渗区应选用人工防渗材料，防渗技术要求为等效黏土防渗层Mb≥6.0m，渗透系数K≤10</w:t>
            </w:r>
            <w:r>
              <w:rPr>
                <w:kern w:val="0"/>
                <w:vertAlign w:val="superscript"/>
                <w:lang w:bidi="ar"/>
              </w:rPr>
              <w:t>-7</w:t>
            </w:r>
            <w:r>
              <w:rPr>
                <w:kern w:val="0"/>
                <w:lang w:bidi="ar"/>
              </w:rPr>
              <w:t>cm/s。另外，重点防渗区还有满足《危险废物贮存污染控制标准》（GB18597-20</w:t>
            </w:r>
            <w:r>
              <w:rPr>
                <w:rFonts w:hint="eastAsia"/>
                <w:kern w:val="0"/>
                <w:lang w:bidi="ar"/>
              </w:rPr>
              <w:t>23</w:t>
            </w:r>
            <w:r>
              <w:rPr>
                <w:kern w:val="0"/>
                <w:lang w:bidi="ar"/>
              </w:rPr>
              <w:t>）中要求，即防渗层为至少1米厚黏土层（渗透系数K≤10</w:t>
            </w:r>
            <w:r>
              <w:rPr>
                <w:kern w:val="0"/>
                <w:vertAlign w:val="superscript"/>
                <w:lang w:bidi="ar"/>
              </w:rPr>
              <w:t>-7</w:t>
            </w:r>
            <w:r>
              <w:rPr>
                <w:kern w:val="0"/>
                <w:lang w:bidi="ar"/>
              </w:rPr>
              <w:t>cm/s），或</w:t>
            </w:r>
            <w:r>
              <w:rPr>
                <w:rFonts w:hint="eastAsia"/>
                <w:kern w:val="0"/>
                <w:lang w:bidi="ar"/>
              </w:rPr>
              <w:t>至少</w:t>
            </w:r>
            <w:r>
              <w:rPr>
                <w:kern w:val="0"/>
                <w:lang w:bidi="ar"/>
              </w:rPr>
              <w:t>2毫米厚高密度聚乙烯</w:t>
            </w:r>
            <w:r>
              <w:rPr>
                <w:rFonts w:hint="eastAsia"/>
                <w:kern w:val="0"/>
                <w:lang w:bidi="ar"/>
              </w:rPr>
              <w:t>膜等</w:t>
            </w:r>
            <w:r>
              <w:rPr>
                <w:kern w:val="0"/>
                <w:lang w:bidi="ar"/>
              </w:rPr>
              <w:t>人工</w:t>
            </w:r>
            <w:r>
              <w:rPr>
                <w:rFonts w:hint="eastAsia"/>
                <w:kern w:val="0"/>
                <w:lang w:bidi="ar"/>
              </w:rPr>
              <w:t>防渗</w:t>
            </w:r>
            <w:r>
              <w:rPr>
                <w:kern w:val="0"/>
                <w:lang w:bidi="ar"/>
              </w:rPr>
              <w:t>材料</w:t>
            </w:r>
            <w:r>
              <w:rPr>
                <w:rFonts w:hint="eastAsia"/>
                <w:kern w:val="0"/>
                <w:lang w:bidi="ar"/>
              </w:rPr>
              <w:t>（</w:t>
            </w:r>
            <w:r>
              <w:rPr>
                <w:kern w:val="0"/>
                <w:lang w:bidi="ar"/>
              </w:rPr>
              <w:t>渗透</w:t>
            </w:r>
            <w:r>
              <w:rPr>
                <w:rFonts w:hint="eastAsia"/>
                <w:kern w:val="0"/>
                <w:lang w:bidi="ar"/>
              </w:rPr>
              <w:t>系数</w:t>
            </w:r>
            <w:r>
              <w:rPr>
                <w:kern w:val="0"/>
                <w:lang w:bidi="ar"/>
              </w:rPr>
              <w:t>K≤10</w:t>
            </w:r>
            <w:r>
              <w:rPr>
                <w:kern w:val="0"/>
                <w:vertAlign w:val="superscript"/>
                <w:lang w:bidi="ar"/>
              </w:rPr>
              <w:t>-10</w:t>
            </w:r>
            <w:r>
              <w:rPr>
                <w:kern w:val="0"/>
                <w:lang w:bidi="ar"/>
              </w:rPr>
              <w:t>cm/s</w:t>
            </w:r>
            <w:r>
              <w:rPr>
                <w:rFonts w:hint="eastAsia"/>
                <w:kern w:val="0"/>
                <w:lang w:bidi="ar"/>
              </w:rPr>
              <w:t>）</w:t>
            </w:r>
            <w:r>
              <w:rPr>
                <w:kern w:val="0"/>
                <w:lang w:bidi="ar"/>
              </w:rPr>
              <w:t>，</w:t>
            </w:r>
            <w:r>
              <w:rPr>
                <w:rFonts w:hint="eastAsia"/>
                <w:kern w:val="0"/>
                <w:lang w:bidi="ar"/>
              </w:rPr>
              <w:t>或其他防渗性能等效的材料</w:t>
            </w:r>
            <w:r>
              <w:rPr>
                <w:kern w:val="0"/>
                <w:lang w:bidi="ar"/>
              </w:rPr>
              <w:t>；一般污染防治区铺设配筋混凝土加防渗剂的防渗地坪，切断污染地下水途径，防渗技术要求为等效黏土防渗层Mb≥1.5m，渗透系数K≤10</w:t>
            </w:r>
            <w:r>
              <w:rPr>
                <w:kern w:val="0"/>
                <w:vertAlign w:val="superscript"/>
                <w:lang w:bidi="ar"/>
              </w:rPr>
              <w:t>-7</w:t>
            </w:r>
            <w:r>
              <w:rPr>
                <w:kern w:val="0"/>
                <w:lang w:bidi="ar"/>
              </w:rPr>
              <w:t>cm/s；简单防渗区只需进行地面硬化处理。</w:t>
            </w:r>
          </w:p>
          <w:p w14:paraId="3BF77697">
            <w:pPr>
              <w:widowControl/>
              <w:spacing w:line="240" w:lineRule="auto"/>
              <w:jc w:val="center"/>
              <w:rPr>
                <w:b/>
                <w:bCs/>
                <w:kern w:val="0"/>
                <w:sz w:val="21"/>
                <w:szCs w:val="21"/>
                <w:lang w:bidi="ar"/>
              </w:rPr>
            </w:pPr>
            <w:r>
              <w:rPr>
                <w:rFonts w:hint="eastAsia"/>
                <w:b/>
                <w:bCs/>
                <w:kern w:val="0"/>
                <w:sz w:val="21"/>
                <w:szCs w:val="21"/>
                <w:lang w:bidi="ar"/>
              </w:rPr>
              <w:t>表4-</w:t>
            </w:r>
            <w:r>
              <w:rPr>
                <w:rFonts w:hint="eastAsia"/>
                <w:b/>
                <w:bCs/>
                <w:kern w:val="0"/>
                <w:sz w:val="21"/>
                <w:szCs w:val="21"/>
                <w:lang w:val="en-US" w:eastAsia="zh-CN" w:bidi="ar"/>
              </w:rPr>
              <w:t>30</w:t>
            </w:r>
            <w:r>
              <w:rPr>
                <w:rFonts w:hint="eastAsia"/>
                <w:b/>
                <w:bCs/>
                <w:kern w:val="0"/>
                <w:sz w:val="21"/>
                <w:szCs w:val="21"/>
                <w:lang w:bidi="ar"/>
              </w:rPr>
              <w:t xml:space="preserve">  本项目污染防渗区划分</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290"/>
              <w:gridCol w:w="1124"/>
              <w:gridCol w:w="4639"/>
            </w:tblGrid>
            <w:tr w14:paraId="29CC0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0" w:type="pct"/>
                  <w:gridSpan w:val="2"/>
                  <w:tcBorders>
                    <w:tl2br w:val="nil"/>
                    <w:tr2bl w:val="nil"/>
                  </w:tcBorders>
                  <w:vAlign w:val="center"/>
                </w:tcPr>
                <w:p w14:paraId="0AF77578">
                  <w:pPr>
                    <w:widowControl/>
                    <w:spacing w:line="240" w:lineRule="auto"/>
                    <w:jc w:val="center"/>
                    <w:rPr>
                      <w:b/>
                      <w:bCs/>
                      <w:kern w:val="0"/>
                      <w:sz w:val="21"/>
                      <w:szCs w:val="21"/>
                      <w:lang w:bidi="ar"/>
                    </w:rPr>
                  </w:pPr>
                  <w:r>
                    <w:rPr>
                      <w:rFonts w:hint="eastAsia"/>
                      <w:b/>
                      <w:bCs/>
                      <w:kern w:val="0"/>
                      <w:sz w:val="21"/>
                      <w:szCs w:val="21"/>
                      <w:lang w:bidi="ar"/>
                    </w:rPr>
                    <w:t>分区</w:t>
                  </w:r>
                </w:p>
              </w:tc>
              <w:tc>
                <w:tcPr>
                  <w:tcW w:w="708" w:type="pct"/>
                  <w:tcBorders>
                    <w:tl2br w:val="nil"/>
                    <w:tr2bl w:val="nil"/>
                  </w:tcBorders>
                  <w:vAlign w:val="center"/>
                </w:tcPr>
                <w:p w14:paraId="12341324">
                  <w:pPr>
                    <w:widowControl/>
                    <w:spacing w:line="240" w:lineRule="auto"/>
                    <w:jc w:val="center"/>
                    <w:rPr>
                      <w:b/>
                      <w:bCs/>
                      <w:kern w:val="0"/>
                      <w:sz w:val="21"/>
                      <w:szCs w:val="21"/>
                      <w:lang w:bidi="ar"/>
                    </w:rPr>
                  </w:pPr>
                  <w:r>
                    <w:rPr>
                      <w:rFonts w:hint="eastAsia"/>
                      <w:b/>
                      <w:bCs/>
                      <w:kern w:val="0"/>
                      <w:sz w:val="21"/>
                      <w:szCs w:val="21"/>
                      <w:lang w:bidi="ar"/>
                    </w:rPr>
                    <w:t>厂内分区</w:t>
                  </w:r>
                </w:p>
              </w:tc>
              <w:tc>
                <w:tcPr>
                  <w:tcW w:w="2921" w:type="pct"/>
                  <w:tcBorders>
                    <w:tl2br w:val="nil"/>
                    <w:tr2bl w:val="nil"/>
                  </w:tcBorders>
                  <w:vAlign w:val="center"/>
                </w:tcPr>
                <w:p w14:paraId="7A2F2738">
                  <w:pPr>
                    <w:widowControl/>
                    <w:spacing w:line="240" w:lineRule="auto"/>
                    <w:jc w:val="center"/>
                    <w:rPr>
                      <w:b/>
                      <w:bCs/>
                      <w:kern w:val="0"/>
                      <w:sz w:val="21"/>
                      <w:szCs w:val="21"/>
                      <w:lang w:bidi="ar"/>
                    </w:rPr>
                  </w:pPr>
                  <w:r>
                    <w:rPr>
                      <w:rFonts w:hint="eastAsia"/>
                      <w:b/>
                      <w:bCs/>
                      <w:kern w:val="0"/>
                      <w:sz w:val="21"/>
                      <w:szCs w:val="21"/>
                      <w:lang w:bidi="ar"/>
                    </w:rPr>
                    <w:t>防渗等级</w:t>
                  </w:r>
                </w:p>
              </w:tc>
            </w:tr>
            <w:tr w14:paraId="70BA7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restart"/>
                  <w:tcBorders>
                    <w:tl2br w:val="nil"/>
                    <w:tr2bl w:val="nil"/>
                  </w:tcBorders>
                  <w:vAlign w:val="center"/>
                </w:tcPr>
                <w:p w14:paraId="0489A264">
                  <w:pPr>
                    <w:widowControl/>
                    <w:spacing w:line="240" w:lineRule="auto"/>
                    <w:jc w:val="center"/>
                    <w:rPr>
                      <w:kern w:val="0"/>
                      <w:sz w:val="21"/>
                      <w:szCs w:val="21"/>
                      <w:lang w:bidi="ar"/>
                    </w:rPr>
                  </w:pPr>
                  <w:r>
                    <w:rPr>
                      <w:rFonts w:hint="eastAsia"/>
                      <w:kern w:val="0"/>
                      <w:sz w:val="21"/>
                      <w:szCs w:val="21"/>
                      <w:lang w:bidi="ar"/>
                    </w:rPr>
                    <w:t>污染区</w:t>
                  </w:r>
                </w:p>
              </w:tc>
              <w:tc>
                <w:tcPr>
                  <w:tcW w:w="812" w:type="pct"/>
                  <w:tcBorders>
                    <w:tl2br w:val="nil"/>
                    <w:tr2bl w:val="nil"/>
                  </w:tcBorders>
                  <w:vAlign w:val="center"/>
                </w:tcPr>
                <w:p w14:paraId="1C21A8C1">
                  <w:pPr>
                    <w:widowControl/>
                    <w:spacing w:line="240" w:lineRule="auto"/>
                    <w:jc w:val="center"/>
                    <w:rPr>
                      <w:kern w:val="0"/>
                      <w:sz w:val="21"/>
                      <w:szCs w:val="21"/>
                      <w:lang w:bidi="ar"/>
                    </w:rPr>
                  </w:pPr>
                  <w:r>
                    <w:rPr>
                      <w:rFonts w:hint="eastAsia"/>
                      <w:kern w:val="0"/>
                      <w:sz w:val="21"/>
                      <w:szCs w:val="21"/>
                      <w:lang w:bidi="ar"/>
                    </w:rPr>
                    <w:t>重点防渗区</w:t>
                  </w:r>
                </w:p>
              </w:tc>
              <w:tc>
                <w:tcPr>
                  <w:tcW w:w="708" w:type="pct"/>
                  <w:tcBorders>
                    <w:tl2br w:val="nil"/>
                    <w:tr2bl w:val="nil"/>
                  </w:tcBorders>
                  <w:vAlign w:val="center"/>
                </w:tcPr>
                <w:p w14:paraId="1EFA48DF">
                  <w:pPr>
                    <w:widowControl/>
                    <w:spacing w:line="240" w:lineRule="auto"/>
                    <w:jc w:val="center"/>
                    <w:rPr>
                      <w:rFonts w:hint="default" w:eastAsia="仿宋"/>
                      <w:kern w:val="0"/>
                      <w:sz w:val="21"/>
                      <w:szCs w:val="21"/>
                      <w:lang w:val="en-US" w:eastAsia="zh-CN" w:bidi="ar"/>
                    </w:rPr>
                  </w:pPr>
                  <w:r>
                    <w:rPr>
                      <w:rFonts w:hint="eastAsia"/>
                      <w:kern w:val="0"/>
                      <w:sz w:val="21"/>
                      <w:szCs w:val="21"/>
                      <w:lang w:bidi="ar"/>
                    </w:rPr>
                    <w:t>生产车间</w:t>
                  </w:r>
                </w:p>
              </w:tc>
              <w:tc>
                <w:tcPr>
                  <w:tcW w:w="2921" w:type="pct"/>
                  <w:tcBorders>
                    <w:tl2br w:val="nil"/>
                    <w:tr2bl w:val="nil"/>
                  </w:tcBorders>
                  <w:vAlign w:val="center"/>
                </w:tcPr>
                <w:p w14:paraId="1D97B766">
                  <w:pPr>
                    <w:widowControl/>
                    <w:spacing w:line="240" w:lineRule="auto"/>
                    <w:jc w:val="center"/>
                    <w:rPr>
                      <w:kern w:val="0"/>
                      <w:sz w:val="21"/>
                      <w:szCs w:val="21"/>
                      <w:lang w:bidi="ar"/>
                    </w:rPr>
                  </w:pPr>
                  <w:r>
                    <w:rPr>
                      <w:kern w:val="0"/>
                      <w:sz w:val="21"/>
                      <w:szCs w:val="21"/>
                      <w:lang w:bidi="ar"/>
                    </w:rPr>
                    <w:t>等效黏土防渗层Mb≥6.0m，渗透系数K≤10</w:t>
                  </w:r>
                  <w:r>
                    <w:rPr>
                      <w:kern w:val="0"/>
                      <w:sz w:val="21"/>
                      <w:szCs w:val="21"/>
                      <w:vertAlign w:val="superscript"/>
                      <w:lang w:bidi="ar"/>
                    </w:rPr>
                    <w:t>-7</w:t>
                  </w:r>
                  <w:r>
                    <w:rPr>
                      <w:kern w:val="0"/>
                      <w:sz w:val="21"/>
                      <w:szCs w:val="21"/>
                      <w:lang w:bidi="ar"/>
                    </w:rPr>
                    <w:t>cm/s</w:t>
                  </w:r>
                </w:p>
              </w:tc>
            </w:tr>
            <w:tr w14:paraId="31307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continue"/>
                  <w:tcBorders>
                    <w:tl2br w:val="nil"/>
                    <w:tr2bl w:val="nil"/>
                  </w:tcBorders>
                  <w:vAlign w:val="center"/>
                </w:tcPr>
                <w:p w14:paraId="5B922467">
                  <w:pPr>
                    <w:widowControl/>
                    <w:spacing w:line="240" w:lineRule="auto"/>
                    <w:jc w:val="center"/>
                    <w:rPr>
                      <w:kern w:val="0"/>
                      <w:sz w:val="21"/>
                      <w:szCs w:val="21"/>
                      <w:lang w:bidi="ar"/>
                    </w:rPr>
                  </w:pPr>
                </w:p>
              </w:tc>
              <w:tc>
                <w:tcPr>
                  <w:tcW w:w="812" w:type="pct"/>
                  <w:tcBorders>
                    <w:tl2br w:val="nil"/>
                    <w:tr2bl w:val="nil"/>
                  </w:tcBorders>
                  <w:vAlign w:val="center"/>
                </w:tcPr>
                <w:p w14:paraId="2FAB0506">
                  <w:pPr>
                    <w:widowControl/>
                    <w:spacing w:line="240" w:lineRule="auto"/>
                    <w:jc w:val="center"/>
                    <w:rPr>
                      <w:kern w:val="0"/>
                      <w:sz w:val="21"/>
                      <w:szCs w:val="21"/>
                      <w:lang w:bidi="ar"/>
                    </w:rPr>
                  </w:pPr>
                  <w:r>
                    <w:rPr>
                      <w:rFonts w:hint="eastAsia"/>
                      <w:kern w:val="0"/>
                      <w:sz w:val="21"/>
                      <w:szCs w:val="21"/>
                      <w:lang w:bidi="ar"/>
                    </w:rPr>
                    <w:t>一般防渗区</w:t>
                  </w:r>
                </w:p>
              </w:tc>
              <w:tc>
                <w:tcPr>
                  <w:tcW w:w="708" w:type="pct"/>
                  <w:tcBorders>
                    <w:tl2br w:val="nil"/>
                    <w:tr2bl w:val="nil"/>
                  </w:tcBorders>
                  <w:vAlign w:val="center"/>
                </w:tcPr>
                <w:p w14:paraId="3A4F25AD">
                  <w:pPr>
                    <w:widowControl/>
                    <w:spacing w:line="240" w:lineRule="auto"/>
                    <w:jc w:val="center"/>
                    <w:rPr>
                      <w:rFonts w:hint="eastAsia" w:eastAsia="仿宋"/>
                      <w:kern w:val="0"/>
                      <w:sz w:val="21"/>
                      <w:szCs w:val="21"/>
                      <w:lang w:val="en-US" w:eastAsia="zh-CN" w:bidi="ar"/>
                    </w:rPr>
                  </w:pPr>
                  <w:r>
                    <w:rPr>
                      <w:rFonts w:hint="eastAsia"/>
                      <w:kern w:val="0"/>
                      <w:sz w:val="21"/>
                      <w:szCs w:val="21"/>
                      <w:lang w:val="en-US" w:eastAsia="zh-CN" w:bidi="ar"/>
                    </w:rPr>
                    <w:t>办公区</w:t>
                  </w:r>
                </w:p>
              </w:tc>
              <w:tc>
                <w:tcPr>
                  <w:tcW w:w="2921" w:type="pct"/>
                  <w:tcBorders>
                    <w:tl2br w:val="nil"/>
                    <w:tr2bl w:val="nil"/>
                  </w:tcBorders>
                  <w:vAlign w:val="center"/>
                </w:tcPr>
                <w:p w14:paraId="6DA9021F">
                  <w:pPr>
                    <w:widowControl/>
                    <w:spacing w:line="240" w:lineRule="auto"/>
                    <w:jc w:val="center"/>
                    <w:rPr>
                      <w:kern w:val="0"/>
                      <w:sz w:val="21"/>
                      <w:szCs w:val="21"/>
                      <w:lang w:bidi="ar"/>
                    </w:rPr>
                  </w:pPr>
                  <w:r>
                    <w:rPr>
                      <w:kern w:val="0"/>
                      <w:sz w:val="21"/>
                      <w:szCs w:val="21"/>
                      <w:lang w:bidi="ar"/>
                    </w:rPr>
                    <w:t>等效黏土防渗层Mb≥1.5m，渗透系数K≤10</w:t>
                  </w:r>
                  <w:r>
                    <w:rPr>
                      <w:kern w:val="0"/>
                      <w:sz w:val="21"/>
                      <w:szCs w:val="21"/>
                      <w:vertAlign w:val="superscript"/>
                      <w:lang w:bidi="ar"/>
                    </w:rPr>
                    <w:t>-7</w:t>
                  </w:r>
                  <w:r>
                    <w:rPr>
                      <w:kern w:val="0"/>
                      <w:sz w:val="21"/>
                      <w:szCs w:val="21"/>
                      <w:lang w:bidi="ar"/>
                    </w:rPr>
                    <w:t>cm/s</w:t>
                  </w:r>
                </w:p>
              </w:tc>
            </w:tr>
          </w:tbl>
          <w:p w14:paraId="63727DED">
            <w:pPr>
              <w:widowControl/>
              <w:spacing w:line="480" w:lineRule="exact"/>
              <w:ind w:firstLine="480" w:firstLineChars="200"/>
              <w:rPr>
                <w:kern w:val="0"/>
                <w:lang w:bidi="ar"/>
              </w:rPr>
            </w:pPr>
            <w:r>
              <w:rPr>
                <w:kern w:val="0"/>
                <w:lang w:bidi="ar"/>
              </w:rPr>
              <w:t>企业在管理方面严加管理，并采取相应的防渗措施可有效防</w:t>
            </w:r>
            <w:r>
              <w:rPr>
                <w:rFonts w:hint="eastAsia"/>
                <w:kern w:val="0"/>
                <w:lang w:bidi="ar"/>
              </w:rPr>
              <w:t>止</w:t>
            </w:r>
            <w:r>
              <w:rPr>
                <w:kern w:val="0"/>
                <w:lang w:bidi="ar"/>
              </w:rPr>
              <w:t>危险废物暂存和处置过程中因物料泄漏造成对区域土壤环境的污染。</w:t>
            </w:r>
          </w:p>
          <w:p w14:paraId="629B8CEE">
            <w:pPr>
              <w:adjustRightInd w:val="0"/>
              <w:snapToGrid w:val="0"/>
              <w:spacing w:line="480" w:lineRule="exact"/>
              <w:ind w:firstLine="480" w:firstLineChars="200"/>
              <w:rPr>
                <w:b/>
                <w:bCs/>
              </w:rPr>
            </w:pPr>
            <w:r>
              <w:rPr>
                <w:kern w:val="0"/>
                <w:lang w:bidi="ar"/>
              </w:rPr>
              <w:t>综上所述，本项目对可能对土壤</w:t>
            </w:r>
            <w:r>
              <w:rPr>
                <w:rFonts w:hint="eastAsia"/>
                <w:kern w:val="0"/>
                <w:lang w:bidi="ar"/>
              </w:rPr>
              <w:t>、地下水</w:t>
            </w:r>
            <w:r>
              <w:rPr>
                <w:kern w:val="0"/>
                <w:lang w:bidi="ar"/>
              </w:rPr>
              <w:t>环境产生影响的各项途径均进行有效预防，在确保各项措施得以落实，并加强维护和厂区环境管理的前提下，可有效控制污染物泄漏、入渗现象，避免污染土壤</w:t>
            </w:r>
            <w:r>
              <w:rPr>
                <w:rFonts w:hint="eastAsia"/>
                <w:kern w:val="0"/>
                <w:lang w:bidi="ar"/>
              </w:rPr>
              <w:t>、地下水</w:t>
            </w:r>
            <w:r>
              <w:rPr>
                <w:kern w:val="0"/>
                <w:lang w:bidi="ar"/>
              </w:rPr>
              <w:t>环境。因此，本项目不会对区域土壤</w:t>
            </w:r>
            <w:r>
              <w:rPr>
                <w:rFonts w:hint="eastAsia"/>
                <w:kern w:val="0"/>
                <w:lang w:bidi="ar"/>
              </w:rPr>
              <w:t>、地下水</w:t>
            </w:r>
            <w:r>
              <w:rPr>
                <w:kern w:val="0"/>
                <w:lang w:bidi="ar"/>
              </w:rPr>
              <w:t>环境产生明显影响。</w:t>
            </w:r>
          </w:p>
          <w:p w14:paraId="52074BA6">
            <w:pPr>
              <w:spacing w:line="480" w:lineRule="exact"/>
              <w:ind w:firstLine="482" w:firstLineChars="200"/>
              <w:rPr>
                <w:b/>
                <w:bCs/>
              </w:rPr>
            </w:pPr>
            <w:r>
              <w:rPr>
                <w:rFonts w:hint="eastAsia"/>
                <w:b/>
                <w:bCs/>
              </w:rPr>
              <w:t>6、</w:t>
            </w:r>
            <w:r>
              <w:rPr>
                <w:b/>
                <w:bCs/>
              </w:rPr>
              <w:t>生态</w:t>
            </w:r>
          </w:p>
          <w:p w14:paraId="09186E16">
            <w:pPr>
              <w:spacing w:line="480" w:lineRule="exact"/>
              <w:ind w:firstLine="480" w:firstLineChars="200"/>
              <w:rPr>
                <w:b/>
                <w:bCs/>
              </w:rPr>
            </w:pPr>
            <w:r>
              <w:rPr>
                <w:kern w:val="0"/>
                <w:lang w:bidi="ar"/>
              </w:rPr>
              <w:t>本项目用地范围内无生态环境保护目标。</w:t>
            </w:r>
          </w:p>
          <w:p w14:paraId="6A610A99">
            <w:pPr>
              <w:spacing w:line="480" w:lineRule="exact"/>
              <w:ind w:firstLine="482" w:firstLineChars="200"/>
              <w:rPr>
                <w:b/>
                <w:bCs/>
              </w:rPr>
            </w:pPr>
            <w:r>
              <w:rPr>
                <w:b/>
                <w:bCs/>
              </w:rPr>
              <w:t>7</w:t>
            </w:r>
            <w:r>
              <w:rPr>
                <w:rFonts w:hint="eastAsia"/>
                <w:b/>
                <w:bCs/>
              </w:rPr>
              <w:t>、</w:t>
            </w:r>
            <w:r>
              <w:rPr>
                <w:b/>
                <w:bCs/>
              </w:rPr>
              <w:t>环境风险</w:t>
            </w:r>
          </w:p>
          <w:p w14:paraId="0E819642">
            <w:pPr>
              <w:spacing w:line="480" w:lineRule="exact"/>
              <w:ind w:firstLine="480" w:firstLineChars="200"/>
              <w:rPr>
                <w:kern w:val="0"/>
                <w:lang w:bidi="ar"/>
              </w:rPr>
            </w:pPr>
            <w:r>
              <w:rPr>
                <w:kern w:val="0"/>
                <w:lang w:bidi="ar"/>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影响能够达到可接受水平。</w:t>
            </w:r>
          </w:p>
          <w:p w14:paraId="72E13684">
            <w:pPr>
              <w:keepNext w:val="0"/>
              <w:keepLines w:val="0"/>
              <w:pageBreakBefore w:val="0"/>
              <w:kinsoku/>
              <w:wordWrap/>
              <w:overflowPunct/>
              <w:topLinePunct w:val="0"/>
              <w:autoSpaceDE/>
              <w:autoSpaceDN/>
              <w:bidi w:val="0"/>
              <w:adjustRightInd/>
              <w:spacing w:line="460" w:lineRule="exact"/>
              <w:ind w:firstLine="482" w:firstLineChars="200"/>
              <w:textAlignment w:val="auto"/>
              <w:rPr>
                <w:b/>
                <w:bCs/>
                <w:kern w:val="0"/>
                <w:lang w:bidi="ar"/>
              </w:rPr>
            </w:pPr>
            <w:bookmarkStart w:id="4" w:name="_Toc23605"/>
            <w:bookmarkStart w:id="5" w:name="_Toc2520301"/>
            <w:r>
              <w:rPr>
                <w:rFonts w:hint="eastAsia"/>
                <w:b/>
                <w:bCs/>
                <w:kern w:val="0"/>
                <w:lang w:bidi="ar"/>
              </w:rPr>
              <w:t>7.1风险物质识别</w:t>
            </w:r>
          </w:p>
          <w:p w14:paraId="43968903">
            <w:pPr>
              <w:keepNext w:val="0"/>
              <w:keepLines w:val="0"/>
              <w:pageBreakBefore w:val="0"/>
              <w:kinsoku/>
              <w:wordWrap/>
              <w:overflowPunct/>
              <w:topLinePunct w:val="0"/>
              <w:autoSpaceDE/>
              <w:autoSpaceDN/>
              <w:bidi w:val="0"/>
              <w:adjustRightInd/>
              <w:spacing w:line="460" w:lineRule="exact"/>
              <w:ind w:firstLine="480" w:firstLineChars="200"/>
              <w:textAlignment w:val="auto"/>
              <w:rPr>
                <w:kern w:val="0"/>
                <w:lang w:bidi="ar"/>
              </w:rPr>
            </w:pPr>
            <w:r>
              <w:rPr>
                <w:kern w:val="0"/>
                <w:lang w:bidi="ar"/>
              </w:rPr>
              <w:t>对照《建设项目环境风险评价技术导则》（HJ169-2018）附录B</w:t>
            </w:r>
            <w:r>
              <w:rPr>
                <w:rFonts w:hint="eastAsia"/>
                <w:kern w:val="0"/>
                <w:lang w:bidi="ar"/>
              </w:rPr>
              <w:t>及《企业突发环境事件风险分级方法》（HJ941-2018），判定本项目风险物质为</w:t>
            </w:r>
            <w:r>
              <w:rPr>
                <w:rFonts w:hint="eastAsia"/>
                <w:kern w:val="0"/>
                <w:lang w:val="en-US" w:eastAsia="zh-CN" w:bidi="ar"/>
              </w:rPr>
              <w:t>脱模剂、机油</w:t>
            </w:r>
            <w:r>
              <w:rPr>
                <w:rFonts w:hint="eastAsia"/>
                <w:kern w:val="0"/>
                <w:lang w:bidi="ar"/>
              </w:rPr>
              <w:t>及危险废物（</w:t>
            </w:r>
            <w:r>
              <w:rPr>
                <w:rFonts w:hint="eastAsia"/>
                <w:kern w:val="0"/>
                <w:lang w:val="en-US" w:eastAsia="zh-CN" w:bidi="ar"/>
              </w:rPr>
              <w:t>炉渣、废活性炭、废过滤材料、废脱模剂、废包装桶</w:t>
            </w:r>
            <w:r>
              <w:rPr>
                <w:rFonts w:hint="eastAsia"/>
                <w:kern w:val="0"/>
                <w:lang w:bidi="ar"/>
              </w:rPr>
              <w:t>、废</w:t>
            </w:r>
            <w:r>
              <w:rPr>
                <w:rFonts w:hint="eastAsia"/>
                <w:kern w:val="0"/>
                <w:lang w:val="en-US" w:eastAsia="zh-CN" w:bidi="ar"/>
              </w:rPr>
              <w:t>机</w:t>
            </w:r>
            <w:r>
              <w:rPr>
                <w:rFonts w:hint="eastAsia"/>
                <w:kern w:val="0"/>
                <w:lang w:bidi="ar"/>
              </w:rPr>
              <w:t>油、</w:t>
            </w:r>
            <w:r>
              <w:rPr>
                <w:rFonts w:hint="eastAsia"/>
                <w:kern w:val="0"/>
                <w:lang w:val="en-US" w:eastAsia="zh-CN" w:bidi="ar"/>
              </w:rPr>
              <w:t>喷淋废液</w:t>
            </w:r>
            <w:r>
              <w:rPr>
                <w:rFonts w:hint="eastAsia"/>
                <w:kern w:val="0"/>
                <w:lang w:bidi="ar"/>
              </w:rPr>
              <w:t>）。</w:t>
            </w:r>
          </w:p>
          <w:p w14:paraId="7F9527BB">
            <w:pPr>
              <w:keepNext w:val="0"/>
              <w:keepLines w:val="0"/>
              <w:pageBreakBefore w:val="0"/>
              <w:kinsoku/>
              <w:wordWrap/>
              <w:overflowPunct/>
              <w:topLinePunct w:val="0"/>
              <w:autoSpaceDE/>
              <w:autoSpaceDN/>
              <w:bidi w:val="0"/>
              <w:adjustRightInd/>
              <w:spacing w:line="460" w:lineRule="exact"/>
              <w:ind w:firstLine="482" w:firstLineChars="200"/>
              <w:textAlignment w:val="auto"/>
              <w:rPr>
                <w:b/>
                <w:bCs/>
                <w:kern w:val="0"/>
                <w:lang w:bidi="ar"/>
              </w:rPr>
            </w:pPr>
            <w:r>
              <w:rPr>
                <w:rFonts w:hint="eastAsia"/>
                <w:b/>
                <w:bCs/>
                <w:kern w:val="0"/>
                <w:lang w:bidi="ar"/>
              </w:rPr>
              <w:t>7.2</w:t>
            </w:r>
            <w:r>
              <w:rPr>
                <w:b/>
                <w:bCs/>
                <w:kern w:val="0"/>
                <w:lang w:bidi="ar"/>
              </w:rPr>
              <w:t>风险评价等级的确定</w:t>
            </w:r>
            <w:bookmarkEnd w:id="4"/>
            <w:bookmarkEnd w:id="5"/>
          </w:p>
          <w:p w14:paraId="7D4505B0">
            <w:pPr>
              <w:keepNext w:val="0"/>
              <w:keepLines w:val="0"/>
              <w:pageBreakBefore w:val="0"/>
              <w:kinsoku/>
              <w:wordWrap/>
              <w:overflowPunct/>
              <w:topLinePunct w:val="0"/>
              <w:autoSpaceDE/>
              <w:autoSpaceDN/>
              <w:bidi w:val="0"/>
              <w:adjustRightInd/>
              <w:spacing w:line="460" w:lineRule="exact"/>
              <w:ind w:firstLine="480" w:firstLineChars="200"/>
              <w:textAlignment w:val="auto"/>
              <w:rPr>
                <w:kern w:val="0"/>
                <w:lang w:bidi="ar"/>
              </w:rPr>
            </w:pPr>
            <w:r>
              <w:rPr>
                <w:kern w:val="0"/>
                <w:lang w:bidi="ar"/>
              </w:rPr>
              <w:t>对照《建设项目环境风险评价技术导则》（HJ169-2018）附录B</w:t>
            </w:r>
            <w:r>
              <w:rPr>
                <w:rFonts w:hint="eastAsia"/>
                <w:kern w:val="0"/>
                <w:lang w:bidi="ar"/>
              </w:rPr>
              <w:t>及《企业突发环境事件风险分级方法》（HJ941-2018）</w:t>
            </w:r>
            <w:r>
              <w:rPr>
                <w:kern w:val="0"/>
                <w:lang w:bidi="ar"/>
              </w:rPr>
              <w:t>，计算所涉及的每种危险物质在厂界内的最大存在总量与其在</w:t>
            </w:r>
            <w:r>
              <w:rPr>
                <w:rFonts w:hint="eastAsia"/>
                <w:kern w:val="0"/>
                <w:lang w:bidi="ar"/>
              </w:rPr>
              <w:t>文件</w:t>
            </w:r>
            <w:r>
              <w:rPr>
                <w:kern w:val="0"/>
                <w:lang w:bidi="ar"/>
              </w:rPr>
              <w:t>中对应临界量的比值Q。</w:t>
            </w:r>
          </w:p>
          <w:p w14:paraId="0B6614F1">
            <w:pPr>
              <w:keepNext w:val="0"/>
              <w:keepLines w:val="0"/>
              <w:pageBreakBefore w:val="0"/>
              <w:kinsoku/>
              <w:wordWrap/>
              <w:overflowPunct/>
              <w:topLinePunct w:val="0"/>
              <w:autoSpaceDE/>
              <w:autoSpaceDN/>
              <w:bidi w:val="0"/>
              <w:adjustRightInd/>
              <w:spacing w:line="460" w:lineRule="exact"/>
              <w:ind w:firstLine="480" w:firstLineChars="200"/>
              <w:textAlignment w:val="auto"/>
              <w:rPr>
                <w:kern w:val="0"/>
                <w:lang w:bidi="ar"/>
              </w:rPr>
            </w:pPr>
            <w:r>
              <w:rPr>
                <w:kern w:val="0"/>
                <w:lang w:bidi="ar"/>
              </w:rPr>
              <w:t>当只涉及一种危险物质时，计算该物质的总量与其临界量比值，即为Q；</w:t>
            </w:r>
          </w:p>
          <w:p w14:paraId="28057F35">
            <w:pPr>
              <w:keepNext w:val="0"/>
              <w:keepLines w:val="0"/>
              <w:pageBreakBefore w:val="0"/>
              <w:kinsoku/>
              <w:wordWrap/>
              <w:overflowPunct/>
              <w:topLinePunct w:val="0"/>
              <w:autoSpaceDE/>
              <w:autoSpaceDN/>
              <w:bidi w:val="0"/>
              <w:adjustRightInd/>
              <w:spacing w:line="460" w:lineRule="exact"/>
              <w:ind w:firstLine="480" w:firstLineChars="200"/>
              <w:textAlignment w:val="auto"/>
              <w:rPr>
                <w:kern w:val="0"/>
                <w:lang w:bidi="ar"/>
              </w:rPr>
            </w:pPr>
            <w:r>
              <w:rPr>
                <w:kern w:val="0"/>
                <w:lang w:bidi="ar"/>
              </w:rPr>
              <w:t>当存在多种危险物质时，则按下式计算物质总量与其临界量比值（Q）：</w:t>
            </w:r>
          </w:p>
          <w:p w14:paraId="0D06CB5D">
            <w:pPr>
              <w:keepNext w:val="0"/>
              <w:keepLines w:val="0"/>
              <w:pageBreakBefore w:val="0"/>
              <w:kinsoku/>
              <w:wordWrap/>
              <w:overflowPunct/>
              <w:topLinePunct w:val="0"/>
              <w:autoSpaceDE/>
              <w:autoSpaceDN/>
              <w:bidi w:val="0"/>
              <w:adjustRightInd/>
              <w:spacing w:line="460" w:lineRule="exact"/>
              <w:ind w:firstLine="480" w:firstLineChars="200"/>
              <w:jc w:val="center"/>
              <w:textAlignment w:val="auto"/>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14:paraId="5021664E">
            <w:pPr>
              <w:keepNext w:val="0"/>
              <w:keepLines w:val="0"/>
              <w:pageBreakBefore w:val="0"/>
              <w:kinsoku/>
              <w:wordWrap/>
              <w:overflowPunct/>
              <w:topLinePunct w:val="0"/>
              <w:autoSpaceDE/>
              <w:autoSpaceDN/>
              <w:bidi w:val="0"/>
              <w:adjustRightInd/>
              <w:spacing w:line="460" w:lineRule="exact"/>
              <w:ind w:firstLine="480" w:firstLineChars="200"/>
              <w:textAlignment w:val="auto"/>
            </w:pPr>
            <w:r>
              <w:t>式中：q</w:t>
            </w:r>
            <w:r>
              <w:rPr>
                <w:vertAlign w:val="subscript"/>
              </w:rPr>
              <w:t>1</w:t>
            </w:r>
            <w:r>
              <w:t>，q</w:t>
            </w:r>
            <w:r>
              <w:rPr>
                <w:vertAlign w:val="subscript"/>
              </w:rPr>
              <w:t>2</w:t>
            </w:r>
            <w:r>
              <w:t>，…，q</w:t>
            </w:r>
            <w:r>
              <w:rPr>
                <w:vertAlign w:val="subscript"/>
              </w:rPr>
              <w:t>n</w:t>
            </w:r>
            <w:r>
              <w:t>—每种危险物质的最大存在总量，t；</w:t>
            </w:r>
          </w:p>
          <w:p w14:paraId="57EFF2DD">
            <w:pPr>
              <w:keepNext w:val="0"/>
              <w:keepLines w:val="0"/>
              <w:pageBreakBefore w:val="0"/>
              <w:kinsoku/>
              <w:wordWrap/>
              <w:overflowPunct/>
              <w:topLinePunct w:val="0"/>
              <w:autoSpaceDE/>
              <w:autoSpaceDN/>
              <w:bidi w:val="0"/>
              <w:adjustRightInd/>
              <w:spacing w:line="460" w:lineRule="exact"/>
              <w:ind w:firstLine="1200" w:firstLineChars="500"/>
              <w:textAlignment w:val="auto"/>
            </w:pPr>
            <w:r>
              <w:t>Q</w:t>
            </w:r>
            <w:r>
              <w:rPr>
                <w:vertAlign w:val="subscript"/>
              </w:rPr>
              <w:t>1</w:t>
            </w:r>
            <w:r>
              <w:t>，Q</w:t>
            </w:r>
            <w:r>
              <w:rPr>
                <w:vertAlign w:val="subscript"/>
              </w:rPr>
              <w:t>2</w:t>
            </w:r>
            <w:r>
              <w:t>，…，Q</w:t>
            </w:r>
            <w:r>
              <w:rPr>
                <w:vertAlign w:val="subscript"/>
              </w:rPr>
              <w:t>n</w:t>
            </w:r>
            <w:r>
              <w:t>—每种危险物质的临界量，t。</w:t>
            </w:r>
          </w:p>
          <w:p w14:paraId="50B628C2">
            <w:pPr>
              <w:keepNext w:val="0"/>
              <w:keepLines w:val="0"/>
              <w:pageBreakBefore w:val="0"/>
              <w:kinsoku/>
              <w:wordWrap/>
              <w:overflowPunct/>
              <w:topLinePunct w:val="0"/>
              <w:autoSpaceDE/>
              <w:autoSpaceDN/>
              <w:bidi w:val="0"/>
              <w:adjustRightInd/>
              <w:spacing w:line="460" w:lineRule="exact"/>
              <w:ind w:firstLine="480" w:firstLineChars="200"/>
              <w:textAlignment w:val="auto"/>
            </w:pPr>
            <w:r>
              <w:t>当Q＜1时，该项目环境风险潜势为I。</w:t>
            </w:r>
          </w:p>
          <w:p w14:paraId="06539949">
            <w:pPr>
              <w:keepNext w:val="0"/>
              <w:keepLines w:val="0"/>
              <w:pageBreakBefore w:val="0"/>
              <w:kinsoku/>
              <w:wordWrap/>
              <w:overflowPunct/>
              <w:topLinePunct w:val="0"/>
              <w:autoSpaceDE/>
              <w:autoSpaceDN/>
              <w:bidi w:val="0"/>
              <w:adjustRightInd/>
              <w:spacing w:line="460" w:lineRule="exact"/>
              <w:ind w:firstLine="480" w:firstLineChars="200"/>
              <w:textAlignment w:val="auto"/>
            </w:pPr>
            <w:r>
              <w:t>当Q≥1时，将Q值划分为：（1）1≤Q＜10；（2）10≤Q＜100；（3）Q≥100。</w:t>
            </w:r>
          </w:p>
          <w:p w14:paraId="289EB8E4">
            <w:pPr>
              <w:pStyle w:val="2"/>
              <w:keepNext w:val="0"/>
              <w:keepLines w:val="0"/>
              <w:pageBreakBefore w:val="0"/>
              <w:kinsoku/>
              <w:wordWrap/>
              <w:overflowPunct/>
              <w:topLinePunct w:val="0"/>
              <w:autoSpaceDE/>
              <w:autoSpaceDN/>
              <w:bidi w:val="0"/>
              <w:adjustRightInd/>
              <w:spacing w:before="0" w:after="0" w:line="460" w:lineRule="exact"/>
              <w:ind w:right="0" w:firstLine="480" w:firstLineChars="200"/>
              <w:textAlignment w:val="auto"/>
              <w:rPr>
                <w:sz w:val="24"/>
                <w:szCs w:val="24"/>
              </w:rPr>
            </w:pPr>
            <w:r>
              <w:rPr>
                <w:sz w:val="24"/>
                <w:szCs w:val="24"/>
              </w:rPr>
              <w:t>厂区内所有物质与附录B对照情况见表</w:t>
            </w:r>
            <w:r>
              <w:rPr>
                <w:rFonts w:hint="eastAsia"/>
                <w:sz w:val="24"/>
                <w:szCs w:val="24"/>
              </w:rPr>
              <w:t>4-</w:t>
            </w:r>
            <w:r>
              <w:rPr>
                <w:rFonts w:hint="eastAsia"/>
                <w:sz w:val="24"/>
                <w:szCs w:val="24"/>
                <w:lang w:val="en-US" w:eastAsia="zh-CN"/>
              </w:rPr>
              <w:t>31</w:t>
            </w:r>
            <w:r>
              <w:rPr>
                <w:sz w:val="24"/>
                <w:szCs w:val="24"/>
              </w:rPr>
              <w:t>。</w:t>
            </w:r>
          </w:p>
          <w:p w14:paraId="3F43CAE0">
            <w:pPr>
              <w:spacing w:line="240" w:lineRule="auto"/>
              <w:jc w:val="center"/>
              <w:rPr>
                <w:b/>
                <w:bCs/>
                <w:sz w:val="21"/>
                <w:szCs w:val="21"/>
              </w:rPr>
            </w:pPr>
          </w:p>
          <w:p w14:paraId="380A0CDA">
            <w:pPr>
              <w:spacing w:line="240" w:lineRule="auto"/>
              <w:jc w:val="center"/>
              <w:rPr>
                <w:b/>
                <w:bCs/>
                <w:sz w:val="21"/>
                <w:szCs w:val="21"/>
              </w:rPr>
            </w:pPr>
          </w:p>
          <w:p w14:paraId="7992F7CC">
            <w:pPr>
              <w:spacing w:line="240" w:lineRule="auto"/>
              <w:jc w:val="center"/>
              <w:rPr>
                <w:b/>
                <w:bCs/>
                <w:sz w:val="21"/>
                <w:szCs w:val="21"/>
              </w:rPr>
            </w:pPr>
          </w:p>
          <w:p w14:paraId="2FDFA735">
            <w:pPr>
              <w:spacing w:line="240" w:lineRule="auto"/>
              <w:jc w:val="center"/>
              <w:rPr>
                <w:b/>
                <w:bCs/>
                <w:sz w:val="21"/>
                <w:szCs w:val="21"/>
              </w:rPr>
            </w:pPr>
          </w:p>
          <w:p w14:paraId="096A96E5">
            <w:pPr>
              <w:spacing w:line="240" w:lineRule="auto"/>
              <w:jc w:val="center"/>
              <w:rPr>
                <w:b/>
                <w:bCs/>
                <w:sz w:val="21"/>
                <w:szCs w:val="21"/>
              </w:rPr>
            </w:pPr>
          </w:p>
          <w:p w14:paraId="2775ABBC">
            <w:pPr>
              <w:spacing w:line="240" w:lineRule="auto"/>
              <w:jc w:val="center"/>
              <w:rPr>
                <w:b/>
                <w:bCs/>
                <w:sz w:val="21"/>
                <w:szCs w:val="21"/>
              </w:rPr>
            </w:pPr>
          </w:p>
          <w:p w14:paraId="2E9644A6">
            <w:pPr>
              <w:spacing w:line="240" w:lineRule="auto"/>
              <w:jc w:val="center"/>
              <w:rPr>
                <w:b/>
                <w:bCs/>
                <w:sz w:val="21"/>
                <w:szCs w:val="21"/>
              </w:rPr>
            </w:pPr>
          </w:p>
          <w:p w14:paraId="72E51213">
            <w:pPr>
              <w:spacing w:line="240" w:lineRule="auto"/>
              <w:jc w:val="center"/>
              <w:rPr>
                <w:b/>
                <w:bCs/>
                <w:sz w:val="21"/>
                <w:szCs w:val="21"/>
              </w:rPr>
            </w:pPr>
          </w:p>
          <w:p w14:paraId="7A52B40B">
            <w:pPr>
              <w:spacing w:line="240" w:lineRule="auto"/>
              <w:jc w:val="center"/>
              <w:rPr>
                <w:b/>
                <w:bCs/>
                <w:sz w:val="21"/>
                <w:szCs w:val="21"/>
              </w:rPr>
            </w:pPr>
          </w:p>
          <w:p w14:paraId="42AC288D">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31</w:t>
            </w:r>
            <w:r>
              <w:rPr>
                <w:rFonts w:hint="eastAsia"/>
                <w:b/>
                <w:bCs/>
                <w:sz w:val="21"/>
                <w:szCs w:val="21"/>
              </w:rPr>
              <w:t xml:space="preserve"> </w:t>
            </w:r>
            <w:r>
              <w:rPr>
                <w:b/>
                <w:bCs/>
                <w:sz w:val="21"/>
                <w:szCs w:val="21"/>
              </w:rPr>
              <w:t xml:space="preserve"> 危险物质与临界量比值（Q）结果</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709"/>
              <w:gridCol w:w="2106"/>
              <w:gridCol w:w="1604"/>
              <w:gridCol w:w="1413"/>
            </w:tblGrid>
            <w:tr w14:paraId="22781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73" w:type="pct"/>
                  <w:gridSpan w:val="2"/>
                  <w:vAlign w:val="center"/>
                </w:tcPr>
                <w:p w14:paraId="4770DE45">
                  <w:pPr>
                    <w:spacing w:line="240" w:lineRule="auto"/>
                    <w:jc w:val="center"/>
                    <w:rPr>
                      <w:b/>
                      <w:sz w:val="21"/>
                      <w:szCs w:val="21"/>
                    </w:rPr>
                  </w:pPr>
                  <w:r>
                    <w:rPr>
                      <w:b/>
                      <w:sz w:val="21"/>
                      <w:szCs w:val="21"/>
                    </w:rPr>
                    <w:t>危险物质名称</w:t>
                  </w:r>
                </w:p>
              </w:tc>
              <w:tc>
                <w:tcPr>
                  <w:tcW w:w="1326" w:type="pct"/>
                  <w:vAlign w:val="center"/>
                </w:tcPr>
                <w:p w14:paraId="22891D4C">
                  <w:pPr>
                    <w:spacing w:line="240" w:lineRule="auto"/>
                    <w:jc w:val="center"/>
                    <w:rPr>
                      <w:b/>
                      <w:sz w:val="21"/>
                      <w:szCs w:val="21"/>
                    </w:rPr>
                  </w:pPr>
                  <w:r>
                    <w:rPr>
                      <w:b/>
                      <w:sz w:val="21"/>
                      <w:szCs w:val="21"/>
                    </w:rPr>
                    <w:t>全厂最大存在量（t）</w:t>
                  </w:r>
                </w:p>
              </w:tc>
              <w:tc>
                <w:tcPr>
                  <w:tcW w:w="1010" w:type="pct"/>
                  <w:vAlign w:val="center"/>
                </w:tcPr>
                <w:p w14:paraId="7526F945">
                  <w:pPr>
                    <w:spacing w:line="240" w:lineRule="auto"/>
                    <w:jc w:val="center"/>
                    <w:rPr>
                      <w:b/>
                      <w:sz w:val="21"/>
                      <w:szCs w:val="21"/>
                    </w:rPr>
                  </w:pPr>
                  <w:r>
                    <w:rPr>
                      <w:b/>
                      <w:sz w:val="21"/>
                      <w:szCs w:val="21"/>
                    </w:rPr>
                    <w:t>临界量（t）</w:t>
                  </w:r>
                </w:p>
              </w:tc>
              <w:tc>
                <w:tcPr>
                  <w:tcW w:w="889" w:type="pct"/>
                  <w:vAlign w:val="center"/>
                </w:tcPr>
                <w:p w14:paraId="22A82F8E">
                  <w:pPr>
                    <w:spacing w:line="240" w:lineRule="auto"/>
                    <w:jc w:val="center"/>
                    <w:rPr>
                      <w:b/>
                      <w:sz w:val="21"/>
                      <w:szCs w:val="21"/>
                    </w:rPr>
                  </w:pPr>
                  <w:r>
                    <w:rPr>
                      <w:b/>
                      <w:position w:val="-30"/>
                      <w:sz w:val="21"/>
                      <w:szCs w:val="21"/>
                    </w:rPr>
                    <w:object>
                      <v:shape id="_x0000_i1025" o:spt="75" type="#_x0000_t75" style="height:29.5pt;width:14.7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6" r:id="rId20">
                        <o:LockedField>false</o:LockedField>
                      </o:OLEObject>
                    </w:object>
                  </w:r>
                </w:p>
              </w:tc>
            </w:tr>
            <w:tr w14:paraId="36AE5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773" w:type="pct"/>
                  <w:gridSpan w:val="2"/>
                  <w:vAlign w:val="center"/>
                </w:tcPr>
                <w:p w14:paraId="2709D6A3">
                  <w:pPr>
                    <w:spacing w:line="240" w:lineRule="auto"/>
                    <w:jc w:val="center"/>
                    <w:rPr>
                      <w:rFonts w:hint="eastAsia"/>
                      <w:sz w:val="21"/>
                      <w:szCs w:val="21"/>
                      <w:lang w:eastAsia="zh-CN"/>
                    </w:rPr>
                  </w:pPr>
                  <w:r>
                    <w:rPr>
                      <w:rFonts w:hint="eastAsia"/>
                      <w:sz w:val="21"/>
                      <w:szCs w:val="21"/>
                      <w:lang w:val="en-US" w:eastAsia="zh-CN"/>
                    </w:rPr>
                    <w:t>脱模剂</w:t>
                  </w:r>
                </w:p>
              </w:tc>
              <w:tc>
                <w:tcPr>
                  <w:tcW w:w="2106" w:type="dxa"/>
                  <w:vAlign w:val="center"/>
                </w:tcPr>
                <w:p w14:paraId="38FD1973">
                  <w:pPr>
                    <w:spacing w:line="240" w:lineRule="auto"/>
                    <w:jc w:val="center"/>
                    <w:rPr>
                      <w:rFonts w:hint="eastAsia"/>
                      <w:sz w:val="21"/>
                      <w:szCs w:val="21"/>
                      <w:lang w:val="en-US" w:eastAsia="zh-CN"/>
                    </w:rPr>
                  </w:pPr>
                  <w:r>
                    <w:rPr>
                      <w:rFonts w:hint="default"/>
                      <w:sz w:val="21"/>
                      <w:szCs w:val="21"/>
                      <w:lang w:val="en-US" w:eastAsia="zh-CN"/>
                    </w:rPr>
                    <w:t>2</w:t>
                  </w:r>
                </w:p>
              </w:tc>
              <w:tc>
                <w:tcPr>
                  <w:tcW w:w="1604" w:type="dxa"/>
                  <w:vAlign w:val="center"/>
                </w:tcPr>
                <w:p w14:paraId="59CB3E78">
                  <w:pPr>
                    <w:spacing w:line="240" w:lineRule="auto"/>
                    <w:jc w:val="center"/>
                    <w:rPr>
                      <w:rFonts w:hint="eastAsia"/>
                      <w:sz w:val="21"/>
                      <w:szCs w:val="21"/>
                      <w:lang w:val="en-US" w:eastAsia="zh-CN"/>
                    </w:rPr>
                  </w:pPr>
                  <w:r>
                    <w:rPr>
                      <w:rFonts w:hint="default"/>
                      <w:sz w:val="21"/>
                      <w:szCs w:val="21"/>
                      <w:lang w:val="en-US" w:eastAsia="zh-CN"/>
                    </w:rPr>
                    <w:t>200</w:t>
                  </w:r>
                </w:p>
              </w:tc>
              <w:tc>
                <w:tcPr>
                  <w:tcW w:w="1413" w:type="dxa"/>
                  <w:vAlign w:val="center"/>
                </w:tcPr>
                <w:p w14:paraId="7D00FF77">
                  <w:pPr>
                    <w:spacing w:line="240" w:lineRule="auto"/>
                    <w:jc w:val="center"/>
                    <w:rPr>
                      <w:rFonts w:hint="eastAsia"/>
                      <w:sz w:val="21"/>
                      <w:szCs w:val="21"/>
                      <w:lang w:val="en-US" w:eastAsia="zh-CN"/>
                    </w:rPr>
                  </w:pPr>
                  <w:r>
                    <w:rPr>
                      <w:rFonts w:hint="default"/>
                      <w:sz w:val="21"/>
                      <w:szCs w:val="21"/>
                      <w:lang w:val="en-US" w:eastAsia="zh-CN"/>
                    </w:rPr>
                    <w:t>0.01</w:t>
                  </w:r>
                </w:p>
              </w:tc>
            </w:tr>
            <w:tr w14:paraId="129CB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773" w:type="pct"/>
                  <w:gridSpan w:val="2"/>
                  <w:vAlign w:val="center"/>
                </w:tcPr>
                <w:p w14:paraId="4611E8FF">
                  <w:pPr>
                    <w:spacing w:line="240" w:lineRule="auto"/>
                    <w:jc w:val="center"/>
                    <w:rPr>
                      <w:rFonts w:hint="default"/>
                      <w:sz w:val="21"/>
                      <w:szCs w:val="21"/>
                      <w:lang w:val="en-US" w:eastAsia="zh-CN"/>
                    </w:rPr>
                  </w:pPr>
                  <w:r>
                    <w:rPr>
                      <w:rFonts w:hint="eastAsia"/>
                      <w:sz w:val="21"/>
                      <w:szCs w:val="21"/>
                      <w:lang w:val="en-US" w:eastAsia="zh-CN"/>
                    </w:rPr>
                    <w:t>机油</w:t>
                  </w:r>
                </w:p>
              </w:tc>
              <w:tc>
                <w:tcPr>
                  <w:tcW w:w="2106" w:type="dxa"/>
                  <w:vAlign w:val="center"/>
                </w:tcPr>
                <w:p w14:paraId="59A07C1C">
                  <w:pPr>
                    <w:spacing w:line="240" w:lineRule="auto"/>
                    <w:jc w:val="center"/>
                    <w:rPr>
                      <w:rFonts w:hint="default"/>
                      <w:sz w:val="21"/>
                      <w:szCs w:val="21"/>
                      <w:lang w:val="en-US" w:eastAsia="zh-CN"/>
                    </w:rPr>
                  </w:pPr>
                  <w:r>
                    <w:rPr>
                      <w:rFonts w:hint="default"/>
                      <w:sz w:val="21"/>
                      <w:szCs w:val="21"/>
                      <w:lang w:val="en-US" w:eastAsia="zh-CN"/>
                    </w:rPr>
                    <w:t>0.2</w:t>
                  </w:r>
                </w:p>
              </w:tc>
              <w:tc>
                <w:tcPr>
                  <w:tcW w:w="1604" w:type="dxa"/>
                  <w:vAlign w:val="center"/>
                </w:tcPr>
                <w:p w14:paraId="478E7DCE">
                  <w:pPr>
                    <w:spacing w:line="240" w:lineRule="auto"/>
                    <w:jc w:val="center"/>
                    <w:rPr>
                      <w:rFonts w:hint="default"/>
                      <w:sz w:val="21"/>
                      <w:szCs w:val="21"/>
                      <w:lang w:val="en-US" w:eastAsia="zh-CN"/>
                    </w:rPr>
                  </w:pPr>
                  <w:r>
                    <w:rPr>
                      <w:rFonts w:hint="default"/>
                      <w:sz w:val="21"/>
                      <w:szCs w:val="21"/>
                      <w:lang w:val="en-US" w:eastAsia="zh-CN"/>
                    </w:rPr>
                    <w:t>2500</w:t>
                  </w:r>
                </w:p>
              </w:tc>
              <w:tc>
                <w:tcPr>
                  <w:tcW w:w="1413" w:type="dxa"/>
                  <w:vAlign w:val="center"/>
                </w:tcPr>
                <w:p w14:paraId="4F2288CA">
                  <w:pPr>
                    <w:spacing w:line="240" w:lineRule="auto"/>
                    <w:jc w:val="center"/>
                    <w:rPr>
                      <w:rFonts w:hint="default"/>
                      <w:sz w:val="21"/>
                      <w:szCs w:val="21"/>
                      <w:lang w:val="en-US" w:eastAsia="zh-CN"/>
                    </w:rPr>
                  </w:pPr>
                  <w:r>
                    <w:rPr>
                      <w:rFonts w:hint="default"/>
                      <w:sz w:val="21"/>
                      <w:szCs w:val="21"/>
                      <w:lang w:val="en-US" w:eastAsia="zh-CN"/>
                    </w:rPr>
                    <w:t>0.00008</w:t>
                  </w:r>
                </w:p>
              </w:tc>
            </w:tr>
            <w:tr w14:paraId="2433E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restart"/>
                  <w:vAlign w:val="center"/>
                </w:tcPr>
                <w:p w14:paraId="3362DBFC">
                  <w:pPr>
                    <w:spacing w:line="240" w:lineRule="auto"/>
                    <w:jc w:val="center"/>
                    <w:rPr>
                      <w:rFonts w:hint="eastAsia"/>
                      <w:sz w:val="21"/>
                      <w:szCs w:val="21"/>
                    </w:rPr>
                  </w:pPr>
                  <w:r>
                    <w:rPr>
                      <w:rFonts w:hint="eastAsia"/>
                      <w:sz w:val="21"/>
                      <w:szCs w:val="21"/>
                    </w:rPr>
                    <w:t>危险废物</w:t>
                  </w:r>
                </w:p>
              </w:tc>
              <w:tc>
                <w:tcPr>
                  <w:tcW w:w="1076" w:type="pct"/>
                  <w:vAlign w:val="center"/>
                </w:tcPr>
                <w:p w14:paraId="4AAA4740">
                  <w:pPr>
                    <w:spacing w:line="240" w:lineRule="auto"/>
                    <w:jc w:val="center"/>
                    <w:rPr>
                      <w:rFonts w:hint="eastAsia"/>
                      <w:sz w:val="21"/>
                      <w:szCs w:val="21"/>
                      <w:lang w:val="en-US" w:eastAsia="zh-CN"/>
                    </w:rPr>
                  </w:pPr>
                  <w:r>
                    <w:rPr>
                      <w:rFonts w:hint="eastAsia"/>
                      <w:sz w:val="21"/>
                      <w:szCs w:val="21"/>
                      <w:lang w:val="en-US" w:eastAsia="zh-CN"/>
                    </w:rPr>
                    <w:t>炉渣</w:t>
                  </w:r>
                </w:p>
              </w:tc>
              <w:tc>
                <w:tcPr>
                  <w:tcW w:w="2106" w:type="dxa"/>
                  <w:vAlign w:val="center"/>
                </w:tcPr>
                <w:p w14:paraId="05E5DD19">
                  <w:pPr>
                    <w:spacing w:line="240" w:lineRule="auto"/>
                    <w:jc w:val="center"/>
                    <w:rPr>
                      <w:rFonts w:hint="default"/>
                      <w:sz w:val="21"/>
                      <w:szCs w:val="21"/>
                      <w:lang w:val="en-US" w:eastAsia="zh-CN"/>
                    </w:rPr>
                  </w:pPr>
                  <w:r>
                    <w:rPr>
                      <w:rFonts w:hint="default"/>
                      <w:sz w:val="21"/>
                      <w:szCs w:val="21"/>
                      <w:lang w:val="en-US" w:eastAsia="zh-CN"/>
                    </w:rPr>
                    <w:t>7.5</w:t>
                  </w:r>
                </w:p>
              </w:tc>
              <w:tc>
                <w:tcPr>
                  <w:tcW w:w="1604" w:type="dxa"/>
                  <w:vAlign w:val="center"/>
                </w:tcPr>
                <w:p w14:paraId="492AA3A1">
                  <w:pPr>
                    <w:spacing w:line="240" w:lineRule="auto"/>
                    <w:jc w:val="center"/>
                    <w:rPr>
                      <w:rFonts w:hint="default"/>
                      <w:sz w:val="21"/>
                      <w:szCs w:val="21"/>
                      <w:lang w:val="en-US" w:eastAsia="zh-CN"/>
                    </w:rPr>
                  </w:pPr>
                  <w:r>
                    <w:rPr>
                      <w:rFonts w:hint="default"/>
                      <w:sz w:val="21"/>
                      <w:szCs w:val="21"/>
                      <w:lang w:val="en-US" w:eastAsia="zh-CN"/>
                    </w:rPr>
                    <w:t>50</w:t>
                  </w:r>
                </w:p>
              </w:tc>
              <w:tc>
                <w:tcPr>
                  <w:tcW w:w="1413" w:type="dxa"/>
                  <w:vAlign w:val="center"/>
                </w:tcPr>
                <w:p w14:paraId="56982DC4">
                  <w:pPr>
                    <w:spacing w:line="240" w:lineRule="auto"/>
                    <w:jc w:val="center"/>
                    <w:rPr>
                      <w:rFonts w:hint="eastAsia"/>
                      <w:sz w:val="21"/>
                      <w:szCs w:val="21"/>
                      <w:lang w:val="en-US" w:eastAsia="zh-CN"/>
                    </w:rPr>
                  </w:pPr>
                  <w:r>
                    <w:rPr>
                      <w:rFonts w:hint="default"/>
                      <w:sz w:val="21"/>
                      <w:szCs w:val="21"/>
                      <w:lang w:val="en-US" w:eastAsia="zh-CN"/>
                    </w:rPr>
                    <w:t>0.15</w:t>
                  </w:r>
                </w:p>
              </w:tc>
            </w:tr>
            <w:tr w14:paraId="6361F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vAlign w:val="center"/>
                </w:tcPr>
                <w:p w14:paraId="390A1291">
                  <w:pPr>
                    <w:spacing w:line="240" w:lineRule="auto"/>
                    <w:jc w:val="center"/>
                    <w:rPr>
                      <w:rFonts w:hint="eastAsia"/>
                      <w:sz w:val="21"/>
                      <w:szCs w:val="21"/>
                    </w:rPr>
                  </w:pPr>
                </w:p>
              </w:tc>
              <w:tc>
                <w:tcPr>
                  <w:tcW w:w="1076" w:type="pct"/>
                  <w:vAlign w:val="center"/>
                </w:tcPr>
                <w:p w14:paraId="7BDD9D42">
                  <w:pPr>
                    <w:spacing w:line="240" w:lineRule="auto"/>
                    <w:jc w:val="center"/>
                    <w:rPr>
                      <w:rFonts w:hint="eastAsia"/>
                      <w:sz w:val="21"/>
                      <w:szCs w:val="21"/>
                      <w:lang w:val="en-US" w:eastAsia="zh-CN"/>
                    </w:rPr>
                  </w:pPr>
                  <w:r>
                    <w:rPr>
                      <w:rFonts w:hint="eastAsia"/>
                      <w:sz w:val="21"/>
                      <w:szCs w:val="21"/>
                      <w:lang w:val="en-US" w:eastAsia="zh-CN"/>
                    </w:rPr>
                    <w:t>废包装桶</w:t>
                  </w:r>
                </w:p>
              </w:tc>
              <w:tc>
                <w:tcPr>
                  <w:tcW w:w="2106" w:type="dxa"/>
                  <w:vAlign w:val="center"/>
                </w:tcPr>
                <w:p w14:paraId="27F57F29">
                  <w:pPr>
                    <w:spacing w:line="240" w:lineRule="auto"/>
                    <w:jc w:val="center"/>
                    <w:rPr>
                      <w:rFonts w:hint="eastAsia"/>
                      <w:sz w:val="21"/>
                      <w:szCs w:val="21"/>
                      <w:lang w:val="en-US" w:eastAsia="zh-CN"/>
                    </w:rPr>
                  </w:pPr>
                  <w:r>
                    <w:rPr>
                      <w:rFonts w:hint="default"/>
                      <w:sz w:val="21"/>
                      <w:szCs w:val="21"/>
                      <w:lang w:val="en-US" w:eastAsia="zh-CN"/>
                    </w:rPr>
                    <w:t>0.025</w:t>
                  </w:r>
                </w:p>
              </w:tc>
              <w:tc>
                <w:tcPr>
                  <w:tcW w:w="1604" w:type="dxa"/>
                  <w:vAlign w:val="center"/>
                </w:tcPr>
                <w:p w14:paraId="0AA720B8">
                  <w:pPr>
                    <w:spacing w:line="240" w:lineRule="auto"/>
                    <w:jc w:val="center"/>
                    <w:rPr>
                      <w:rFonts w:hint="eastAsia"/>
                      <w:sz w:val="21"/>
                      <w:szCs w:val="21"/>
                      <w:lang w:val="en-US" w:eastAsia="zh-CN"/>
                    </w:rPr>
                  </w:pPr>
                  <w:r>
                    <w:rPr>
                      <w:rFonts w:hint="default"/>
                      <w:sz w:val="21"/>
                      <w:szCs w:val="21"/>
                      <w:lang w:val="en-US" w:eastAsia="zh-CN"/>
                    </w:rPr>
                    <w:t>50</w:t>
                  </w:r>
                </w:p>
              </w:tc>
              <w:tc>
                <w:tcPr>
                  <w:tcW w:w="1413" w:type="dxa"/>
                  <w:vAlign w:val="center"/>
                </w:tcPr>
                <w:p w14:paraId="6A09D16F">
                  <w:pPr>
                    <w:spacing w:line="240" w:lineRule="auto"/>
                    <w:jc w:val="center"/>
                    <w:rPr>
                      <w:rFonts w:hint="default"/>
                      <w:sz w:val="21"/>
                      <w:szCs w:val="21"/>
                      <w:lang w:val="en-US" w:eastAsia="zh-CN"/>
                    </w:rPr>
                  </w:pPr>
                  <w:r>
                    <w:rPr>
                      <w:rFonts w:hint="default"/>
                      <w:sz w:val="21"/>
                      <w:szCs w:val="21"/>
                      <w:lang w:val="en-US" w:eastAsia="zh-CN"/>
                    </w:rPr>
                    <w:t>0.0005</w:t>
                  </w:r>
                </w:p>
              </w:tc>
            </w:tr>
            <w:tr w14:paraId="08B12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vAlign w:val="center"/>
                </w:tcPr>
                <w:p w14:paraId="7068B78D">
                  <w:pPr>
                    <w:spacing w:line="240" w:lineRule="auto"/>
                    <w:jc w:val="center"/>
                    <w:rPr>
                      <w:rFonts w:hint="eastAsia"/>
                      <w:sz w:val="21"/>
                      <w:szCs w:val="21"/>
                    </w:rPr>
                  </w:pPr>
                </w:p>
              </w:tc>
              <w:tc>
                <w:tcPr>
                  <w:tcW w:w="1076" w:type="pct"/>
                  <w:vAlign w:val="center"/>
                </w:tcPr>
                <w:p w14:paraId="6E5778F2">
                  <w:pPr>
                    <w:spacing w:line="240" w:lineRule="auto"/>
                    <w:jc w:val="center"/>
                    <w:rPr>
                      <w:rFonts w:hint="eastAsia"/>
                      <w:sz w:val="21"/>
                      <w:szCs w:val="21"/>
                      <w:lang w:val="en-US" w:eastAsia="zh-CN"/>
                    </w:rPr>
                  </w:pPr>
                  <w:r>
                    <w:rPr>
                      <w:rFonts w:hint="eastAsia"/>
                      <w:sz w:val="21"/>
                      <w:szCs w:val="21"/>
                      <w:lang w:val="en-US" w:eastAsia="zh-CN"/>
                    </w:rPr>
                    <w:t>废活性炭</w:t>
                  </w:r>
                </w:p>
              </w:tc>
              <w:tc>
                <w:tcPr>
                  <w:tcW w:w="2106" w:type="dxa"/>
                  <w:vAlign w:val="center"/>
                </w:tcPr>
                <w:p w14:paraId="3D576B3A">
                  <w:pPr>
                    <w:spacing w:line="240" w:lineRule="auto"/>
                    <w:jc w:val="center"/>
                    <w:rPr>
                      <w:rFonts w:hint="eastAsia"/>
                      <w:sz w:val="21"/>
                      <w:szCs w:val="21"/>
                      <w:lang w:val="en-US" w:eastAsia="zh-CN"/>
                    </w:rPr>
                  </w:pPr>
                  <w:r>
                    <w:rPr>
                      <w:rFonts w:hint="default"/>
                      <w:sz w:val="21"/>
                      <w:szCs w:val="21"/>
                      <w:lang w:val="en-US" w:eastAsia="zh-CN"/>
                    </w:rPr>
                    <w:t>0.0625</w:t>
                  </w:r>
                </w:p>
              </w:tc>
              <w:tc>
                <w:tcPr>
                  <w:tcW w:w="1604" w:type="dxa"/>
                  <w:vAlign w:val="center"/>
                </w:tcPr>
                <w:p w14:paraId="25EEBED3">
                  <w:pPr>
                    <w:spacing w:line="240" w:lineRule="auto"/>
                    <w:jc w:val="center"/>
                    <w:rPr>
                      <w:rFonts w:hint="eastAsia"/>
                      <w:sz w:val="21"/>
                      <w:szCs w:val="21"/>
                      <w:lang w:val="en-US" w:eastAsia="zh-CN"/>
                    </w:rPr>
                  </w:pPr>
                  <w:r>
                    <w:rPr>
                      <w:rFonts w:hint="default"/>
                      <w:sz w:val="21"/>
                      <w:szCs w:val="21"/>
                      <w:lang w:val="en-US" w:eastAsia="zh-CN"/>
                    </w:rPr>
                    <w:t>50</w:t>
                  </w:r>
                </w:p>
              </w:tc>
              <w:tc>
                <w:tcPr>
                  <w:tcW w:w="1413" w:type="dxa"/>
                  <w:vAlign w:val="center"/>
                </w:tcPr>
                <w:p w14:paraId="37149EE9">
                  <w:pPr>
                    <w:spacing w:line="240" w:lineRule="auto"/>
                    <w:jc w:val="center"/>
                    <w:rPr>
                      <w:rFonts w:hint="default"/>
                      <w:sz w:val="21"/>
                      <w:szCs w:val="21"/>
                      <w:lang w:val="en-US" w:eastAsia="zh-CN"/>
                    </w:rPr>
                  </w:pPr>
                  <w:r>
                    <w:rPr>
                      <w:rFonts w:hint="default"/>
                      <w:sz w:val="21"/>
                      <w:szCs w:val="21"/>
                      <w:lang w:val="en-US" w:eastAsia="zh-CN"/>
                    </w:rPr>
                    <w:t>0.00125</w:t>
                  </w:r>
                </w:p>
              </w:tc>
            </w:tr>
            <w:tr w14:paraId="17D7B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vAlign w:val="center"/>
                </w:tcPr>
                <w:p w14:paraId="7B959685">
                  <w:pPr>
                    <w:spacing w:line="240" w:lineRule="auto"/>
                    <w:jc w:val="center"/>
                    <w:rPr>
                      <w:sz w:val="21"/>
                      <w:szCs w:val="21"/>
                    </w:rPr>
                  </w:pPr>
                </w:p>
              </w:tc>
              <w:tc>
                <w:tcPr>
                  <w:tcW w:w="1076" w:type="pct"/>
                  <w:vAlign w:val="center"/>
                </w:tcPr>
                <w:p w14:paraId="0F41D95E">
                  <w:pPr>
                    <w:spacing w:line="240" w:lineRule="auto"/>
                    <w:jc w:val="center"/>
                    <w:rPr>
                      <w:rFonts w:hint="eastAsia"/>
                      <w:sz w:val="21"/>
                      <w:szCs w:val="21"/>
                      <w:lang w:val="en-US" w:eastAsia="zh-CN"/>
                    </w:rPr>
                  </w:pPr>
                  <w:r>
                    <w:rPr>
                      <w:rFonts w:hint="eastAsia"/>
                      <w:sz w:val="21"/>
                      <w:szCs w:val="21"/>
                      <w:lang w:val="en-US" w:eastAsia="zh-CN"/>
                    </w:rPr>
                    <w:t>喷淋废液</w:t>
                  </w:r>
                </w:p>
              </w:tc>
              <w:tc>
                <w:tcPr>
                  <w:tcW w:w="2106" w:type="dxa"/>
                  <w:vAlign w:val="center"/>
                </w:tcPr>
                <w:p w14:paraId="159D734B">
                  <w:pPr>
                    <w:spacing w:line="240" w:lineRule="auto"/>
                    <w:jc w:val="center"/>
                    <w:rPr>
                      <w:rFonts w:hint="default"/>
                      <w:sz w:val="21"/>
                      <w:szCs w:val="21"/>
                      <w:lang w:val="en-US" w:eastAsia="zh-CN"/>
                    </w:rPr>
                  </w:pPr>
                  <w:r>
                    <w:rPr>
                      <w:rFonts w:hint="default"/>
                      <w:sz w:val="21"/>
                      <w:szCs w:val="21"/>
                      <w:lang w:val="en-US" w:eastAsia="zh-CN"/>
                    </w:rPr>
                    <w:t>3.7325</w:t>
                  </w:r>
                </w:p>
              </w:tc>
              <w:tc>
                <w:tcPr>
                  <w:tcW w:w="1604" w:type="dxa"/>
                  <w:vAlign w:val="center"/>
                </w:tcPr>
                <w:p w14:paraId="75459094">
                  <w:pPr>
                    <w:spacing w:line="240" w:lineRule="auto"/>
                    <w:jc w:val="center"/>
                    <w:rPr>
                      <w:rFonts w:hint="default"/>
                      <w:sz w:val="21"/>
                      <w:szCs w:val="21"/>
                      <w:lang w:val="en-US" w:eastAsia="zh-CN"/>
                    </w:rPr>
                  </w:pPr>
                  <w:r>
                    <w:rPr>
                      <w:rFonts w:hint="default"/>
                      <w:sz w:val="21"/>
                      <w:szCs w:val="21"/>
                      <w:lang w:val="en-US" w:eastAsia="zh-CN"/>
                    </w:rPr>
                    <w:t>50</w:t>
                  </w:r>
                </w:p>
              </w:tc>
              <w:tc>
                <w:tcPr>
                  <w:tcW w:w="1413" w:type="dxa"/>
                  <w:vAlign w:val="center"/>
                </w:tcPr>
                <w:p w14:paraId="6E810A52">
                  <w:pPr>
                    <w:spacing w:line="240" w:lineRule="auto"/>
                    <w:jc w:val="center"/>
                    <w:rPr>
                      <w:rFonts w:hint="eastAsia"/>
                      <w:sz w:val="21"/>
                      <w:szCs w:val="21"/>
                      <w:lang w:val="en-US" w:eastAsia="zh-CN"/>
                    </w:rPr>
                  </w:pPr>
                  <w:r>
                    <w:rPr>
                      <w:rFonts w:hint="default"/>
                      <w:sz w:val="21"/>
                      <w:szCs w:val="21"/>
                      <w:lang w:val="en-US" w:eastAsia="zh-CN"/>
                    </w:rPr>
                    <w:t>0.07465</w:t>
                  </w:r>
                </w:p>
              </w:tc>
            </w:tr>
            <w:tr w14:paraId="0FFA0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vAlign w:val="center"/>
                </w:tcPr>
                <w:p w14:paraId="6606DA54">
                  <w:pPr>
                    <w:spacing w:line="240" w:lineRule="auto"/>
                    <w:jc w:val="center"/>
                    <w:rPr>
                      <w:sz w:val="21"/>
                      <w:szCs w:val="21"/>
                    </w:rPr>
                  </w:pPr>
                </w:p>
              </w:tc>
              <w:tc>
                <w:tcPr>
                  <w:tcW w:w="1076" w:type="pct"/>
                  <w:vAlign w:val="center"/>
                </w:tcPr>
                <w:p w14:paraId="545AFB3D">
                  <w:pPr>
                    <w:spacing w:line="240" w:lineRule="auto"/>
                    <w:jc w:val="center"/>
                    <w:rPr>
                      <w:rFonts w:hint="default"/>
                      <w:sz w:val="21"/>
                      <w:szCs w:val="21"/>
                      <w:lang w:val="en-US" w:eastAsia="zh-CN"/>
                    </w:rPr>
                  </w:pPr>
                  <w:r>
                    <w:rPr>
                      <w:rFonts w:hint="eastAsia"/>
                      <w:sz w:val="21"/>
                      <w:szCs w:val="21"/>
                      <w:lang w:val="en-US" w:eastAsia="zh-CN"/>
                    </w:rPr>
                    <w:t>废脱模剂</w:t>
                  </w:r>
                </w:p>
              </w:tc>
              <w:tc>
                <w:tcPr>
                  <w:tcW w:w="2106" w:type="dxa"/>
                  <w:vAlign w:val="center"/>
                </w:tcPr>
                <w:p w14:paraId="789157D7">
                  <w:pPr>
                    <w:spacing w:line="240" w:lineRule="auto"/>
                    <w:jc w:val="center"/>
                    <w:rPr>
                      <w:rFonts w:hint="default"/>
                      <w:sz w:val="21"/>
                      <w:szCs w:val="21"/>
                      <w:lang w:val="en-US" w:eastAsia="zh-CN"/>
                    </w:rPr>
                  </w:pPr>
                  <w:r>
                    <w:rPr>
                      <w:rFonts w:hint="default"/>
                      <w:sz w:val="21"/>
                      <w:szCs w:val="21"/>
                      <w:lang w:val="en-US" w:eastAsia="zh-CN"/>
                    </w:rPr>
                    <w:t>0.075</w:t>
                  </w:r>
                </w:p>
              </w:tc>
              <w:tc>
                <w:tcPr>
                  <w:tcW w:w="1604" w:type="dxa"/>
                  <w:vAlign w:val="center"/>
                </w:tcPr>
                <w:p w14:paraId="3C8BD15C">
                  <w:pPr>
                    <w:spacing w:line="240" w:lineRule="auto"/>
                    <w:jc w:val="center"/>
                    <w:rPr>
                      <w:rFonts w:hint="default"/>
                      <w:sz w:val="21"/>
                      <w:szCs w:val="21"/>
                      <w:lang w:val="en-US" w:eastAsia="zh-CN"/>
                    </w:rPr>
                  </w:pPr>
                  <w:r>
                    <w:rPr>
                      <w:rFonts w:hint="default"/>
                      <w:sz w:val="21"/>
                      <w:szCs w:val="21"/>
                      <w:lang w:val="en-US" w:eastAsia="zh-CN"/>
                    </w:rPr>
                    <w:t>50</w:t>
                  </w:r>
                </w:p>
              </w:tc>
              <w:tc>
                <w:tcPr>
                  <w:tcW w:w="1413" w:type="dxa"/>
                  <w:vAlign w:val="center"/>
                </w:tcPr>
                <w:p w14:paraId="57A01E2A">
                  <w:pPr>
                    <w:spacing w:line="240" w:lineRule="auto"/>
                    <w:jc w:val="center"/>
                    <w:rPr>
                      <w:rFonts w:hint="default"/>
                      <w:sz w:val="21"/>
                      <w:szCs w:val="21"/>
                      <w:lang w:val="en-US" w:eastAsia="zh-CN"/>
                    </w:rPr>
                  </w:pPr>
                  <w:r>
                    <w:rPr>
                      <w:rFonts w:hint="default"/>
                      <w:sz w:val="21"/>
                      <w:szCs w:val="21"/>
                      <w:lang w:val="en-US" w:eastAsia="zh-CN"/>
                    </w:rPr>
                    <w:t>0.0015</w:t>
                  </w:r>
                </w:p>
              </w:tc>
            </w:tr>
            <w:tr w14:paraId="41332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vAlign w:val="center"/>
                </w:tcPr>
                <w:p w14:paraId="1F7F6BFE">
                  <w:pPr>
                    <w:spacing w:line="240" w:lineRule="auto"/>
                    <w:jc w:val="center"/>
                    <w:rPr>
                      <w:sz w:val="21"/>
                      <w:szCs w:val="21"/>
                    </w:rPr>
                  </w:pPr>
                </w:p>
              </w:tc>
              <w:tc>
                <w:tcPr>
                  <w:tcW w:w="1076" w:type="pct"/>
                  <w:vAlign w:val="center"/>
                </w:tcPr>
                <w:p w14:paraId="2B680494">
                  <w:pPr>
                    <w:spacing w:line="240" w:lineRule="auto"/>
                    <w:jc w:val="center"/>
                    <w:rPr>
                      <w:rFonts w:hint="eastAsia"/>
                      <w:sz w:val="21"/>
                      <w:szCs w:val="21"/>
                      <w:lang w:val="en-US" w:eastAsia="zh-CN"/>
                    </w:rPr>
                  </w:pPr>
                  <w:r>
                    <w:rPr>
                      <w:rFonts w:hint="eastAsia"/>
                      <w:sz w:val="21"/>
                      <w:szCs w:val="21"/>
                      <w:lang w:val="en-US" w:eastAsia="zh-CN"/>
                    </w:rPr>
                    <w:t>废机油</w:t>
                  </w:r>
                </w:p>
              </w:tc>
              <w:tc>
                <w:tcPr>
                  <w:tcW w:w="2106" w:type="dxa"/>
                  <w:vAlign w:val="center"/>
                </w:tcPr>
                <w:p w14:paraId="711D143F">
                  <w:pPr>
                    <w:spacing w:line="240" w:lineRule="auto"/>
                    <w:jc w:val="center"/>
                    <w:rPr>
                      <w:rFonts w:hint="eastAsia"/>
                      <w:sz w:val="21"/>
                      <w:szCs w:val="21"/>
                      <w:lang w:val="en-US" w:eastAsia="zh-CN"/>
                    </w:rPr>
                  </w:pPr>
                  <w:r>
                    <w:rPr>
                      <w:rFonts w:hint="default"/>
                      <w:sz w:val="21"/>
                      <w:szCs w:val="21"/>
                      <w:lang w:val="en-US" w:eastAsia="zh-CN"/>
                    </w:rPr>
                    <w:t>0.5</w:t>
                  </w:r>
                </w:p>
              </w:tc>
              <w:tc>
                <w:tcPr>
                  <w:tcW w:w="1604" w:type="dxa"/>
                  <w:vAlign w:val="center"/>
                </w:tcPr>
                <w:p w14:paraId="42DF488C">
                  <w:pPr>
                    <w:spacing w:line="240" w:lineRule="auto"/>
                    <w:jc w:val="center"/>
                    <w:rPr>
                      <w:rFonts w:hint="default"/>
                      <w:sz w:val="21"/>
                      <w:szCs w:val="21"/>
                      <w:lang w:val="en-US" w:eastAsia="zh-CN"/>
                    </w:rPr>
                  </w:pPr>
                  <w:r>
                    <w:rPr>
                      <w:rFonts w:hint="default"/>
                      <w:sz w:val="21"/>
                      <w:szCs w:val="21"/>
                      <w:lang w:val="en-US" w:eastAsia="zh-CN"/>
                    </w:rPr>
                    <w:t>50</w:t>
                  </w:r>
                </w:p>
              </w:tc>
              <w:tc>
                <w:tcPr>
                  <w:tcW w:w="1413" w:type="dxa"/>
                  <w:vAlign w:val="center"/>
                </w:tcPr>
                <w:p w14:paraId="615C7223">
                  <w:pPr>
                    <w:spacing w:line="240" w:lineRule="auto"/>
                    <w:jc w:val="center"/>
                    <w:rPr>
                      <w:rFonts w:hint="eastAsia"/>
                      <w:sz w:val="21"/>
                      <w:szCs w:val="21"/>
                      <w:lang w:val="en-US" w:eastAsia="zh-CN"/>
                    </w:rPr>
                  </w:pPr>
                  <w:r>
                    <w:rPr>
                      <w:rFonts w:hint="default"/>
                      <w:sz w:val="21"/>
                      <w:szCs w:val="21"/>
                      <w:lang w:val="en-US" w:eastAsia="zh-CN"/>
                    </w:rPr>
                    <w:t>0.01</w:t>
                  </w:r>
                </w:p>
              </w:tc>
            </w:tr>
            <w:tr w14:paraId="3A348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vAlign w:val="center"/>
                </w:tcPr>
                <w:p w14:paraId="25C6D550">
                  <w:pPr>
                    <w:spacing w:line="240" w:lineRule="auto"/>
                    <w:jc w:val="center"/>
                    <w:rPr>
                      <w:sz w:val="21"/>
                      <w:szCs w:val="21"/>
                    </w:rPr>
                  </w:pPr>
                </w:p>
              </w:tc>
              <w:tc>
                <w:tcPr>
                  <w:tcW w:w="1076" w:type="pct"/>
                  <w:vAlign w:val="center"/>
                </w:tcPr>
                <w:p w14:paraId="79BA988D">
                  <w:pPr>
                    <w:spacing w:line="240" w:lineRule="auto"/>
                    <w:jc w:val="center"/>
                    <w:rPr>
                      <w:rFonts w:hint="default"/>
                      <w:sz w:val="21"/>
                      <w:szCs w:val="21"/>
                      <w:lang w:val="en-US" w:eastAsia="zh-CN"/>
                    </w:rPr>
                  </w:pPr>
                  <w:r>
                    <w:rPr>
                      <w:rFonts w:hint="eastAsia"/>
                      <w:sz w:val="21"/>
                      <w:szCs w:val="21"/>
                      <w:lang w:val="en-US" w:eastAsia="zh-CN"/>
                    </w:rPr>
                    <w:t>废过滤材料</w:t>
                  </w:r>
                </w:p>
              </w:tc>
              <w:tc>
                <w:tcPr>
                  <w:tcW w:w="2106" w:type="dxa"/>
                  <w:shd w:val="clear" w:color="auto" w:fill="auto"/>
                  <w:vAlign w:val="center"/>
                </w:tcPr>
                <w:p w14:paraId="09743B70">
                  <w:pPr>
                    <w:spacing w:line="240" w:lineRule="auto"/>
                    <w:jc w:val="center"/>
                    <w:rPr>
                      <w:rFonts w:hint="default"/>
                      <w:sz w:val="21"/>
                      <w:szCs w:val="21"/>
                      <w:lang w:val="en-US" w:eastAsia="zh-CN"/>
                    </w:rPr>
                  </w:pPr>
                  <w:r>
                    <w:rPr>
                      <w:rFonts w:hint="default"/>
                      <w:sz w:val="21"/>
                      <w:szCs w:val="21"/>
                      <w:lang w:val="en-US" w:eastAsia="zh-CN"/>
                    </w:rPr>
                    <w:t>0.125</w:t>
                  </w:r>
                </w:p>
              </w:tc>
              <w:tc>
                <w:tcPr>
                  <w:tcW w:w="1604" w:type="dxa"/>
                  <w:shd w:val="clear" w:color="auto" w:fill="auto"/>
                  <w:vAlign w:val="center"/>
                </w:tcPr>
                <w:p w14:paraId="327D553B">
                  <w:pPr>
                    <w:spacing w:line="240" w:lineRule="auto"/>
                    <w:jc w:val="center"/>
                    <w:rPr>
                      <w:rFonts w:hint="default"/>
                      <w:sz w:val="21"/>
                      <w:szCs w:val="21"/>
                      <w:lang w:val="en-US" w:eastAsia="zh-CN"/>
                    </w:rPr>
                  </w:pPr>
                  <w:r>
                    <w:rPr>
                      <w:rFonts w:hint="default"/>
                      <w:sz w:val="21"/>
                      <w:szCs w:val="21"/>
                      <w:lang w:val="en-US" w:eastAsia="zh-CN"/>
                    </w:rPr>
                    <w:t>50</w:t>
                  </w:r>
                </w:p>
              </w:tc>
              <w:tc>
                <w:tcPr>
                  <w:tcW w:w="1413" w:type="dxa"/>
                  <w:shd w:val="clear" w:color="auto" w:fill="auto"/>
                  <w:vAlign w:val="center"/>
                </w:tcPr>
                <w:p w14:paraId="3AFD5DB3">
                  <w:pPr>
                    <w:spacing w:line="240" w:lineRule="auto"/>
                    <w:jc w:val="center"/>
                    <w:rPr>
                      <w:rFonts w:hint="default"/>
                      <w:sz w:val="21"/>
                      <w:szCs w:val="21"/>
                      <w:lang w:val="en-US" w:eastAsia="zh-CN"/>
                    </w:rPr>
                  </w:pPr>
                  <w:r>
                    <w:rPr>
                      <w:rFonts w:hint="default"/>
                      <w:sz w:val="21"/>
                      <w:szCs w:val="21"/>
                      <w:lang w:val="en-US" w:eastAsia="zh-CN"/>
                    </w:rPr>
                    <w:t>0.0025</w:t>
                  </w:r>
                </w:p>
              </w:tc>
            </w:tr>
            <w:tr w14:paraId="4698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3" w:type="pct"/>
                  <w:gridSpan w:val="2"/>
                  <w:vAlign w:val="center"/>
                </w:tcPr>
                <w:p w14:paraId="2BA094A3">
                  <w:pPr>
                    <w:spacing w:line="240" w:lineRule="auto"/>
                    <w:jc w:val="center"/>
                    <w:rPr>
                      <w:rFonts w:hint="default"/>
                      <w:sz w:val="21"/>
                      <w:szCs w:val="21"/>
                      <w:lang w:val="en-US" w:eastAsia="zh-CN"/>
                    </w:rPr>
                  </w:pPr>
                  <w:r>
                    <w:rPr>
                      <w:rFonts w:hint="eastAsia"/>
                      <w:sz w:val="21"/>
                      <w:szCs w:val="21"/>
                      <w:lang w:val="en-US" w:eastAsia="zh-CN"/>
                    </w:rPr>
                    <w:t>天然气</w:t>
                  </w:r>
                </w:p>
              </w:tc>
              <w:tc>
                <w:tcPr>
                  <w:tcW w:w="2106" w:type="dxa"/>
                  <w:vAlign w:val="center"/>
                </w:tcPr>
                <w:p w14:paraId="23B68397">
                  <w:pPr>
                    <w:spacing w:line="240" w:lineRule="auto"/>
                    <w:jc w:val="center"/>
                    <w:rPr>
                      <w:rFonts w:hint="default"/>
                      <w:sz w:val="21"/>
                      <w:szCs w:val="21"/>
                      <w:lang w:val="en-US" w:eastAsia="zh-CN"/>
                    </w:rPr>
                  </w:pPr>
                  <w:r>
                    <w:rPr>
                      <w:rFonts w:hint="default"/>
                      <w:sz w:val="21"/>
                      <w:szCs w:val="21"/>
                      <w:lang w:val="en-US" w:eastAsia="zh-CN"/>
                    </w:rPr>
                    <w:t>0.01</w:t>
                  </w:r>
                </w:p>
              </w:tc>
              <w:tc>
                <w:tcPr>
                  <w:tcW w:w="1604" w:type="dxa"/>
                  <w:vAlign w:val="center"/>
                </w:tcPr>
                <w:p w14:paraId="0E5847CD">
                  <w:pPr>
                    <w:spacing w:line="240" w:lineRule="auto"/>
                    <w:jc w:val="center"/>
                    <w:rPr>
                      <w:rFonts w:hint="default"/>
                      <w:sz w:val="21"/>
                      <w:szCs w:val="21"/>
                      <w:lang w:val="en-US" w:eastAsia="zh-CN"/>
                    </w:rPr>
                  </w:pPr>
                  <w:r>
                    <w:rPr>
                      <w:rFonts w:hint="default"/>
                      <w:sz w:val="21"/>
                      <w:szCs w:val="21"/>
                      <w:lang w:val="en-US" w:eastAsia="zh-CN"/>
                    </w:rPr>
                    <w:t>10</w:t>
                  </w:r>
                </w:p>
              </w:tc>
              <w:tc>
                <w:tcPr>
                  <w:tcW w:w="1413" w:type="dxa"/>
                  <w:vAlign w:val="center"/>
                </w:tcPr>
                <w:p w14:paraId="68C6F61A">
                  <w:pPr>
                    <w:spacing w:line="240" w:lineRule="auto"/>
                    <w:jc w:val="center"/>
                    <w:rPr>
                      <w:rFonts w:hint="default"/>
                      <w:sz w:val="21"/>
                      <w:szCs w:val="21"/>
                      <w:lang w:val="en-US" w:eastAsia="zh-CN"/>
                    </w:rPr>
                  </w:pPr>
                  <w:r>
                    <w:rPr>
                      <w:rFonts w:hint="default"/>
                      <w:sz w:val="21"/>
                      <w:szCs w:val="21"/>
                      <w:lang w:val="en-US" w:eastAsia="zh-CN"/>
                    </w:rPr>
                    <w:t>0.001</w:t>
                  </w:r>
                </w:p>
              </w:tc>
            </w:tr>
            <w:tr w14:paraId="683BC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3" w:type="pct"/>
                  <w:gridSpan w:val="2"/>
                  <w:vAlign w:val="center"/>
                </w:tcPr>
                <w:p w14:paraId="7F51FEA5">
                  <w:pPr>
                    <w:snapToGrid w:val="0"/>
                    <w:spacing w:line="240" w:lineRule="auto"/>
                    <w:jc w:val="center"/>
                    <w:rPr>
                      <w:rFonts w:eastAsia="仿宋_GB2312"/>
                      <w:spacing w:val="-20"/>
                      <w:sz w:val="21"/>
                      <w:szCs w:val="21"/>
                    </w:rPr>
                  </w:pPr>
                  <w:r>
                    <w:rPr>
                      <w:sz w:val="21"/>
                      <w:szCs w:val="21"/>
                    </w:rPr>
                    <w:t>合计（</w:t>
                  </w:r>
                  <w:r>
                    <w:rPr>
                      <w:position w:val="-30"/>
                      <w:sz w:val="21"/>
                      <w:szCs w:val="21"/>
                    </w:rPr>
                    <w:object>
                      <v:shape id="_x0000_i1026" o:spt="75" type="#_x0000_t75" style="height:35.05pt;width:38.85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7" r:id="rId22">
                        <o:LockedField>false</o:LockedField>
                      </o:OLEObject>
                    </w:object>
                  </w:r>
                  <w:r>
                    <w:rPr>
                      <w:sz w:val="21"/>
                      <w:szCs w:val="21"/>
                    </w:rPr>
                    <w:t>）</w:t>
                  </w:r>
                </w:p>
              </w:tc>
              <w:tc>
                <w:tcPr>
                  <w:tcW w:w="1326" w:type="pct"/>
                  <w:vAlign w:val="center"/>
                </w:tcPr>
                <w:p w14:paraId="7BD2FDC4">
                  <w:pPr>
                    <w:spacing w:line="240" w:lineRule="auto"/>
                    <w:jc w:val="center"/>
                    <w:rPr>
                      <w:rFonts w:hint="eastAsia"/>
                      <w:sz w:val="21"/>
                      <w:szCs w:val="21"/>
                      <w:lang w:val="en-US" w:eastAsia="zh-CN"/>
                    </w:rPr>
                  </w:pPr>
                  <w:r>
                    <w:rPr>
                      <w:rFonts w:hint="eastAsia"/>
                      <w:sz w:val="21"/>
                      <w:szCs w:val="21"/>
                      <w:lang w:val="en-US" w:eastAsia="zh-CN"/>
                    </w:rPr>
                    <w:t>/</w:t>
                  </w:r>
                </w:p>
              </w:tc>
              <w:tc>
                <w:tcPr>
                  <w:tcW w:w="1010" w:type="pct"/>
                  <w:vAlign w:val="center"/>
                </w:tcPr>
                <w:p w14:paraId="6CA38783">
                  <w:pPr>
                    <w:spacing w:line="240" w:lineRule="auto"/>
                    <w:jc w:val="center"/>
                    <w:rPr>
                      <w:rFonts w:hint="eastAsia"/>
                      <w:sz w:val="21"/>
                      <w:szCs w:val="21"/>
                      <w:lang w:val="en-US" w:eastAsia="zh-CN"/>
                    </w:rPr>
                  </w:pPr>
                  <w:r>
                    <w:rPr>
                      <w:rFonts w:hint="eastAsia"/>
                      <w:sz w:val="21"/>
                      <w:szCs w:val="21"/>
                      <w:lang w:val="en-US" w:eastAsia="zh-CN"/>
                    </w:rPr>
                    <w:t>/</w:t>
                  </w:r>
                </w:p>
              </w:tc>
              <w:tc>
                <w:tcPr>
                  <w:tcW w:w="1413" w:type="dxa"/>
                  <w:vAlign w:val="center"/>
                </w:tcPr>
                <w:p w14:paraId="05C63678">
                  <w:pPr>
                    <w:spacing w:line="240" w:lineRule="auto"/>
                    <w:jc w:val="center"/>
                    <w:rPr>
                      <w:rFonts w:hint="default"/>
                      <w:sz w:val="21"/>
                      <w:szCs w:val="21"/>
                      <w:lang w:val="en-US" w:eastAsia="zh-CN"/>
                    </w:rPr>
                  </w:pPr>
                  <w:r>
                    <w:rPr>
                      <w:rFonts w:hint="default"/>
                      <w:sz w:val="21"/>
                      <w:szCs w:val="21"/>
                      <w:lang w:val="en-US" w:eastAsia="zh-CN"/>
                    </w:rPr>
                    <w:t>0.25148</w:t>
                  </w:r>
                </w:p>
              </w:tc>
            </w:tr>
          </w:tbl>
          <w:p w14:paraId="52121886">
            <w:pPr>
              <w:spacing w:line="240" w:lineRule="auto"/>
              <w:jc w:val="left"/>
              <w:rPr>
                <w:rFonts w:hint="default" w:eastAsia="仿宋"/>
                <w:b/>
                <w:bCs/>
                <w:sz w:val="21"/>
                <w:szCs w:val="20"/>
                <w:lang w:val="en-US" w:eastAsia="zh-CN"/>
              </w:rPr>
            </w:pPr>
            <w:r>
              <w:rPr>
                <w:rFonts w:hint="eastAsia"/>
                <w:b/>
                <w:bCs/>
                <w:sz w:val="21"/>
                <w:szCs w:val="20"/>
                <w:lang w:val="en-US" w:eastAsia="zh-CN"/>
              </w:rPr>
              <w:t>注：本项目危险废物贮存不超过90天，全厂最大存在量按年产生量的1/4计。</w:t>
            </w:r>
          </w:p>
          <w:p w14:paraId="11C1AE2D">
            <w:pPr>
              <w:spacing w:line="480" w:lineRule="exact"/>
              <w:ind w:firstLine="480" w:firstLineChars="200"/>
              <w:jc w:val="left"/>
              <w:rPr>
                <w:szCs w:val="22"/>
              </w:rPr>
            </w:pPr>
            <w:r>
              <w:rPr>
                <w:szCs w:val="22"/>
              </w:rPr>
              <w:t>本项目风险物质数量与临界量比值Q&lt;1，则本项目环境风险潜势为Ⅰ。</w:t>
            </w:r>
          </w:p>
          <w:p w14:paraId="421BB89C">
            <w:pPr>
              <w:numPr>
                <w:ilvl w:val="0"/>
                <w:numId w:val="18"/>
              </w:numPr>
              <w:spacing w:line="480" w:lineRule="exact"/>
              <w:ind w:firstLine="480" w:firstLineChars="200"/>
            </w:pPr>
            <w:r>
              <w:t>环境风险评价等级的确定</w:t>
            </w:r>
          </w:p>
          <w:p w14:paraId="3FBE1880">
            <w:pPr>
              <w:spacing w:line="480" w:lineRule="exact"/>
              <w:ind w:firstLine="480" w:firstLineChars="200"/>
              <w:rPr>
                <w:szCs w:val="22"/>
              </w:rPr>
            </w:pPr>
            <w:r>
              <w:rPr>
                <w:szCs w:val="22"/>
              </w:rPr>
              <w:t>环境风险评价工作等级划分为一级、二级、三级。根据建设项目涉及的物质及工艺系统危险性和所在地的环境敏感性确定环境风险潜势，按照表</w:t>
            </w:r>
            <w:r>
              <w:rPr>
                <w:rFonts w:hint="eastAsia"/>
                <w:szCs w:val="22"/>
              </w:rPr>
              <w:t>4-</w:t>
            </w:r>
            <w:r>
              <w:rPr>
                <w:rFonts w:hint="eastAsia"/>
                <w:szCs w:val="22"/>
                <w:lang w:val="en-US" w:eastAsia="zh-CN"/>
              </w:rPr>
              <w:t>32</w:t>
            </w:r>
            <w:r>
              <w:rPr>
                <w:szCs w:val="22"/>
              </w:rPr>
              <w:t>确定评价工作等级。风险潜势为Ⅳ及以上，进行一级评价；风险潜势为Ⅲ，进行二级评价；风险潜势为Ⅱ，进行三级评价；风险潜势为Ⅰ，可开展简单分析。</w:t>
            </w:r>
          </w:p>
          <w:p w14:paraId="09ED41AD">
            <w:pPr>
              <w:spacing w:line="240" w:lineRule="auto"/>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32</w:t>
            </w:r>
            <w:r>
              <w:rPr>
                <w:rFonts w:hint="eastAsia"/>
                <w:b/>
                <w:bCs/>
                <w:sz w:val="21"/>
                <w:szCs w:val="21"/>
              </w:rPr>
              <w:t xml:space="preserve"> </w:t>
            </w:r>
            <w:r>
              <w:rPr>
                <w:b/>
                <w:bCs/>
                <w:sz w:val="21"/>
                <w:szCs w:val="21"/>
              </w:rPr>
              <w:t xml:space="preserve"> 评价工作等级的划分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1358"/>
              <w:gridCol w:w="1586"/>
              <w:gridCol w:w="1588"/>
              <w:gridCol w:w="1591"/>
            </w:tblGrid>
            <w:tr w14:paraId="7E15D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144" w:type="pct"/>
                  <w:vAlign w:val="center"/>
                </w:tcPr>
                <w:p w14:paraId="18573EBF">
                  <w:pPr>
                    <w:pStyle w:val="2"/>
                    <w:kinsoku w:val="0"/>
                    <w:overflowPunct w:val="0"/>
                    <w:spacing w:before="0" w:after="0" w:line="240" w:lineRule="auto"/>
                    <w:ind w:right="0"/>
                    <w:jc w:val="center"/>
                    <w:rPr>
                      <w:b/>
                      <w:bCs/>
                      <w:sz w:val="21"/>
                      <w:szCs w:val="21"/>
                    </w:rPr>
                  </w:pPr>
                  <w:r>
                    <w:rPr>
                      <w:b/>
                      <w:bCs/>
                      <w:sz w:val="21"/>
                      <w:szCs w:val="21"/>
                    </w:rPr>
                    <w:t>环境风险潜势</w:t>
                  </w:r>
                </w:p>
              </w:tc>
              <w:tc>
                <w:tcPr>
                  <w:tcW w:w="855" w:type="pct"/>
                  <w:vAlign w:val="center"/>
                </w:tcPr>
                <w:p w14:paraId="6AA6F6E2">
                  <w:pPr>
                    <w:pStyle w:val="2"/>
                    <w:kinsoku w:val="0"/>
                    <w:overflowPunct w:val="0"/>
                    <w:spacing w:before="0" w:after="0" w:line="240" w:lineRule="auto"/>
                    <w:ind w:right="0"/>
                    <w:jc w:val="center"/>
                    <w:rPr>
                      <w:b/>
                      <w:bCs/>
                      <w:sz w:val="21"/>
                      <w:szCs w:val="21"/>
                    </w:rPr>
                  </w:pPr>
                  <w:r>
                    <w:rPr>
                      <w:b/>
                      <w:bCs/>
                      <w:sz w:val="21"/>
                      <w:szCs w:val="21"/>
                    </w:rPr>
                    <w:t>Ⅳ、Ⅳ+</w:t>
                  </w:r>
                </w:p>
              </w:tc>
              <w:tc>
                <w:tcPr>
                  <w:tcW w:w="999" w:type="pct"/>
                  <w:vAlign w:val="center"/>
                </w:tcPr>
                <w:p w14:paraId="53137FBE">
                  <w:pPr>
                    <w:pStyle w:val="2"/>
                    <w:kinsoku w:val="0"/>
                    <w:overflowPunct w:val="0"/>
                    <w:spacing w:before="0" w:after="0" w:line="240" w:lineRule="auto"/>
                    <w:ind w:right="0"/>
                    <w:jc w:val="center"/>
                    <w:rPr>
                      <w:b/>
                      <w:bCs/>
                      <w:sz w:val="21"/>
                      <w:szCs w:val="21"/>
                    </w:rPr>
                  </w:pPr>
                  <w:r>
                    <w:rPr>
                      <w:b/>
                      <w:bCs/>
                      <w:sz w:val="21"/>
                      <w:szCs w:val="21"/>
                    </w:rPr>
                    <w:t>Ⅲ</w:t>
                  </w:r>
                </w:p>
              </w:tc>
              <w:tc>
                <w:tcPr>
                  <w:tcW w:w="1000" w:type="pct"/>
                  <w:vAlign w:val="center"/>
                </w:tcPr>
                <w:p w14:paraId="2F7E91FE">
                  <w:pPr>
                    <w:pStyle w:val="2"/>
                    <w:kinsoku w:val="0"/>
                    <w:overflowPunct w:val="0"/>
                    <w:spacing w:before="0" w:after="0" w:line="240" w:lineRule="auto"/>
                    <w:ind w:right="0"/>
                    <w:jc w:val="center"/>
                    <w:rPr>
                      <w:b/>
                      <w:bCs/>
                      <w:sz w:val="21"/>
                      <w:szCs w:val="21"/>
                    </w:rPr>
                  </w:pPr>
                  <w:r>
                    <w:rPr>
                      <w:b/>
                      <w:bCs/>
                      <w:sz w:val="21"/>
                      <w:szCs w:val="21"/>
                    </w:rPr>
                    <w:t>Ⅱ</w:t>
                  </w:r>
                </w:p>
              </w:tc>
              <w:tc>
                <w:tcPr>
                  <w:tcW w:w="999" w:type="pct"/>
                  <w:vAlign w:val="center"/>
                </w:tcPr>
                <w:p w14:paraId="688B0DD5">
                  <w:pPr>
                    <w:pStyle w:val="2"/>
                    <w:kinsoku w:val="0"/>
                    <w:overflowPunct w:val="0"/>
                    <w:spacing w:before="0" w:after="0" w:line="240" w:lineRule="auto"/>
                    <w:ind w:right="0"/>
                    <w:jc w:val="center"/>
                    <w:rPr>
                      <w:b/>
                      <w:bCs/>
                      <w:sz w:val="21"/>
                      <w:szCs w:val="21"/>
                    </w:rPr>
                  </w:pPr>
                  <w:r>
                    <w:rPr>
                      <w:b/>
                      <w:bCs/>
                      <w:sz w:val="21"/>
                      <w:szCs w:val="21"/>
                    </w:rPr>
                    <w:t>Ⅰ</w:t>
                  </w:r>
                </w:p>
              </w:tc>
            </w:tr>
            <w:tr w14:paraId="207C0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pct"/>
                  <w:vAlign w:val="center"/>
                </w:tcPr>
                <w:p w14:paraId="2CA20361">
                  <w:pPr>
                    <w:pStyle w:val="2"/>
                    <w:kinsoku w:val="0"/>
                    <w:overflowPunct w:val="0"/>
                    <w:spacing w:before="0" w:after="0" w:line="240" w:lineRule="auto"/>
                    <w:ind w:right="0"/>
                    <w:jc w:val="center"/>
                    <w:rPr>
                      <w:sz w:val="21"/>
                      <w:szCs w:val="21"/>
                    </w:rPr>
                  </w:pPr>
                  <w:r>
                    <w:rPr>
                      <w:sz w:val="21"/>
                      <w:szCs w:val="21"/>
                    </w:rPr>
                    <w:t>评价工作等级</w:t>
                  </w:r>
                </w:p>
              </w:tc>
              <w:tc>
                <w:tcPr>
                  <w:tcW w:w="855" w:type="pct"/>
                  <w:vAlign w:val="center"/>
                </w:tcPr>
                <w:p w14:paraId="5992C2E4">
                  <w:pPr>
                    <w:pStyle w:val="2"/>
                    <w:kinsoku w:val="0"/>
                    <w:overflowPunct w:val="0"/>
                    <w:spacing w:before="0" w:after="0" w:line="240" w:lineRule="auto"/>
                    <w:ind w:right="0"/>
                    <w:jc w:val="center"/>
                    <w:rPr>
                      <w:sz w:val="21"/>
                      <w:szCs w:val="21"/>
                    </w:rPr>
                  </w:pPr>
                  <w:r>
                    <w:rPr>
                      <w:sz w:val="21"/>
                      <w:szCs w:val="21"/>
                    </w:rPr>
                    <w:t>一</w:t>
                  </w:r>
                </w:p>
              </w:tc>
              <w:tc>
                <w:tcPr>
                  <w:tcW w:w="999" w:type="pct"/>
                  <w:vAlign w:val="center"/>
                </w:tcPr>
                <w:p w14:paraId="561463B6">
                  <w:pPr>
                    <w:pStyle w:val="2"/>
                    <w:kinsoku w:val="0"/>
                    <w:overflowPunct w:val="0"/>
                    <w:spacing w:before="0" w:after="0" w:line="240" w:lineRule="auto"/>
                    <w:ind w:right="0"/>
                    <w:jc w:val="center"/>
                    <w:rPr>
                      <w:sz w:val="21"/>
                      <w:szCs w:val="21"/>
                    </w:rPr>
                  </w:pPr>
                  <w:r>
                    <w:rPr>
                      <w:sz w:val="21"/>
                      <w:szCs w:val="21"/>
                    </w:rPr>
                    <w:t>二</w:t>
                  </w:r>
                </w:p>
              </w:tc>
              <w:tc>
                <w:tcPr>
                  <w:tcW w:w="1000" w:type="pct"/>
                  <w:vAlign w:val="center"/>
                </w:tcPr>
                <w:p w14:paraId="35049D44">
                  <w:pPr>
                    <w:pStyle w:val="2"/>
                    <w:kinsoku w:val="0"/>
                    <w:overflowPunct w:val="0"/>
                    <w:spacing w:before="0" w:after="0" w:line="240" w:lineRule="auto"/>
                    <w:ind w:right="0"/>
                    <w:jc w:val="center"/>
                    <w:rPr>
                      <w:sz w:val="21"/>
                      <w:szCs w:val="21"/>
                    </w:rPr>
                  </w:pPr>
                  <w:r>
                    <w:rPr>
                      <w:sz w:val="21"/>
                      <w:szCs w:val="21"/>
                    </w:rPr>
                    <w:t>三</w:t>
                  </w:r>
                </w:p>
              </w:tc>
              <w:tc>
                <w:tcPr>
                  <w:tcW w:w="999" w:type="pct"/>
                  <w:vAlign w:val="center"/>
                </w:tcPr>
                <w:p w14:paraId="51065A04">
                  <w:pPr>
                    <w:pStyle w:val="2"/>
                    <w:kinsoku w:val="0"/>
                    <w:overflowPunct w:val="0"/>
                    <w:spacing w:before="0" w:after="0" w:line="240" w:lineRule="auto"/>
                    <w:ind w:right="0"/>
                    <w:jc w:val="center"/>
                    <w:rPr>
                      <w:sz w:val="21"/>
                      <w:szCs w:val="21"/>
                    </w:rPr>
                  </w:pPr>
                  <w:r>
                    <w:rPr>
                      <w:sz w:val="21"/>
                      <w:szCs w:val="21"/>
                      <w:shd w:val="clear" w:color="FFFFFF" w:fill="D9D9D9"/>
                    </w:rPr>
                    <w:t>简单分析</w:t>
                  </w:r>
                  <w:r>
                    <w:rPr>
                      <w:sz w:val="21"/>
                      <w:szCs w:val="21"/>
                      <w:shd w:val="clear" w:color="FFFFFF" w:fill="D9D9D9"/>
                      <w:vertAlign w:val="superscript"/>
                    </w:rPr>
                    <w:t>a</w:t>
                  </w:r>
                </w:p>
              </w:tc>
            </w:tr>
            <w:tr w14:paraId="2A3C4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vAlign w:val="center"/>
                </w:tcPr>
                <w:p w14:paraId="10E8D3EB">
                  <w:pPr>
                    <w:pStyle w:val="2"/>
                    <w:kinsoku w:val="0"/>
                    <w:overflowPunct w:val="0"/>
                    <w:spacing w:before="0" w:after="0" w:line="240" w:lineRule="auto"/>
                    <w:ind w:right="0"/>
                    <w:rPr>
                      <w:sz w:val="21"/>
                      <w:szCs w:val="21"/>
                    </w:rPr>
                  </w:pPr>
                  <w:r>
                    <w:rPr>
                      <w:sz w:val="21"/>
                      <w:szCs w:val="21"/>
                      <w:vertAlign w:val="superscript"/>
                    </w:rPr>
                    <w:t>a</w:t>
                  </w:r>
                  <w:r>
                    <w:rPr>
                      <w:sz w:val="21"/>
                      <w:szCs w:val="21"/>
                    </w:rPr>
                    <w:t>是相对于详细评价工作内容而言，在描述危险物质、环境影响途径、环境危害后果、风险防范措施等方面给出定性的说明。</w:t>
                  </w:r>
                </w:p>
              </w:tc>
            </w:tr>
          </w:tbl>
          <w:p w14:paraId="45CAE090">
            <w:pPr>
              <w:pStyle w:val="2"/>
              <w:spacing w:before="0" w:after="0" w:line="480" w:lineRule="exact"/>
              <w:ind w:right="0" w:firstLine="480" w:firstLineChars="200"/>
              <w:rPr>
                <w:sz w:val="24"/>
                <w:szCs w:val="24"/>
              </w:rPr>
            </w:pPr>
            <w:r>
              <w:rPr>
                <w:sz w:val="24"/>
                <w:szCs w:val="24"/>
              </w:rPr>
              <w:t>根据表</w:t>
            </w:r>
            <w:r>
              <w:rPr>
                <w:rFonts w:hint="eastAsia"/>
                <w:sz w:val="24"/>
                <w:szCs w:val="24"/>
              </w:rPr>
              <w:t>4-</w:t>
            </w:r>
            <w:r>
              <w:rPr>
                <w:rFonts w:hint="eastAsia"/>
                <w:sz w:val="24"/>
                <w:szCs w:val="24"/>
                <w:lang w:val="en-US" w:eastAsia="zh-CN"/>
              </w:rPr>
              <w:t>31</w:t>
            </w:r>
            <w:r>
              <w:rPr>
                <w:sz w:val="24"/>
                <w:szCs w:val="24"/>
              </w:rPr>
              <w:t>中Q值计算，Q＜1，该项目环境风险潜势为I。评价工作等级为简单分析。</w:t>
            </w:r>
          </w:p>
          <w:p w14:paraId="4CFB544A">
            <w:pPr>
              <w:numPr>
                <w:ilvl w:val="0"/>
                <w:numId w:val="18"/>
              </w:numPr>
              <w:spacing w:line="480" w:lineRule="exact"/>
              <w:ind w:firstLine="480" w:firstLineChars="200"/>
            </w:pPr>
            <w:r>
              <w:t>风险事故情形及最大可信事故</w:t>
            </w:r>
          </w:p>
          <w:p w14:paraId="1316DE94">
            <w:pPr>
              <w:pStyle w:val="2"/>
              <w:spacing w:before="0" w:after="0" w:line="480" w:lineRule="exact"/>
              <w:ind w:right="0" w:firstLine="480" w:firstLineChars="200"/>
              <w:rPr>
                <w:sz w:val="24"/>
                <w:szCs w:val="24"/>
              </w:rPr>
            </w:pPr>
            <w:r>
              <w:rPr>
                <w:sz w:val="24"/>
                <w:szCs w:val="24"/>
              </w:rPr>
              <w:t>本项目从事</w:t>
            </w:r>
            <w:r>
              <w:rPr>
                <w:rFonts w:hint="eastAsia"/>
                <w:sz w:val="24"/>
                <w:szCs w:val="24"/>
                <w:lang w:eastAsia="zh-CN"/>
              </w:rPr>
              <w:t>铝制零部件</w:t>
            </w:r>
            <w:r>
              <w:rPr>
                <w:sz w:val="24"/>
                <w:szCs w:val="24"/>
              </w:rPr>
              <w:t>的</w:t>
            </w:r>
            <w:r>
              <w:rPr>
                <w:rFonts w:hint="eastAsia"/>
                <w:sz w:val="24"/>
                <w:szCs w:val="24"/>
                <w:lang w:val="en-US" w:eastAsia="zh-CN"/>
              </w:rPr>
              <w:t>制造</w:t>
            </w:r>
            <w:r>
              <w:rPr>
                <w:sz w:val="24"/>
                <w:szCs w:val="24"/>
              </w:rPr>
              <w:t>，从事故类型来分，一是火灾或爆炸，二是物料泄漏；从事故的严重性和损失后果可分为重大事故和一般性事故。参考国际化工界将重大事故定义为：导致反应装置及其他经济损失超过2.5万美</w:t>
            </w:r>
            <w:r>
              <w:rPr>
                <w:rFonts w:hint="eastAsia"/>
                <w:sz w:val="24"/>
                <w:szCs w:val="24"/>
              </w:rPr>
              <w:t>金</w:t>
            </w:r>
            <w:r>
              <w:rPr>
                <w:sz w:val="24"/>
                <w:szCs w:val="24"/>
              </w:rPr>
              <w:t>，或者造成严重人员伤亡的事故。火灾或爆炸事故常常属于此类事故。而一般事故是指那些没有造成重大经济损失和人员伤亡的事故，但此类事故如不采取有效措施加以控制，将对周围的环境产生不利影响。通过对建设项目分析，本项目最大可信事故为</w:t>
            </w:r>
            <w:r>
              <w:rPr>
                <w:rFonts w:hint="eastAsia"/>
                <w:sz w:val="24"/>
                <w:szCs w:val="24"/>
                <w:lang w:val="en-US" w:eastAsia="zh-CN"/>
              </w:rPr>
              <w:t>天然气泄漏遇明火发生爆炸事故</w:t>
            </w:r>
            <w:r>
              <w:rPr>
                <w:sz w:val="24"/>
                <w:szCs w:val="24"/>
              </w:rPr>
              <w:t>。</w:t>
            </w:r>
          </w:p>
          <w:p w14:paraId="3A536BDE">
            <w:pPr>
              <w:pStyle w:val="2"/>
              <w:snapToGrid/>
              <w:spacing w:before="0" w:after="0" w:line="480" w:lineRule="exact"/>
              <w:ind w:right="0" w:firstLine="480" w:firstLineChars="200"/>
              <w:jc w:val="left"/>
              <w:rPr>
                <w:bCs/>
                <w:sz w:val="24"/>
                <w:szCs w:val="24"/>
              </w:rPr>
            </w:pPr>
            <w:r>
              <w:rPr>
                <w:rFonts w:hint="eastAsia"/>
                <w:bCs/>
                <w:sz w:val="24"/>
                <w:szCs w:val="24"/>
              </w:rPr>
              <w:t>（3）</w:t>
            </w:r>
            <w:r>
              <w:rPr>
                <w:bCs/>
                <w:sz w:val="24"/>
                <w:szCs w:val="24"/>
              </w:rPr>
              <w:t>环境风险防范措施</w:t>
            </w:r>
          </w:p>
          <w:p w14:paraId="4B14B2B8">
            <w:pPr>
              <w:autoSpaceDE w:val="0"/>
              <w:autoSpaceDN w:val="0"/>
              <w:adjustRightInd w:val="0"/>
              <w:snapToGrid w:val="0"/>
              <w:spacing w:line="480" w:lineRule="exact"/>
              <w:ind w:firstLine="480" w:firstLineChars="200"/>
              <w:rPr>
                <w:bCs/>
              </w:rPr>
            </w:pPr>
            <w:r>
              <w:rPr>
                <w:bCs/>
              </w:rPr>
              <w:t>根据国家环境保护部《关于进一步加强环境影响评价管理防范环境风险的通知（环发</w:t>
            </w:r>
            <w:r>
              <w:rPr>
                <w:rFonts w:hint="eastAsia"/>
                <w:bCs/>
                <w:lang w:eastAsia="zh-CN"/>
              </w:rPr>
              <w:t>〔2012〕77号</w:t>
            </w:r>
            <w:r>
              <w:rPr>
                <w:bCs/>
              </w:rPr>
              <w:t>文）》的要求：</w:t>
            </w:r>
            <w:r>
              <w:rPr>
                <w:rFonts w:hint="eastAsia"/>
                <w:bCs/>
                <w:lang w:eastAsia="zh-CN"/>
              </w:rPr>
              <w:t>“</w:t>
            </w:r>
            <w:r>
              <w:rPr>
                <w:bCs/>
              </w:rPr>
              <w:t>提出环境风险应急预案和事故防范、减缓措施，特别要针对特征污染物提出有效的防止二次污染的应急措施</w:t>
            </w:r>
            <w:r>
              <w:rPr>
                <w:rFonts w:hint="eastAsia"/>
                <w:bCs/>
                <w:lang w:eastAsia="zh-CN"/>
              </w:rPr>
              <w:t>”</w:t>
            </w:r>
            <w:r>
              <w:rPr>
                <w:bCs/>
              </w:rPr>
              <w:t>，对发生概率小，但危害严重的事故采取安全措施，防患于未然。因此，建议本项目在设计、建设和营运过程中，应科学规划、合理布局。采取必要的防泄漏措施，建立严格的安全生产制度，大力提高操作人员的素质和水平，以最大限度地降低事故的发生率，同时制定详细的应急救援预案。</w:t>
            </w:r>
          </w:p>
          <w:p w14:paraId="42F2FD09">
            <w:pPr>
              <w:autoSpaceDE w:val="0"/>
              <w:autoSpaceDN w:val="0"/>
              <w:adjustRightInd w:val="0"/>
              <w:snapToGrid w:val="0"/>
              <w:spacing w:line="480" w:lineRule="exact"/>
              <w:ind w:firstLine="480" w:firstLineChars="200"/>
              <w:rPr>
                <w:bCs/>
              </w:rPr>
            </w:pPr>
            <w:r>
              <w:rPr>
                <w:rFonts w:hint="eastAsia" w:ascii="仿宋" w:hAnsi="仿宋" w:eastAsia="仿宋" w:cs="仿宋"/>
                <w:bCs/>
              </w:rPr>
              <w:t>①</w:t>
            </w:r>
            <w:r>
              <w:rPr>
                <w:bCs/>
              </w:rPr>
              <w:t>管理、储存、使用、运输中的防范措施</w:t>
            </w:r>
          </w:p>
          <w:p w14:paraId="4F7966DA">
            <w:pPr>
              <w:autoSpaceDE w:val="0"/>
              <w:autoSpaceDN w:val="0"/>
              <w:adjustRightInd w:val="0"/>
              <w:snapToGrid w:val="0"/>
              <w:spacing w:line="480" w:lineRule="exact"/>
              <w:ind w:firstLine="480" w:firstLineChars="200"/>
              <w:rPr>
                <w:bCs/>
              </w:rPr>
            </w:pPr>
            <w:r>
              <w:rPr>
                <w:bCs/>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D753B5A">
            <w:pPr>
              <w:autoSpaceDE w:val="0"/>
              <w:autoSpaceDN w:val="0"/>
              <w:adjustRightInd w:val="0"/>
              <w:snapToGrid w:val="0"/>
              <w:spacing w:line="480" w:lineRule="exact"/>
              <w:ind w:firstLine="480" w:firstLineChars="200"/>
              <w:rPr>
                <w:bCs/>
              </w:rPr>
            </w:pPr>
            <w:r>
              <w:rPr>
                <w:rFonts w:hint="eastAsia" w:ascii="仿宋" w:hAnsi="仿宋" w:eastAsia="仿宋" w:cs="仿宋"/>
                <w:bCs/>
              </w:rPr>
              <w:t>②</w:t>
            </w:r>
            <w:r>
              <w:rPr>
                <w:bCs/>
              </w:rPr>
              <w:t>存放区风险防范措施</w:t>
            </w:r>
          </w:p>
          <w:p w14:paraId="5EA40740">
            <w:pPr>
              <w:autoSpaceDE w:val="0"/>
              <w:autoSpaceDN w:val="0"/>
              <w:adjustRightInd w:val="0"/>
              <w:snapToGrid w:val="0"/>
              <w:spacing w:line="480" w:lineRule="exact"/>
              <w:ind w:firstLine="480" w:firstLineChars="200"/>
              <w:rPr>
                <w:bCs/>
              </w:rPr>
            </w:pPr>
            <w:r>
              <w:rPr>
                <w:bCs/>
              </w:rPr>
              <w:t>库房必须防渗、防漏、防雨；危废仓库内应设置一个收集桶，当泄漏事故发生时，可及时将</w:t>
            </w:r>
            <w:r>
              <w:rPr>
                <w:rFonts w:hint="eastAsia"/>
                <w:bCs/>
              </w:rPr>
              <w:t>泄漏</w:t>
            </w:r>
            <w:r>
              <w:rPr>
                <w:bCs/>
              </w:rPr>
              <w:t>的物料或废料收集至桶内暂存，并作为危险废物处理；仓库、危废仓库应配备吸附剂等材料，防止发生事故时能对事故进行应急处理。</w:t>
            </w:r>
          </w:p>
          <w:p w14:paraId="6CE83ABB">
            <w:pPr>
              <w:autoSpaceDE w:val="0"/>
              <w:autoSpaceDN w:val="0"/>
              <w:adjustRightInd w:val="0"/>
              <w:snapToGrid w:val="0"/>
              <w:spacing w:line="480" w:lineRule="exact"/>
              <w:ind w:firstLine="480" w:firstLineChars="200"/>
              <w:rPr>
                <w:bCs/>
              </w:rPr>
            </w:pPr>
            <w:r>
              <w:rPr>
                <w:rFonts w:hint="eastAsia" w:ascii="仿宋" w:hAnsi="仿宋" w:eastAsia="仿宋" w:cs="仿宋"/>
                <w:bCs/>
              </w:rPr>
              <w:t>③</w:t>
            </w:r>
            <w:r>
              <w:rPr>
                <w:bCs/>
              </w:rPr>
              <w:t>突发环境事件应急预案风险应急计划</w:t>
            </w:r>
          </w:p>
          <w:p w14:paraId="02C4632C">
            <w:pPr>
              <w:autoSpaceDE w:val="0"/>
              <w:autoSpaceDN w:val="0"/>
              <w:adjustRightInd w:val="0"/>
              <w:snapToGrid w:val="0"/>
              <w:spacing w:line="480" w:lineRule="exact"/>
              <w:ind w:firstLine="480" w:firstLineChars="200"/>
              <w:rPr>
                <w:bCs/>
              </w:rPr>
            </w:pPr>
            <w:r>
              <w:rPr>
                <w:bCs/>
              </w:rPr>
              <w:t>企业可委托专业技术单位编制突发环境事件应急预案，并按规定报县级以上生态环境主管部门备案。</w:t>
            </w:r>
          </w:p>
          <w:p w14:paraId="48C5ABFF">
            <w:pPr>
              <w:autoSpaceDE w:val="0"/>
              <w:autoSpaceDN w:val="0"/>
              <w:adjustRightInd w:val="0"/>
              <w:snapToGrid w:val="0"/>
              <w:spacing w:line="480" w:lineRule="exact"/>
              <w:ind w:firstLine="480" w:firstLineChars="200"/>
              <w:rPr>
                <w:bCs/>
              </w:rPr>
            </w:pPr>
            <w:r>
              <w:rPr>
                <w:rFonts w:hint="eastAsia" w:ascii="仿宋" w:hAnsi="仿宋" w:eastAsia="仿宋" w:cs="仿宋"/>
                <w:bCs/>
              </w:rPr>
              <w:t>④</w:t>
            </w:r>
            <w:r>
              <w:rPr>
                <w:bCs/>
              </w:rPr>
              <w:t>贮存区火灾事件应急措施</w:t>
            </w:r>
          </w:p>
          <w:p w14:paraId="6D68B01A">
            <w:pPr>
              <w:autoSpaceDE w:val="0"/>
              <w:autoSpaceDN w:val="0"/>
              <w:adjustRightInd w:val="0"/>
              <w:snapToGrid w:val="0"/>
              <w:spacing w:line="480" w:lineRule="exact"/>
              <w:ind w:firstLine="480" w:firstLineChars="200"/>
              <w:rPr>
                <w:bCs/>
              </w:rPr>
            </w:pPr>
            <w:r>
              <w:rPr>
                <w:bCs/>
              </w:rPr>
              <w:t>当原料贮存区物料与成品仓库内成品发生火灾爆炸事故时，前期上报、报警、切断机善后工作按要求进行。应急措施及注意点主要为：</w:t>
            </w:r>
          </w:p>
          <w:p w14:paraId="6A1861DB">
            <w:pPr>
              <w:autoSpaceDE w:val="0"/>
              <w:autoSpaceDN w:val="0"/>
              <w:adjustRightInd w:val="0"/>
              <w:snapToGrid w:val="0"/>
              <w:spacing w:line="480" w:lineRule="exact"/>
              <w:ind w:firstLine="480" w:firstLineChars="200"/>
              <w:rPr>
                <w:bCs/>
              </w:rPr>
            </w:pPr>
            <w:r>
              <w:rPr>
                <w:bCs/>
              </w:rPr>
              <w:t>若是气体，合理通风，加速扩散。如有可能，将残余气或漏出气用排风机排风。漏气容器要妥善处理，修复、检验后再用。液体用砂土、其它惰性材料吸收。若大量泄漏，构筑围堤或挖坑收容，防止发生更大的连锁火灾爆炸事故；抢救时应用水保持火场包装袋/桶冷却，并用水喷淋保护去抢救的人员。用干粉、二氧化碳、抗溶性泡沫灭火剂进行灭火，也可以用沙土进行覆盖，防止火势进一步蔓延；喷水保持火场容器冷却，直至灭火结束。关闭雨水管网及污水站排放口的阀门，防止消防废水进入外界环境，通过管线引入事故应急池中暂存，消防废水待事故处理完毕后委托有资质单位处置。</w:t>
            </w:r>
          </w:p>
          <w:p w14:paraId="1304F30F">
            <w:pPr>
              <w:autoSpaceDE w:val="0"/>
              <w:autoSpaceDN w:val="0"/>
              <w:adjustRightInd w:val="0"/>
              <w:snapToGrid w:val="0"/>
              <w:spacing w:line="480" w:lineRule="exact"/>
              <w:ind w:firstLine="480" w:firstLineChars="200"/>
              <w:rPr>
                <w:bCs/>
              </w:rPr>
            </w:pPr>
            <w:r>
              <w:rPr>
                <w:bCs/>
              </w:rPr>
              <w:t>如火灾无法控制，可能发生连锁爆炸时，要及时通知并疏散周围的居民及企业员工，防止造成人员伤亡。</w:t>
            </w:r>
          </w:p>
          <w:p w14:paraId="21AB31E8">
            <w:pPr>
              <w:autoSpaceDE w:val="0"/>
              <w:autoSpaceDN w:val="0"/>
              <w:adjustRightInd w:val="0"/>
              <w:snapToGrid w:val="0"/>
              <w:spacing w:line="480" w:lineRule="exact"/>
              <w:ind w:firstLine="480" w:firstLineChars="200"/>
              <w:rPr>
                <w:bCs/>
              </w:rPr>
            </w:pPr>
            <w:r>
              <w:rPr>
                <w:rFonts w:hint="eastAsia" w:ascii="仿宋" w:hAnsi="仿宋" w:eastAsia="仿宋" w:cs="仿宋"/>
                <w:bCs/>
              </w:rPr>
              <w:t>⑤</w:t>
            </w:r>
            <w:r>
              <w:rPr>
                <w:bCs/>
              </w:rPr>
              <w:t>生产车间（包括环保设施）火灾爆炸事件应急措施</w:t>
            </w:r>
          </w:p>
          <w:p w14:paraId="0C1C5CB3">
            <w:pPr>
              <w:autoSpaceDE w:val="0"/>
              <w:autoSpaceDN w:val="0"/>
              <w:adjustRightInd w:val="0"/>
              <w:snapToGrid w:val="0"/>
              <w:spacing w:line="480" w:lineRule="exact"/>
              <w:ind w:firstLine="480" w:firstLineChars="200"/>
              <w:rPr>
                <w:bCs/>
              </w:rPr>
            </w:pPr>
            <w:r>
              <w:rPr>
                <w:bCs/>
              </w:rPr>
              <w:t>生产车间各装置大都连为一体，单个设备发生火灾时，很容易发生连锁反应，故须特别注意：</w:t>
            </w:r>
          </w:p>
          <w:p w14:paraId="7A5A37C3">
            <w:pPr>
              <w:autoSpaceDE w:val="0"/>
              <w:autoSpaceDN w:val="0"/>
              <w:adjustRightInd w:val="0"/>
              <w:snapToGrid w:val="0"/>
              <w:spacing w:line="480" w:lineRule="exact"/>
              <w:ind w:firstLine="480" w:firstLineChars="200"/>
              <w:rPr>
                <w:bCs/>
              </w:rPr>
            </w:pPr>
            <w:r>
              <w:rPr>
                <w:bCs/>
              </w:rPr>
              <w:t>立即切断电源，关停所有生产设备，迅速切断电源</w:t>
            </w:r>
            <w:r>
              <w:rPr>
                <w:rFonts w:hint="eastAsia"/>
                <w:bCs/>
                <w:lang w:eastAsia="zh-CN"/>
              </w:rPr>
              <w:t>及</w:t>
            </w:r>
            <w:r>
              <w:rPr>
                <w:bCs/>
              </w:rPr>
              <w:t>所有正在工作设备的管道阀门；</w:t>
            </w:r>
          </w:p>
          <w:p w14:paraId="1FDDEF0D">
            <w:pPr>
              <w:autoSpaceDE w:val="0"/>
              <w:autoSpaceDN w:val="0"/>
              <w:adjustRightInd w:val="0"/>
              <w:snapToGrid w:val="0"/>
              <w:spacing w:line="480" w:lineRule="exact"/>
              <w:ind w:firstLine="480" w:firstLineChars="200"/>
              <w:rPr>
                <w:bCs/>
              </w:rPr>
            </w:pPr>
            <w:r>
              <w:rPr>
                <w:bCs/>
              </w:rPr>
              <w:t>用干粉、二氧化碳、抗溶性泡沫灭火剂进行灭火，也可以用沙土进行覆盖，防止火势进一步蔓延。</w:t>
            </w:r>
          </w:p>
          <w:p w14:paraId="73FC27FB">
            <w:pPr>
              <w:autoSpaceDE w:val="0"/>
              <w:autoSpaceDN w:val="0"/>
              <w:adjustRightInd w:val="0"/>
              <w:snapToGrid w:val="0"/>
              <w:spacing w:line="480" w:lineRule="exact"/>
              <w:ind w:firstLine="480" w:firstLineChars="200"/>
              <w:rPr>
                <w:bCs/>
              </w:rPr>
            </w:pPr>
            <w:r>
              <w:rPr>
                <w:bCs/>
              </w:rPr>
              <w:t>关闭雨污管网接管口或排放口的阀门，防止消防水进入外界环境，然后将车间拦堵的消防水通过管线引入事故应急池暂存。</w:t>
            </w:r>
          </w:p>
          <w:p w14:paraId="0908655D">
            <w:pPr>
              <w:autoSpaceDE w:val="0"/>
              <w:autoSpaceDN w:val="0"/>
              <w:adjustRightInd w:val="0"/>
              <w:snapToGrid w:val="0"/>
              <w:spacing w:line="480" w:lineRule="exact"/>
              <w:ind w:firstLine="480" w:firstLineChars="200"/>
              <w:rPr>
                <w:bCs/>
              </w:rPr>
            </w:pPr>
            <w:r>
              <w:rPr>
                <w:bCs/>
              </w:rPr>
              <w:t>火势扑灭后须对现场进行消洗，消防水收集后</w:t>
            </w:r>
            <w:r>
              <w:rPr>
                <w:rFonts w:hint="eastAsia"/>
                <w:bCs/>
                <w:lang w:eastAsia="zh-CN"/>
              </w:rPr>
              <w:t>进入</w:t>
            </w:r>
            <w:r>
              <w:rPr>
                <w:bCs/>
              </w:rPr>
              <w:t>应急池暂存，待事件结束后，企业再根据事件消防水性质回用或接管排放。其他清点、记录等善后工作按要求进行，委托有资质单位处理。</w:t>
            </w:r>
          </w:p>
          <w:p w14:paraId="0708D08B">
            <w:pPr>
              <w:pStyle w:val="6"/>
              <w:spacing w:line="480" w:lineRule="exact"/>
              <w:ind w:firstLine="480"/>
              <w:rPr>
                <w:sz w:val="24"/>
              </w:rPr>
            </w:pPr>
            <w:r>
              <w:rPr>
                <w:sz w:val="24"/>
              </w:rPr>
              <w:t>因此，建设单位应建设一定容量的事故池，以接纳事故情况下排放的污水，保证事故情况下不向外环境排放污水。在事故结束之后，再对事故废水进行处理。本项目拟建设一座事故</w:t>
            </w:r>
            <w:r>
              <w:rPr>
                <w:rFonts w:hint="eastAsia"/>
                <w:sz w:val="24"/>
              </w:rPr>
              <w:t>应急</w:t>
            </w:r>
            <w:r>
              <w:rPr>
                <w:sz w:val="24"/>
              </w:rPr>
              <w:t>池。</w:t>
            </w:r>
          </w:p>
          <w:p w14:paraId="057916B4">
            <w:pPr>
              <w:pStyle w:val="2"/>
              <w:spacing w:before="0" w:after="0" w:line="480" w:lineRule="exact"/>
              <w:ind w:right="0" w:firstLine="480" w:firstLineChars="200"/>
              <w:rPr>
                <w:sz w:val="24"/>
                <w:szCs w:val="24"/>
              </w:rPr>
            </w:pPr>
            <w:r>
              <w:rPr>
                <w:sz w:val="24"/>
                <w:szCs w:val="24"/>
              </w:rPr>
              <w:t>根据《水体污染防控紧急措施设计导则》，事故贮存设施的总有效容积计算公式：</w:t>
            </w:r>
          </w:p>
          <w:p w14:paraId="6D287DD0">
            <w:pPr>
              <w:pStyle w:val="2"/>
              <w:spacing w:before="0" w:after="0" w:line="480" w:lineRule="exact"/>
              <w:ind w:right="0"/>
              <w:jc w:val="center"/>
              <w:rPr>
                <w:sz w:val="24"/>
                <w:szCs w:val="24"/>
              </w:rPr>
            </w:pPr>
            <w:bookmarkStart w:id="6" w:name="_Toc435006302"/>
            <w:r>
              <w:rPr>
                <w:sz w:val="24"/>
                <w:szCs w:val="24"/>
              </w:rPr>
              <w:t>Va=（V1+V2-V3）max+V4+V5</w:t>
            </w:r>
            <w:bookmarkEnd w:id="6"/>
          </w:p>
          <w:p w14:paraId="1EB1E8BD">
            <w:pPr>
              <w:pStyle w:val="2"/>
              <w:spacing w:before="0" w:after="0" w:line="480" w:lineRule="exact"/>
              <w:ind w:right="0" w:firstLine="480" w:firstLineChars="200"/>
              <w:rPr>
                <w:sz w:val="24"/>
                <w:szCs w:val="24"/>
              </w:rPr>
            </w:pPr>
            <w:bookmarkStart w:id="7" w:name="_Toc435006303"/>
            <w:r>
              <w:rPr>
                <w:sz w:val="24"/>
                <w:szCs w:val="24"/>
              </w:rPr>
              <w:t>Va：事故应急池容积，m</w:t>
            </w:r>
            <w:r>
              <w:rPr>
                <w:sz w:val="24"/>
                <w:szCs w:val="24"/>
                <w:vertAlign w:val="superscript"/>
              </w:rPr>
              <w:t>3</w:t>
            </w:r>
            <w:r>
              <w:rPr>
                <w:sz w:val="24"/>
                <w:szCs w:val="24"/>
              </w:rPr>
              <w:t>；</w:t>
            </w:r>
            <w:bookmarkEnd w:id="7"/>
          </w:p>
          <w:p w14:paraId="76322BCD">
            <w:pPr>
              <w:pStyle w:val="2"/>
              <w:spacing w:before="0" w:after="0" w:line="480" w:lineRule="exact"/>
              <w:ind w:right="0" w:firstLine="480" w:firstLineChars="200"/>
              <w:rPr>
                <w:sz w:val="24"/>
                <w:szCs w:val="24"/>
              </w:rPr>
            </w:pPr>
            <w:r>
              <w:rPr>
                <w:sz w:val="24"/>
                <w:szCs w:val="24"/>
              </w:rPr>
              <w:t>V1：事故一个罐或一个装置物料量，m</w:t>
            </w:r>
            <w:r>
              <w:rPr>
                <w:sz w:val="24"/>
                <w:szCs w:val="24"/>
                <w:vertAlign w:val="superscript"/>
              </w:rPr>
              <w:t>3</w:t>
            </w:r>
            <w:r>
              <w:rPr>
                <w:sz w:val="24"/>
                <w:szCs w:val="24"/>
              </w:rPr>
              <w:t>；</w:t>
            </w:r>
          </w:p>
          <w:p w14:paraId="640453D8">
            <w:pPr>
              <w:pStyle w:val="2"/>
              <w:spacing w:before="0" w:after="0" w:line="480" w:lineRule="exact"/>
              <w:ind w:right="0" w:firstLine="480" w:firstLineChars="200"/>
              <w:rPr>
                <w:sz w:val="24"/>
                <w:szCs w:val="24"/>
              </w:rPr>
            </w:pPr>
            <w:r>
              <w:rPr>
                <w:sz w:val="24"/>
                <w:szCs w:val="24"/>
              </w:rPr>
              <w:t>V2：事故状态下最大消防水量，m</w:t>
            </w:r>
            <w:r>
              <w:rPr>
                <w:sz w:val="24"/>
                <w:szCs w:val="24"/>
                <w:vertAlign w:val="superscript"/>
              </w:rPr>
              <w:t>3</w:t>
            </w:r>
            <w:r>
              <w:rPr>
                <w:sz w:val="24"/>
                <w:szCs w:val="24"/>
              </w:rPr>
              <w:t>；</w:t>
            </w:r>
          </w:p>
          <w:p w14:paraId="04610CB5">
            <w:pPr>
              <w:pStyle w:val="2"/>
              <w:spacing w:before="0" w:after="0" w:line="480" w:lineRule="exact"/>
              <w:ind w:right="0" w:firstLine="480" w:firstLineChars="200"/>
              <w:rPr>
                <w:sz w:val="24"/>
                <w:szCs w:val="24"/>
              </w:rPr>
            </w:pPr>
            <w:r>
              <w:rPr>
                <w:sz w:val="24"/>
                <w:szCs w:val="24"/>
              </w:rPr>
              <w:t>V3：事故时可以转输到其它储存或处理设施的物料量，m</w:t>
            </w:r>
            <w:r>
              <w:rPr>
                <w:sz w:val="24"/>
                <w:szCs w:val="24"/>
                <w:vertAlign w:val="superscript"/>
              </w:rPr>
              <w:t>3</w:t>
            </w:r>
            <w:r>
              <w:rPr>
                <w:sz w:val="24"/>
                <w:szCs w:val="24"/>
              </w:rPr>
              <w:t>；</w:t>
            </w:r>
          </w:p>
          <w:p w14:paraId="00EC75CE">
            <w:pPr>
              <w:pStyle w:val="2"/>
              <w:spacing w:before="0" w:after="0" w:line="480" w:lineRule="exact"/>
              <w:ind w:right="0" w:firstLine="480" w:firstLineChars="200"/>
              <w:rPr>
                <w:sz w:val="24"/>
                <w:szCs w:val="24"/>
              </w:rPr>
            </w:pPr>
            <w:bookmarkStart w:id="8" w:name="_Toc435006304"/>
            <w:r>
              <w:rPr>
                <w:sz w:val="24"/>
                <w:szCs w:val="24"/>
              </w:rPr>
              <w:t>V4：发生事故时必须进入该收集系统的生产废水量，m</w:t>
            </w:r>
            <w:r>
              <w:rPr>
                <w:sz w:val="24"/>
                <w:szCs w:val="24"/>
                <w:vertAlign w:val="superscript"/>
              </w:rPr>
              <w:t>3</w:t>
            </w:r>
            <w:r>
              <w:rPr>
                <w:sz w:val="24"/>
                <w:szCs w:val="24"/>
              </w:rPr>
              <w:t>；</w:t>
            </w:r>
            <w:bookmarkEnd w:id="8"/>
          </w:p>
          <w:p w14:paraId="3B4E8835">
            <w:pPr>
              <w:pStyle w:val="2"/>
              <w:spacing w:before="0" w:after="0" w:line="480" w:lineRule="exact"/>
              <w:ind w:right="0" w:firstLine="480" w:firstLineChars="200"/>
              <w:rPr>
                <w:sz w:val="24"/>
                <w:szCs w:val="24"/>
              </w:rPr>
            </w:pPr>
            <w:r>
              <w:rPr>
                <w:sz w:val="24"/>
                <w:szCs w:val="24"/>
              </w:rPr>
              <w:t>V5：发生事故时可能进入该收集系统的降雨量，m</w:t>
            </w:r>
            <w:r>
              <w:rPr>
                <w:sz w:val="24"/>
                <w:szCs w:val="24"/>
                <w:vertAlign w:val="superscript"/>
              </w:rPr>
              <w:t>3</w:t>
            </w:r>
            <w:r>
              <w:rPr>
                <w:sz w:val="24"/>
                <w:szCs w:val="24"/>
              </w:rPr>
              <w:t>；</w:t>
            </w:r>
          </w:p>
          <w:p w14:paraId="0F375D2E">
            <w:pPr>
              <w:pStyle w:val="2"/>
              <w:spacing w:before="0" w:after="0" w:line="480" w:lineRule="exact"/>
              <w:ind w:right="0" w:firstLine="480" w:firstLineChars="200"/>
              <w:rPr>
                <w:sz w:val="24"/>
                <w:szCs w:val="24"/>
              </w:rPr>
            </w:pPr>
            <w:r>
              <w:rPr>
                <w:rFonts w:hint="eastAsia" w:ascii="仿宋" w:hAnsi="仿宋" w:cs="仿宋"/>
                <w:sz w:val="24"/>
                <w:szCs w:val="24"/>
              </w:rPr>
              <w:t>①</w:t>
            </w:r>
            <w:r>
              <w:rPr>
                <w:sz w:val="24"/>
                <w:szCs w:val="24"/>
              </w:rPr>
              <w:t>V1：厂区最大装置物料量，按一个</w:t>
            </w:r>
            <w:r>
              <w:rPr>
                <w:rFonts w:hint="eastAsia"/>
                <w:sz w:val="24"/>
                <w:szCs w:val="24"/>
                <w:lang w:val="en-US" w:eastAsia="zh-CN"/>
              </w:rPr>
              <w:t>脱模剂</w:t>
            </w:r>
            <w:r>
              <w:rPr>
                <w:sz w:val="24"/>
                <w:szCs w:val="24"/>
              </w:rPr>
              <w:t>桶容积V1=0.</w:t>
            </w:r>
            <w:r>
              <w:rPr>
                <w:rFonts w:hint="eastAsia"/>
                <w:sz w:val="24"/>
                <w:szCs w:val="24"/>
                <w:lang w:val="en-US" w:eastAsia="zh-CN"/>
              </w:rPr>
              <w:t>025</w:t>
            </w:r>
            <w:r>
              <w:rPr>
                <w:sz w:val="24"/>
                <w:szCs w:val="24"/>
              </w:rPr>
              <w:t>m</w:t>
            </w:r>
            <w:r>
              <w:rPr>
                <w:sz w:val="24"/>
                <w:szCs w:val="24"/>
                <w:vertAlign w:val="superscript"/>
              </w:rPr>
              <w:t>3</w:t>
            </w:r>
            <w:r>
              <w:rPr>
                <w:sz w:val="24"/>
                <w:szCs w:val="24"/>
              </w:rPr>
              <w:t>。</w:t>
            </w:r>
          </w:p>
          <w:p w14:paraId="6171C788">
            <w:pPr>
              <w:pStyle w:val="2"/>
              <w:spacing w:before="0" w:after="0" w:line="480" w:lineRule="exact"/>
              <w:ind w:right="0" w:firstLine="480" w:firstLineChars="200"/>
              <w:rPr>
                <w:sz w:val="24"/>
                <w:szCs w:val="24"/>
              </w:rPr>
            </w:pPr>
            <w:r>
              <w:rPr>
                <w:rFonts w:ascii="仿宋" w:hAnsi="仿宋" w:cs="仿宋"/>
                <w:sz w:val="24"/>
                <w:szCs w:val="24"/>
              </w:rPr>
              <w:t>②</w:t>
            </w:r>
            <w:r>
              <w:rPr>
                <w:sz w:val="24"/>
                <w:szCs w:val="24"/>
              </w:rPr>
              <w:t>V2：发生一次火灾时消防用水量为：根据《消防给水及消火栓系统技术规范》（GB50974-2014）</w:t>
            </w:r>
            <w:r>
              <w:rPr>
                <w:rFonts w:hint="eastAsia"/>
                <w:sz w:val="24"/>
                <w:szCs w:val="24"/>
                <w:lang w:eastAsia="zh-CN"/>
              </w:rPr>
              <w:t>“</w:t>
            </w:r>
            <w:r>
              <w:rPr>
                <w:sz w:val="24"/>
                <w:szCs w:val="24"/>
              </w:rPr>
              <w:t>第3.3.2章节建筑物室外消火栓设计流量</w:t>
            </w:r>
            <w:r>
              <w:rPr>
                <w:rFonts w:hint="eastAsia"/>
                <w:sz w:val="24"/>
                <w:szCs w:val="24"/>
                <w:lang w:eastAsia="zh-CN"/>
              </w:rPr>
              <w:t>”</w:t>
            </w:r>
            <w:r>
              <w:rPr>
                <w:sz w:val="24"/>
                <w:szCs w:val="24"/>
              </w:rPr>
              <w:t>可知，</w:t>
            </w:r>
            <w:r>
              <w:rPr>
                <w:rFonts w:hint="eastAsia"/>
                <w:sz w:val="24"/>
                <w:szCs w:val="24"/>
              </w:rPr>
              <w:t>本项目生产</w:t>
            </w:r>
            <w:r>
              <w:rPr>
                <w:sz w:val="24"/>
                <w:szCs w:val="24"/>
              </w:rPr>
              <w:t>车间（</w:t>
            </w:r>
            <w:r>
              <w:rPr>
                <w:rFonts w:hint="default" w:ascii="Times New Roman" w:hAnsi="Times New Roman" w:cs="Times New Roman"/>
                <w:sz w:val="24"/>
                <w:szCs w:val="24"/>
              </w:rPr>
              <w:t>V</w:t>
            </w:r>
            <w:r>
              <w:rPr>
                <w:rFonts w:hint="default" w:ascii="Times New Roman" w:hAnsi="Times New Roman" w:cs="Times New Roman"/>
                <w:sz w:val="24"/>
                <w:szCs w:val="24"/>
                <w:lang w:val="en-US" w:eastAsia="zh-CN"/>
              </w:rPr>
              <w:t>=</w:t>
            </w:r>
            <w:r>
              <w:rPr>
                <w:rFonts w:hint="eastAsia" w:cs="Times New Roman"/>
                <w:sz w:val="24"/>
                <w:szCs w:val="24"/>
                <w:lang w:val="en-US" w:eastAsia="zh-CN"/>
              </w:rPr>
              <w:t>1880</w:t>
            </w:r>
            <w:r>
              <w:rPr>
                <w:rFonts w:hint="default" w:ascii="Times New Roman" w:hAnsi="Times New Roman" w:cs="Times New Roman"/>
                <w:sz w:val="24"/>
                <w:szCs w:val="24"/>
                <w:lang w:val="en-US" w:eastAsia="zh-CN"/>
              </w:rPr>
              <w:t>m</w:t>
            </w:r>
            <w:r>
              <w:rPr>
                <w:rFonts w:hint="eastAsia" w:cs="Times New Roman"/>
                <w:sz w:val="24"/>
                <w:szCs w:val="24"/>
                <w:vertAlign w:val="superscript"/>
                <w:lang w:val="en-US" w:eastAsia="zh-CN"/>
              </w:rPr>
              <w:t>2</w:t>
            </w:r>
            <w:r>
              <w:rPr>
                <w:rFonts w:hint="default" w:ascii="Times New Roman" w:hAnsi="Times New Roman" w:cs="Times New Roman"/>
                <w:sz w:val="24"/>
                <w:szCs w:val="24"/>
                <w:lang w:val="en-US" w:eastAsia="zh-CN"/>
              </w:rPr>
              <w:t>×</w:t>
            </w:r>
            <w:r>
              <w:rPr>
                <w:rFonts w:hint="eastAsia" w:cs="Times New Roman"/>
                <w:sz w:val="24"/>
                <w:szCs w:val="24"/>
                <w:lang w:val="en-US" w:eastAsia="zh-CN"/>
              </w:rPr>
              <w:t>10</w:t>
            </w:r>
            <w:r>
              <w:rPr>
                <w:rFonts w:hint="default" w:ascii="Times New Roman" w:hAnsi="Times New Roman" w:cs="Times New Roman"/>
                <w:sz w:val="24"/>
                <w:szCs w:val="24"/>
                <w:lang w:val="en-US" w:eastAsia="zh-CN"/>
              </w:rPr>
              <w:t>m</w:t>
            </w:r>
            <w:r>
              <w:rPr>
                <w:rFonts w:hint="eastAsia" w:ascii="Times New Roman" w:hAnsi="Times New Roman" w:cs="Times New Roman"/>
                <w:sz w:val="24"/>
                <w:szCs w:val="24"/>
                <w:lang w:val="en-US" w:eastAsia="zh-CN"/>
              </w:rPr>
              <w:t>=</w:t>
            </w:r>
            <w:r>
              <w:rPr>
                <w:rFonts w:hint="eastAsia" w:cs="Times New Roman"/>
                <w:sz w:val="24"/>
                <w:szCs w:val="24"/>
                <w:lang w:val="en-US" w:eastAsia="zh-CN"/>
              </w:rPr>
              <w:t>1880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sz w:val="24"/>
                <w:szCs w:val="24"/>
              </w:rPr>
              <w:t>），则消防用水设计流量为</w:t>
            </w:r>
            <w:r>
              <w:rPr>
                <w:rFonts w:hint="eastAsia"/>
                <w:sz w:val="24"/>
                <w:szCs w:val="24"/>
              </w:rPr>
              <w:t>15</w:t>
            </w:r>
            <w:r>
              <w:rPr>
                <w:sz w:val="24"/>
                <w:szCs w:val="24"/>
              </w:rPr>
              <w:t>L/s，假设事故持续</w:t>
            </w:r>
            <w:r>
              <w:rPr>
                <w:rFonts w:hint="eastAsia"/>
                <w:sz w:val="24"/>
                <w:szCs w:val="24"/>
              </w:rPr>
              <w:t>1h</w:t>
            </w:r>
            <w:r>
              <w:rPr>
                <w:sz w:val="24"/>
                <w:szCs w:val="24"/>
              </w:rPr>
              <w:t>，则消防用水量V2=</w:t>
            </w:r>
            <w:r>
              <w:rPr>
                <w:rFonts w:hint="eastAsia"/>
                <w:sz w:val="24"/>
                <w:szCs w:val="24"/>
              </w:rPr>
              <w:t>54</w:t>
            </w:r>
            <w:r>
              <w:rPr>
                <w:sz w:val="24"/>
                <w:szCs w:val="24"/>
              </w:rPr>
              <w:t>m</w:t>
            </w:r>
            <w:r>
              <w:rPr>
                <w:sz w:val="24"/>
                <w:szCs w:val="24"/>
                <w:vertAlign w:val="superscript"/>
              </w:rPr>
              <w:t>3</w:t>
            </w:r>
            <w:r>
              <w:rPr>
                <w:sz w:val="24"/>
                <w:szCs w:val="24"/>
              </w:rPr>
              <w:t>。</w:t>
            </w:r>
          </w:p>
          <w:p w14:paraId="3B820E0B">
            <w:pPr>
              <w:pStyle w:val="2"/>
              <w:spacing w:before="0" w:after="0" w:line="480" w:lineRule="exact"/>
              <w:ind w:right="0" w:firstLine="480" w:firstLineChars="200"/>
              <w:rPr>
                <w:sz w:val="24"/>
                <w:szCs w:val="24"/>
              </w:rPr>
            </w:pPr>
            <w:r>
              <w:rPr>
                <w:rFonts w:ascii="仿宋" w:hAnsi="仿宋" w:cs="仿宋"/>
                <w:sz w:val="24"/>
                <w:szCs w:val="24"/>
              </w:rPr>
              <w:t>③</w:t>
            </w:r>
            <w:r>
              <w:rPr>
                <w:sz w:val="24"/>
                <w:szCs w:val="24"/>
              </w:rPr>
              <w:t>V3：事故时可利用的其他设施</w:t>
            </w:r>
            <w:r>
              <w:rPr>
                <w:rFonts w:hint="eastAsia"/>
                <w:sz w:val="24"/>
                <w:szCs w:val="24"/>
              </w:rPr>
              <w:t>，</w:t>
            </w:r>
            <w:r>
              <w:rPr>
                <w:sz w:val="24"/>
                <w:szCs w:val="24"/>
              </w:rPr>
              <w:t>V3＝</w:t>
            </w:r>
            <w:r>
              <w:rPr>
                <w:rFonts w:hint="eastAsia"/>
                <w:sz w:val="24"/>
                <w:szCs w:val="24"/>
              </w:rPr>
              <w:t>0</w:t>
            </w:r>
            <w:r>
              <w:rPr>
                <w:sz w:val="24"/>
                <w:szCs w:val="24"/>
              </w:rPr>
              <w:t>m</w:t>
            </w:r>
            <w:r>
              <w:rPr>
                <w:sz w:val="24"/>
                <w:szCs w:val="24"/>
                <w:vertAlign w:val="superscript"/>
              </w:rPr>
              <w:t>3</w:t>
            </w:r>
            <w:r>
              <w:rPr>
                <w:sz w:val="24"/>
                <w:szCs w:val="24"/>
              </w:rPr>
              <w:t>。</w:t>
            </w:r>
          </w:p>
          <w:p w14:paraId="1994CB51">
            <w:pPr>
              <w:pStyle w:val="2"/>
              <w:spacing w:before="0" w:after="0" w:line="480" w:lineRule="exact"/>
              <w:ind w:right="0" w:firstLine="480" w:firstLineChars="200"/>
              <w:rPr>
                <w:sz w:val="24"/>
                <w:szCs w:val="24"/>
              </w:rPr>
            </w:pPr>
            <w:r>
              <w:rPr>
                <w:rFonts w:ascii="仿宋" w:hAnsi="仿宋" w:cs="仿宋"/>
                <w:sz w:val="24"/>
                <w:szCs w:val="24"/>
              </w:rPr>
              <w:t>④</w:t>
            </w:r>
            <w:r>
              <w:rPr>
                <w:sz w:val="24"/>
                <w:szCs w:val="24"/>
              </w:rPr>
              <w:t>V4：发生事故时必须进入该收集系统的生产废水量，V4=</w:t>
            </w:r>
            <w:r>
              <w:rPr>
                <w:rFonts w:hint="eastAsia"/>
                <w:sz w:val="24"/>
                <w:szCs w:val="24"/>
              </w:rPr>
              <w:t>0</w:t>
            </w:r>
            <w:r>
              <w:rPr>
                <w:sz w:val="24"/>
                <w:szCs w:val="24"/>
              </w:rPr>
              <w:t>m</w:t>
            </w:r>
            <w:r>
              <w:rPr>
                <w:sz w:val="24"/>
                <w:szCs w:val="24"/>
                <w:vertAlign w:val="superscript"/>
              </w:rPr>
              <w:t>3</w:t>
            </w:r>
            <w:r>
              <w:rPr>
                <w:sz w:val="24"/>
                <w:szCs w:val="24"/>
              </w:rPr>
              <w:t>。</w:t>
            </w:r>
          </w:p>
          <w:p w14:paraId="2CF11A54">
            <w:pPr>
              <w:pStyle w:val="2"/>
              <w:spacing w:before="0" w:after="0" w:line="480" w:lineRule="exact"/>
              <w:ind w:right="0" w:firstLine="480" w:firstLineChars="200"/>
              <w:rPr>
                <w:sz w:val="24"/>
                <w:szCs w:val="24"/>
              </w:rPr>
            </w:pPr>
            <w:r>
              <w:rPr>
                <w:rFonts w:ascii="仿宋" w:hAnsi="仿宋" w:cs="仿宋"/>
                <w:sz w:val="24"/>
                <w:szCs w:val="24"/>
              </w:rPr>
              <w:t>⑤</w:t>
            </w:r>
            <w:r>
              <w:rPr>
                <w:sz w:val="24"/>
                <w:szCs w:val="24"/>
              </w:rPr>
              <w:t>V5：V5=10qF。q—降雨强度，mm，q=8.52mm；F—必须进入事故废水收集系统的雨水汇水面积，ha，</w:t>
            </w:r>
            <w:r>
              <w:rPr>
                <w:rFonts w:eastAsia="仿宋_GB2312"/>
                <w:sz w:val="24"/>
                <w:szCs w:val="24"/>
              </w:rPr>
              <w:t>事故状态下汇水面积约</w:t>
            </w:r>
            <w:r>
              <w:rPr>
                <w:rFonts w:hint="eastAsia" w:eastAsia="仿宋_GB2312"/>
                <w:sz w:val="24"/>
                <w:szCs w:val="24"/>
                <w:lang w:val="en-US" w:eastAsia="zh-CN"/>
              </w:rPr>
              <w:t>0.15</w:t>
            </w:r>
            <w:r>
              <w:rPr>
                <w:rFonts w:hint="eastAsia" w:eastAsia="仿宋_GB2312"/>
                <w:sz w:val="24"/>
                <w:szCs w:val="24"/>
              </w:rPr>
              <w:t>ha</w:t>
            </w:r>
            <w:r>
              <w:rPr>
                <w:sz w:val="24"/>
                <w:szCs w:val="24"/>
              </w:rPr>
              <w:t>，</w:t>
            </w:r>
            <w:r>
              <w:rPr>
                <w:rFonts w:hint="eastAsia"/>
                <w:sz w:val="24"/>
                <w:szCs w:val="24"/>
              </w:rPr>
              <w:t>则</w:t>
            </w:r>
            <w:r>
              <w:rPr>
                <w:sz w:val="24"/>
                <w:szCs w:val="24"/>
              </w:rPr>
              <w:t>V5=</w:t>
            </w:r>
            <w:r>
              <w:rPr>
                <w:rFonts w:hint="eastAsia"/>
                <w:sz w:val="24"/>
                <w:szCs w:val="24"/>
                <w:lang w:val="en-US" w:eastAsia="zh-CN"/>
              </w:rPr>
              <w:t>12.7</w:t>
            </w:r>
            <w:r>
              <w:rPr>
                <w:rFonts w:hint="eastAsia"/>
                <w:sz w:val="24"/>
                <w:szCs w:val="24"/>
              </w:rPr>
              <w:t>8</w:t>
            </w:r>
            <w:r>
              <w:rPr>
                <w:sz w:val="24"/>
                <w:szCs w:val="24"/>
              </w:rPr>
              <w:t>m</w:t>
            </w:r>
            <w:r>
              <w:rPr>
                <w:sz w:val="24"/>
                <w:szCs w:val="24"/>
                <w:vertAlign w:val="superscript"/>
              </w:rPr>
              <w:t>3</w:t>
            </w:r>
            <w:r>
              <w:rPr>
                <w:sz w:val="24"/>
                <w:szCs w:val="24"/>
              </w:rPr>
              <w:t>。</w:t>
            </w:r>
          </w:p>
          <w:p w14:paraId="55A0835A">
            <w:pPr>
              <w:pStyle w:val="2"/>
              <w:spacing w:before="0" w:after="0" w:line="480" w:lineRule="exact"/>
              <w:ind w:right="0" w:firstLine="480" w:firstLineChars="200"/>
              <w:rPr>
                <w:sz w:val="24"/>
                <w:szCs w:val="24"/>
              </w:rPr>
            </w:pPr>
            <w:r>
              <w:rPr>
                <w:rFonts w:ascii="仿宋" w:hAnsi="仿宋" w:cs="仿宋"/>
                <w:sz w:val="24"/>
                <w:szCs w:val="24"/>
              </w:rPr>
              <w:t>⑥</w:t>
            </w:r>
            <w:r>
              <w:rPr>
                <w:sz w:val="24"/>
                <w:szCs w:val="24"/>
              </w:rPr>
              <w:t>Va=（V1+V2-V3）+V4+V5=（0.</w:t>
            </w:r>
            <w:r>
              <w:rPr>
                <w:rFonts w:hint="eastAsia"/>
                <w:sz w:val="24"/>
                <w:szCs w:val="24"/>
                <w:lang w:val="en-US" w:eastAsia="zh-CN"/>
              </w:rPr>
              <w:t>025</w:t>
            </w:r>
            <w:r>
              <w:rPr>
                <w:sz w:val="24"/>
                <w:szCs w:val="24"/>
              </w:rPr>
              <w:t>+</w:t>
            </w:r>
            <w:r>
              <w:rPr>
                <w:rFonts w:hint="eastAsia"/>
                <w:sz w:val="24"/>
                <w:szCs w:val="24"/>
              </w:rPr>
              <w:t>54</w:t>
            </w:r>
            <w:r>
              <w:rPr>
                <w:sz w:val="24"/>
                <w:szCs w:val="24"/>
              </w:rPr>
              <w:t>）+</w:t>
            </w:r>
            <w:r>
              <w:rPr>
                <w:rFonts w:hint="eastAsia"/>
                <w:sz w:val="24"/>
                <w:szCs w:val="24"/>
              </w:rPr>
              <w:t>0</w:t>
            </w:r>
            <w:r>
              <w:rPr>
                <w:sz w:val="24"/>
                <w:szCs w:val="24"/>
              </w:rPr>
              <w:t>+</w:t>
            </w:r>
            <w:r>
              <w:rPr>
                <w:rFonts w:hint="eastAsia"/>
                <w:sz w:val="24"/>
                <w:szCs w:val="24"/>
                <w:lang w:val="en-US" w:eastAsia="zh-CN"/>
              </w:rPr>
              <w:t>12.78</w:t>
            </w:r>
            <w:r>
              <w:rPr>
                <w:rFonts w:hint="eastAsia"/>
                <w:sz w:val="24"/>
                <w:szCs w:val="24"/>
              </w:rPr>
              <w:t>=</w:t>
            </w:r>
            <w:r>
              <w:rPr>
                <w:rFonts w:hint="eastAsia"/>
                <w:sz w:val="24"/>
                <w:szCs w:val="24"/>
                <w:lang w:val="en-US" w:eastAsia="zh-CN"/>
              </w:rPr>
              <w:t>66.805</w:t>
            </w:r>
            <w:r>
              <w:rPr>
                <w:sz w:val="24"/>
                <w:szCs w:val="24"/>
              </w:rPr>
              <w:t>m</w:t>
            </w:r>
            <w:r>
              <w:rPr>
                <w:sz w:val="24"/>
                <w:szCs w:val="24"/>
                <w:vertAlign w:val="superscript"/>
              </w:rPr>
              <w:t>3</w:t>
            </w:r>
            <w:r>
              <w:rPr>
                <w:sz w:val="24"/>
                <w:szCs w:val="24"/>
              </w:rPr>
              <w:t>。</w:t>
            </w:r>
          </w:p>
          <w:p w14:paraId="3736E50D">
            <w:pPr>
              <w:pStyle w:val="2"/>
              <w:spacing w:before="0" w:after="0" w:line="480" w:lineRule="exact"/>
              <w:ind w:right="0" w:firstLine="480" w:firstLineChars="200"/>
              <w:rPr>
                <w:sz w:val="24"/>
                <w:szCs w:val="24"/>
              </w:rPr>
            </w:pPr>
            <w:r>
              <w:rPr>
                <w:sz w:val="24"/>
                <w:szCs w:val="24"/>
              </w:rPr>
              <w:t>本项目拟</w:t>
            </w:r>
            <w:r>
              <w:rPr>
                <w:rFonts w:hint="eastAsia"/>
                <w:sz w:val="24"/>
                <w:szCs w:val="24"/>
              </w:rPr>
              <w:t>在雨水排放口前</w:t>
            </w:r>
            <w:r>
              <w:rPr>
                <w:sz w:val="24"/>
                <w:szCs w:val="24"/>
              </w:rPr>
              <w:t>新建一个</w:t>
            </w:r>
            <w:r>
              <w:rPr>
                <w:rFonts w:hint="eastAsia"/>
                <w:sz w:val="24"/>
                <w:szCs w:val="24"/>
                <w:lang w:val="en-US" w:eastAsia="zh-CN"/>
              </w:rPr>
              <w:t>70</w:t>
            </w:r>
            <w:r>
              <w:rPr>
                <w:sz w:val="24"/>
                <w:szCs w:val="24"/>
              </w:rPr>
              <w:t>m</w:t>
            </w:r>
            <w:r>
              <w:rPr>
                <w:rFonts w:hint="eastAsia"/>
                <w:sz w:val="24"/>
                <w:szCs w:val="24"/>
                <w:vertAlign w:val="superscript"/>
              </w:rPr>
              <w:t>3</w:t>
            </w:r>
            <w:r>
              <w:rPr>
                <w:rFonts w:hint="eastAsia"/>
                <w:sz w:val="24"/>
                <w:szCs w:val="24"/>
              </w:rPr>
              <w:t>的</w:t>
            </w:r>
            <w:r>
              <w:rPr>
                <w:sz w:val="24"/>
                <w:szCs w:val="24"/>
              </w:rPr>
              <w:t>事故</w:t>
            </w:r>
            <w:r>
              <w:rPr>
                <w:rFonts w:hint="eastAsia"/>
                <w:sz w:val="24"/>
                <w:szCs w:val="24"/>
              </w:rPr>
              <w:t>应急</w:t>
            </w:r>
            <w:r>
              <w:rPr>
                <w:sz w:val="24"/>
                <w:szCs w:val="24"/>
              </w:rPr>
              <w:t>池作为事故废水临时贮存池。通过完善事故废水收集、处理、排放系统，保证发生泄漏事故</w:t>
            </w:r>
            <w:r>
              <w:rPr>
                <w:rFonts w:hint="eastAsia"/>
                <w:sz w:val="24"/>
                <w:szCs w:val="24"/>
              </w:rPr>
              <w:t>、火灾爆炸事故</w:t>
            </w:r>
            <w:r>
              <w:rPr>
                <w:sz w:val="24"/>
                <w:szCs w:val="24"/>
              </w:rPr>
              <w:t>时，泄漏物料</w:t>
            </w:r>
            <w:r>
              <w:rPr>
                <w:rFonts w:hint="eastAsia"/>
                <w:sz w:val="24"/>
                <w:szCs w:val="24"/>
              </w:rPr>
              <w:t>、消防尾水</w:t>
            </w:r>
            <w:r>
              <w:rPr>
                <w:sz w:val="24"/>
                <w:szCs w:val="24"/>
              </w:rPr>
              <w:t>能迅速、安全地集中到事故应急池，然后针对水质实际情况进行必要的处理，避免对评价范围内的周围农田和河流造成影响。</w:t>
            </w:r>
          </w:p>
          <w:p w14:paraId="7C465911">
            <w:pPr>
              <w:autoSpaceDE w:val="0"/>
              <w:autoSpaceDN w:val="0"/>
              <w:adjustRightInd w:val="0"/>
              <w:snapToGrid w:val="0"/>
              <w:spacing w:line="480" w:lineRule="exact"/>
              <w:ind w:firstLine="480" w:firstLineChars="200"/>
              <w:rPr>
                <w:rFonts w:hint="eastAsia"/>
                <w:bCs/>
                <w:lang w:eastAsia="zh-CN"/>
              </w:rPr>
            </w:pPr>
            <w:r>
              <w:rPr>
                <w:rFonts w:hint="eastAsia"/>
                <w:bCs/>
                <w:lang w:eastAsia="zh-CN"/>
              </w:rPr>
              <w:t>（4）</w:t>
            </w:r>
            <w:r>
              <w:rPr>
                <w:rFonts w:hint="default"/>
                <w:bCs/>
                <w:lang w:val="en-US" w:eastAsia="zh-CN"/>
              </w:rPr>
              <w:t>事故废水“三级”防范措施</w:t>
            </w:r>
          </w:p>
          <w:p w14:paraId="52AD060C">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根据《事故状态下水体污染的预防与控制技术要求》（Q/SY1190-2013），本项目针对废水排放</w:t>
            </w:r>
            <w:r>
              <w:rPr>
                <w:rFonts w:hint="eastAsia"/>
                <w:sz w:val="24"/>
                <w:szCs w:val="24"/>
                <w:lang w:val="en-US" w:eastAsia="zh-CN"/>
              </w:rPr>
              <w:t>采取</w:t>
            </w:r>
            <w:r>
              <w:rPr>
                <w:rFonts w:hint="default"/>
                <w:sz w:val="24"/>
                <w:szCs w:val="24"/>
                <w:lang w:val="en-US" w:eastAsia="zh-CN"/>
              </w:rPr>
              <w:t>三级防控措施来杜绝环境风险事故对环境的造成污染事件。</w:t>
            </w:r>
          </w:p>
          <w:p w14:paraId="77CE07CA">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1）一级防控措施</w:t>
            </w:r>
          </w:p>
          <w:p w14:paraId="6774602F">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本项目针对风险单元地面设置防渗漏、防腐蚀、防淋溶、防流失措施。为防止容器破裂而造成储存液体泄漏至外环境，设置</w:t>
            </w:r>
            <w:r>
              <w:rPr>
                <w:rFonts w:hint="eastAsia"/>
                <w:sz w:val="24"/>
                <w:szCs w:val="24"/>
                <w:lang w:val="en-US" w:eastAsia="zh-CN"/>
              </w:rPr>
              <w:t>收集沟或托盘</w:t>
            </w:r>
            <w:r>
              <w:rPr>
                <w:rFonts w:hint="default"/>
                <w:sz w:val="24"/>
                <w:szCs w:val="24"/>
                <w:lang w:val="en-US" w:eastAsia="zh-CN"/>
              </w:rPr>
              <w:t>，拦截、收集泄漏的物料，防止泄漏物料进入附近水体，污染环境。危废仓库内设导流沟，按0.5%坡向集液坑，导流沟、集液坑、地面均采取防腐防渗，铺设不发火地坪，门口设置防溢流坡，库内配备围挡物、吸附材料、灭火器材等应急物资。若发生少量危废泄漏，采用吸附剂或其他惰性吸附材料进行吸附，及时转移进废弃物容器内；若发生大量危废泄漏，采用挡板、沙土或沙包进行围挡，用应急泵泵入废弃物容器内，并采用吸附材料清理地面。收集的泄漏物及沾染了泄漏物的吸附材料均作为危险废物，委托有资质单位处置。</w:t>
            </w:r>
          </w:p>
          <w:p w14:paraId="7B2F2055">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构筑生产过程中环境安全的第一层防控网，将泄漏物料控制在上述区域内部，防止污染雨水和轻微事故泄漏造成的环境污染。</w:t>
            </w:r>
          </w:p>
          <w:p w14:paraId="199E8421">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2）二级防控措施</w:t>
            </w:r>
          </w:p>
          <w:p w14:paraId="0E39C7ED">
            <w:pPr>
              <w:pStyle w:val="2"/>
              <w:spacing w:before="0" w:after="0" w:line="480" w:lineRule="exact"/>
              <w:ind w:right="0" w:firstLine="480" w:firstLineChars="200"/>
              <w:rPr>
                <w:sz w:val="24"/>
                <w:szCs w:val="24"/>
              </w:rPr>
            </w:pPr>
            <w:r>
              <w:rPr>
                <w:rFonts w:hint="default"/>
                <w:sz w:val="24"/>
                <w:szCs w:val="24"/>
                <w:lang w:val="en-US" w:eastAsia="zh-CN"/>
              </w:rPr>
              <w:t>当企业发生火灾、爆炸事故，需采用灭火器、消防栓灭火，同时外部结合水冷却控制火情，该过程产生消防尾水。在厂区内设置事故收集池，并设计相应的切换装置，正常生产运行时，打开雨水管道阀门，收集的雨水直接排入雨水管网。事故状态下和下雨初期，打开切换装置，收集的事故消防水排入厂内事故池，切断污染物与外部的通道，将污染物控制在厂区内，防止事故泄漏物料和污染消防水造成的环境污染。</w:t>
            </w:r>
          </w:p>
          <w:p w14:paraId="10DEDF5B">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3）三级防控措施</w:t>
            </w:r>
          </w:p>
          <w:p w14:paraId="2D50F8D8">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若未及时收集，消防废水或泄漏物料通过雨水管网流到厂外，立即关闭内部雨水排放口阀门，同时上报企业应急管理机构，迅速向上级管理部门报告并请求外部增援。</w:t>
            </w:r>
          </w:p>
          <w:p w14:paraId="04845B57">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企业应急管理机构</w:t>
            </w:r>
            <w:r>
              <w:rPr>
                <w:rFonts w:hint="eastAsia"/>
                <w:sz w:val="24"/>
                <w:szCs w:val="24"/>
                <w:lang w:val="en-US" w:eastAsia="zh-CN"/>
              </w:rPr>
              <w:t>接到</w:t>
            </w:r>
            <w:r>
              <w:rPr>
                <w:rFonts w:hint="default"/>
                <w:sz w:val="24"/>
                <w:szCs w:val="24"/>
                <w:lang w:val="en-US" w:eastAsia="zh-CN"/>
              </w:rPr>
              <w:t>通知后第一时间携应急物资赶赴现场进行应急处置，同时寻求外部互助单位援助，使用堵漏工具对厂区雨水排放口进行封堵，构筑围堤、造坑导流、挖坑收容，避免事故废水进入市政雨水管网；就地投加药剂处置，降低危险性；启动应急泵，收集事故废水，利用厂区及周边企业事故应急池、槽车或专用收集池等进行暂存。</w:t>
            </w:r>
          </w:p>
          <w:p w14:paraId="24588E9D">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由于本项目所在厂区</w:t>
            </w:r>
            <w:r>
              <w:rPr>
                <w:rFonts w:hint="eastAsia"/>
                <w:sz w:val="24"/>
                <w:szCs w:val="24"/>
                <w:lang w:val="en-US" w:eastAsia="zh-CN"/>
              </w:rPr>
              <w:t>北侧为时家河</w:t>
            </w:r>
            <w:r>
              <w:rPr>
                <w:rFonts w:hint="default"/>
                <w:sz w:val="24"/>
                <w:szCs w:val="24"/>
                <w:lang w:val="en-US" w:eastAsia="zh-CN"/>
              </w:rPr>
              <w:t>，若事故废水不慎进入河流，相关管理部门应立即启动区域环境风险防控措施：关闭</w:t>
            </w:r>
            <w:r>
              <w:rPr>
                <w:rFonts w:hint="eastAsia"/>
                <w:sz w:val="24"/>
                <w:szCs w:val="24"/>
                <w:lang w:val="en-US" w:eastAsia="zh-CN"/>
              </w:rPr>
              <w:t>河道</w:t>
            </w:r>
            <w:r>
              <w:rPr>
                <w:rFonts w:hint="default"/>
                <w:sz w:val="24"/>
                <w:szCs w:val="24"/>
                <w:lang w:val="en-US" w:eastAsia="zh-CN"/>
              </w:rPr>
              <w:t>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0F683A89">
            <w:pPr>
              <w:pStyle w:val="2"/>
              <w:spacing w:before="0" w:after="0" w:line="480" w:lineRule="exact"/>
              <w:ind w:right="0" w:firstLine="480" w:firstLineChars="200"/>
              <w:rPr>
                <w:rFonts w:hint="default"/>
                <w:sz w:val="24"/>
                <w:szCs w:val="24"/>
                <w:lang w:val="en-US" w:eastAsia="zh-CN"/>
              </w:rPr>
            </w:pPr>
            <w:r>
              <w:rPr>
                <w:rFonts w:hint="default"/>
                <w:sz w:val="24"/>
                <w:szCs w:val="24"/>
                <w:lang w:val="en-US" w:eastAsia="zh-CN"/>
              </w:rPr>
              <w:t>此外企业发生突发环境事故时，应按照应急预案中应急响应流程进行信息上报，由</w:t>
            </w:r>
            <w:r>
              <w:rPr>
                <w:rFonts w:hint="eastAsia"/>
                <w:sz w:val="24"/>
                <w:szCs w:val="24"/>
                <w:lang w:val="en-US" w:eastAsia="zh-CN"/>
              </w:rPr>
              <w:t>横山桥镇</w:t>
            </w:r>
            <w:r>
              <w:rPr>
                <w:rFonts w:hint="default"/>
                <w:sz w:val="24"/>
                <w:szCs w:val="24"/>
                <w:lang w:val="en-US" w:eastAsia="zh-CN"/>
              </w:rPr>
              <w:t>应急救援小组调配应急物资赶赴现场。事故范围及影响较大时，需同时上报</w:t>
            </w:r>
            <w:r>
              <w:rPr>
                <w:rFonts w:hint="eastAsia"/>
                <w:sz w:val="24"/>
                <w:szCs w:val="24"/>
                <w:lang w:val="en-US" w:eastAsia="zh-CN"/>
              </w:rPr>
              <w:t>常州经济开发</w:t>
            </w:r>
            <w:r>
              <w:rPr>
                <w:rFonts w:hint="default"/>
                <w:sz w:val="24"/>
                <w:szCs w:val="24"/>
                <w:lang w:val="en-US" w:eastAsia="zh-CN"/>
              </w:rPr>
              <w:t>区，区域所储备的应急物资，主要包括污染物控制类及安全防护类，也可作为应急救援物资紧急调用处理突发环境事故。</w:t>
            </w:r>
          </w:p>
          <w:p w14:paraId="5C8817B8">
            <w:pPr>
              <w:pStyle w:val="2"/>
              <w:spacing w:before="0" w:after="0" w:line="480" w:lineRule="exact"/>
              <w:ind w:right="0" w:firstLine="480" w:firstLineChars="200"/>
              <w:rPr>
                <w:sz w:val="24"/>
                <w:szCs w:val="24"/>
              </w:rPr>
            </w:pPr>
            <w:r>
              <w:rPr>
                <w:rFonts w:hint="default"/>
                <w:sz w:val="24"/>
                <w:szCs w:val="24"/>
                <w:lang w:val="en-US" w:eastAsia="zh-CN"/>
              </w:rPr>
              <w:t>三级防控体系能确保事故状态下的泄漏物料、消防废水等全部处于受控状态，实现对事故废水源头、过程和终端的预防和控制，使环境风险可控，降低对厂区外界环境造成的影响。</w:t>
            </w:r>
          </w:p>
          <w:p w14:paraId="01A52CF0">
            <w:pPr>
              <w:autoSpaceDE w:val="0"/>
              <w:autoSpaceDN w:val="0"/>
              <w:adjustRightInd w:val="0"/>
              <w:snapToGrid w:val="0"/>
              <w:spacing w:line="480" w:lineRule="exact"/>
              <w:ind w:firstLine="480" w:firstLineChars="200"/>
              <w:rPr>
                <w:bCs/>
              </w:rPr>
            </w:pPr>
            <w:r>
              <w:rPr>
                <w:rFonts w:hint="eastAsia"/>
                <w:bCs/>
                <w:lang w:eastAsia="zh-CN"/>
              </w:rPr>
              <w:t>（</w:t>
            </w:r>
            <w:r>
              <w:rPr>
                <w:rFonts w:hint="eastAsia"/>
                <w:bCs/>
                <w:lang w:val="en-US" w:eastAsia="zh-CN"/>
              </w:rPr>
              <w:t>5</w:t>
            </w:r>
            <w:r>
              <w:rPr>
                <w:rFonts w:hint="eastAsia"/>
                <w:bCs/>
                <w:lang w:eastAsia="zh-CN"/>
              </w:rPr>
              <w:t>）</w:t>
            </w:r>
            <w:r>
              <w:rPr>
                <w:bCs/>
              </w:rPr>
              <w:t>环境风险应急预案</w:t>
            </w:r>
          </w:p>
          <w:p w14:paraId="144F7BD4">
            <w:pPr>
              <w:autoSpaceDE w:val="0"/>
              <w:autoSpaceDN w:val="0"/>
              <w:adjustRightInd w:val="0"/>
              <w:snapToGrid w:val="0"/>
              <w:spacing w:line="480" w:lineRule="exact"/>
              <w:ind w:firstLine="480" w:firstLineChars="200"/>
              <w:rPr>
                <w:bCs/>
              </w:rPr>
            </w:pPr>
            <w:r>
              <w:rPr>
                <w:bCs/>
              </w:rPr>
              <w:t>本项目投产前须按照《企业事业单位突发环境事件应急预案备案管理办法（试行）》（环发</w:t>
            </w:r>
            <w:r>
              <w:rPr>
                <w:rFonts w:hint="eastAsia"/>
                <w:bCs/>
                <w:lang w:eastAsia="zh-CN"/>
              </w:rPr>
              <w:t>〔2015〕4号</w:t>
            </w:r>
            <w:r>
              <w:rPr>
                <w:bCs/>
              </w:rPr>
              <w:t>）</w:t>
            </w:r>
            <w:r>
              <w:rPr>
                <w:rFonts w:hint="eastAsia"/>
                <w:bCs/>
              </w:rPr>
              <w:t>、</w:t>
            </w:r>
            <w:r>
              <w:rPr>
                <w:bCs/>
              </w:rPr>
              <w:t>《企事业单位和工业园区突发环境事件应急预案编制导则》（DB32/T 3795-2020）</w:t>
            </w:r>
            <w:r>
              <w:rPr>
                <w:rFonts w:hint="eastAsia"/>
                <w:bCs/>
              </w:rPr>
              <w:t>以及《江苏省环境影响评价文件环境应急相关内容编制要点》（苏环办</w:t>
            </w:r>
            <w:r>
              <w:rPr>
                <w:rFonts w:hint="eastAsia"/>
                <w:bCs/>
                <w:lang w:eastAsia="zh-CN"/>
              </w:rPr>
              <w:t>〔2022〕338号</w:t>
            </w:r>
            <w:r>
              <w:rPr>
                <w:rFonts w:hint="eastAsia"/>
                <w:bCs/>
              </w:rPr>
              <w:t>）</w:t>
            </w:r>
            <w:r>
              <w:rPr>
                <w:bCs/>
              </w:rPr>
              <w:t>等相关文件要求编制突发环境事件应急预案，即：在环境风险评估和应急资源调查的基础上，确定环境应急预案体系，合理选择事件类别，重点说明组织机构及职责、监控预警、信息报告、环境应急监测、环境应急响应、应急终止、保障措施等内容。突发环境事件应急预案经评审完善后，由单位主要负责人签署发布，并报所在地生态环境主管部门备案。建设单位应定期组织学习应急预案和演练，应急队伍要进行专业培训，并要有培训记录和档案。</w:t>
            </w:r>
          </w:p>
          <w:p w14:paraId="0599759B">
            <w:pPr>
              <w:pStyle w:val="2"/>
              <w:spacing w:before="0" w:after="0" w:line="480" w:lineRule="exact"/>
              <w:ind w:right="0" w:firstLine="480" w:firstLineChars="200"/>
            </w:pPr>
            <w:r>
              <w:rPr>
                <w:sz w:val="24"/>
                <w:szCs w:val="24"/>
              </w:rPr>
              <w:t>本项目</w:t>
            </w:r>
            <w:r>
              <w:rPr>
                <w:rFonts w:hint="eastAsia"/>
                <w:sz w:val="24"/>
                <w:szCs w:val="24"/>
              </w:rPr>
              <w:t>拟在雨水排放口前</w:t>
            </w:r>
            <w:r>
              <w:rPr>
                <w:sz w:val="24"/>
                <w:szCs w:val="24"/>
              </w:rPr>
              <w:t>新建一个</w:t>
            </w:r>
            <w:r>
              <w:rPr>
                <w:rFonts w:hint="eastAsia"/>
                <w:sz w:val="24"/>
                <w:szCs w:val="24"/>
                <w:lang w:val="en-US" w:eastAsia="zh-CN"/>
              </w:rPr>
              <w:t>7</w:t>
            </w:r>
            <w:r>
              <w:rPr>
                <w:rFonts w:hint="eastAsia"/>
                <w:sz w:val="24"/>
                <w:szCs w:val="24"/>
              </w:rPr>
              <w:t>0</w:t>
            </w:r>
            <w:r>
              <w:rPr>
                <w:sz w:val="24"/>
                <w:szCs w:val="24"/>
              </w:rPr>
              <w:t>m</w:t>
            </w:r>
            <w:r>
              <w:rPr>
                <w:sz w:val="24"/>
                <w:szCs w:val="24"/>
                <w:vertAlign w:val="superscript"/>
              </w:rPr>
              <w:t>3</w:t>
            </w:r>
            <w:r>
              <w:rPr>
                <w:rFonts w:hint="eastAsia"/>
                <w:sz w:val="24"/>
                <w:szCs w:val="24"/>
              </w:rPr>
              <w:t>的事故应急池</w:t>
            </w:r>
            <w:r>
              <w:rPr>
                <w:sz w:val="24"/>
                <w:szCs w:val="24"/>
              </w:rPr>
              <w:t>作为事故废水</w:t>
            </w:r>
            <w:r>
              <w:rPr>
                <w:rFonts w:hint="eastAsia"/>
                <w:sz w:val="24"/>
                <w:szCs w:val="24"/>
              </w:rPr>
              <w:t>（</w:t>
            </w:r>
            <w:r>
              <w:rPr>
                <w:sz w:val="24"/>
                <w:szCs w:val="24"/>
              </w:rPr>
              <w:t>消防尾水</w:t>
            </w:r>
            <w:r>
              <w:rPr>
                <w:rFonts w:hint="eastAsia"/>
                <w:sz w:val="24"/>
                <w:szCs w:val="24"/>
              </w:rPr>
              <w:t>）</w:t>
            </w:r>
            <w:r>
              <w:rPr>
                <w:sz w:val="24"/>
                <w:szCs w:val="24"/>
              </w:rPr>
              <w:t>临时贮存池</w:t>
            </w:r>
            <w:r>
              <w:rPr>
                <w:rFonts w:hint="eastAsia"/>
                <w:sz w:val="24"/>
                <w:szCs w:val="24"/>
              </w:rPr>
              <w:t>，设置雨水排口阀门以及事故应急池阀门，事故发生时，立即关闭雨水总排口阀门，打开事故应急池阀门，使事故废水自流进入事故应急池中，可有效将事故废水全部截流于厂区内，防止事故废水</w:t>
            </w:r>
            <w:r>
              <w:rPr>
                <w:rFonts w:hint="eastAsia"/>
                <w:sz w:val="24"/>
                <w:szCs w:val="24"/>
                <w:lang w:val="en-US" w:eastAsia="zh-CN"/>
              </w:rPr>
              <w:t>通过</w:t>
            </w:r>
            <w:r>
              <w:rPr>
                <w:rFonts w:hint="eastAsia"/>
                <w:sz w:val="24"/>
                <w:szCs w:val="24"/>
              </w:rPr>
              <w:t>雨水管网</w:t>
            </w:r>
            <w:r>
              <w:rPr>
                <w:rFonts w:hint="eastAsia"/>
                <w:sz w:val="24"/>
                <w:szCs w:val="24"/>
                <w:lang w:val="en-US" w:eastAsia="zh-CN"/>
              </w:rPr>
              <w:t>进入厂区北侧的时家河</w:t>
            </w:r>
            <w:r>
              <w:rPr>
                <w:rFonts w:hint="eastAsia"/>
                <w:sz w:val="24"/>
                <w:szCs w:val="24"/>
              </w:rPr>
              <w:t>。</w:t>
            </w:r>
          </w:p>
          <w:p w14:paraId="446A17AE">
            <w:pPr>
              <w:adjustRightInd w:val="0"/>
              <w:snapToGrid w:val="0"/>
              <w:spacing w:line="480" w:lineRule="exact"/>
              <w:ind w:firstLine="480" w:firstLineChars="200"/>
            </w:pPr>
            <w:r>
              <w:t>（</w:t>
            </w:r>
            <w:r>
              <w:rPr>
                <w:rFonts w:hint="eastAsia"/>
                <w:lang w:val="en-US" w:eastAsia="zh-CN"/>
              </w:rPr>
              <w:t>6</w:t>
            </w:r>
            <w:r>
              <w:t>）与区域突发环境事件应急体系的衔接</w:t>
            </w:r>
          </w:p>
          <w:p w14:paraId="0E2D2823">
            <w:pPr>
              <w:adjustRightInd w:val="0"/>
              <w:snapToGrid w:val="0"/>
              <w:spacing w:line="480" w:lineRule="exact"/>
              <w:ind w:firstLine="480" w:firstLineChars="200"/>
            </w:pPr>
            <w:r>
              <w:t>企业突发环境事件发生后，应立即启动突发环境事件应急预案，组织本单位应急救援队伍和工作人员营救受害人员，疏散、撤离、安置受到威胁的人员，控制危险源，标明危险区域，封锁危险场所，并采取其他防止危害扩大的必要措施，组织开展应急自救工作。当突发环境事件超出公司内部应急处置能力时，建设单位应迅速向</w:t>
            </w:r>
            <w:r>
              <w:rPr>
                <w:rFonts w:hint="eastAsia"/>
              </w:rPr>
              <w:t>遥观</w:t>
            </w:r>
            <w:r>
              <w:t>镇环保办、常州市生态环境局经开区分局、常州市人民政府等上级领导机关报告并请求外部增援。当地政府及有关部门介入后，公司内部应急救援组织将服从外部救援队伍的指挥，并协助进行相应职责的应急救援工作。在处理环境影响事故时，当公司突发环境事件应急预案与上级应急预案相抵触时，以上级应急预案为准。</w:t>
            </w:r>
          </w:p>
          <w:p w14:paraId="47A5FF68">
            <w:pPr>
              <w:adjustRightInd w:val="0"/>
              <w:snapToGrid w:val="0"/>
              <w:spacing w:line="480" w:lineRule="exact"/>
              <w:ind w:firstLine="480" w:firstLineChars="200"/>
            </w:pPr>
            <w:r>
              <w:t>（</w:t>
            </w:r>
            <w:r>
              <w:rPr>
                <w:rFonts w:hint="eastAsia"/>
                <w:lang w:val="en-US" w:eastAsia="zh-CN"/>
              </w:rPr>
              <w:t>7</w:t>
            </w:r>
            <w:r>
              <w:t>）经对照苏环办</w:t>
            </w:r>
            <w:r>
              <w:rPr>
                <w:rFonts w:hint="eastAsia"/>
                <w:lang w:eastAsia="zh-CN"/>
              </w:rPr>
              <w:t>〔2020〕16号</w:t>
            </w:r>
            <w:r>
              <w:t>文</w:t>
            </w:r>
            <w:r>
              <w:rPr>
                <w:rFonts w:hint="eastAsia"/>
              </w:rPr>
              <w:t>、</w:t>
            </w:r>
            <w:r>
              <w:rPr>
                <w:rFonts w:hint="eastAsia"/>
                <w:bCs/>
              </w:rPr>
              <w:t>苏环办</w:t>
            </w:r>
            <w:r>
              <w:rPr>
                <w:rFonts w:hint="eastAsia"/>
                <w:bCs/>
                <w:lang w:eastAsia="zh-CN"/>
              </w:rPr>
              <w:t>〔2022〕338号</w:t>
            </w:r>
            <w:r>
              <w:t>，本项目环境风险防控与应急措施情况具体见表4-</w:t>
            </w:r>
            <w:r>
              <w:rPr>
                <w:rFonts w:hint="eastAsia"/>
                <w:lang w:val="en-US" w:eastAsia="zh-CN"/>
              </w:rPr>
              <w:t>33</w:t>
            </w:r>
            <w:r>
              <w:t>。</w:t>
            </w:r>
          </w:p>
          <w:p w14:paraId="05AF63A0">
            <w:pPr>
              <w:spacing w:line="240" w:lineRule="auto"/>
              <w:jc w:val="center"/>
              <w:rPr>
                <w:b/>
                <w:bCs/>
                <w:sz w:val="21"/>
                <w:szCs w:val="21"/>
              </w:rPr>
            </w:pPr>
            <w:r>
              <w:rPr>
                <w:b/>
                <w:bCs/>
                <w:sz w:val="21"/>
                <w:szCs w:val="21"/>
              </w:rPr>
              <w:t>表4-</w:t>
            </w:r>
            <w:r>
              <w:rPr>
                <w:rFonts w:hint="eastAsia"/>
                <w:b/>
                <w:bCs/>
                <w:sz w:val="21"/>
                <w:szCs w:val="21"/>
                <w:lang w:val="en-US" w:eastAsia="zh-CN"/>
              </w:rPr>
              <w:t>33</w:t>
            </w:r>
            <w:r>
              <w:rPr>
                <w:b/>
                <w:bCs/>
                <w:sz w:val="21"/>
                <w:szCs w:val="21"/>
              </w:rPr>
              <w:t xml:space="preserve">  环境风险防控与应急措施情况</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576"/>
              <w:gridCol w:w="5384"/>
            </w:tblGrid>
            <w:tr w14:paraId="19EDF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Align w:val="center"/>
                </w:tcPr>
                <w:p w14:paraId="72315B77">
                  <w:pPr>
                    <w:adjustRightInd w:val="0"/>
                    <w:snapToGrid w:val="0"/>
                    <w:spacing w:line="240" w:lineRule="auto"/>
                    <w:jc w:val="center"/>
                    <w:rPr>
                      <w:b/>
                      <w:sz w:val="21"/>
                      <w:szCs w:val="21"/>
                    </w:rPr>
                  </w:pPr>
                  <w:r>
                    <w:rPr>
                      <w:b/>
                      <w:sz w:val="21"/>
                      <w:szCs w:val="21"/>
                    </w:rPr>
                    <w:t>类别</w:t>
                  </w:r>
                </w:p>
              </w:tc>
              <w:tc>
                <w:tcPr>
                  <w:tcW w:w="992" w:type="pct"/>
                  <w:vAlign w:val="center"/>
                </w:tcPr>
                <w:p w14:paraId="69B18265">
                  <w:pPr>
                    <w:adjustRightInd w:val="0"/>
                    <w:snapToGrid w:val="0"/>
                    <w:spacing w:line="240" w:lineRule="auto"/>
                    <w:jc w:val="center"/>
                    <w:rPr>
                      <w:b/>
                      <w:sz w:val="21"/>
                      <w:szCs w:val="21"/>
                    </w:rPr>
                  </w:pPr>
                  <w:r>
                    <w:rPr>
                      <w:b/>
                      <w:sz w:val="21"/>
                      <w:szCs w:val="21"/>
                    </w:rPr>
                    <w:t>环境风险单元</w:t>
                  </w:r>
                </w:p>
              </w:tc>
              <w:tc>
                <w:tcPr>
                  <w:tcW w:w="3389" w:type="pct"/>
                  <w:vAlign w:val="center"/>
                </w:tcPr>
                <w:p w14:paraId="0E3C1C1B">
                  <w:pPr>
                    <w:adjustRightInd w:val="0"/>
                    <w:snapToGrid w:val="0"/>
                    <w:spacing w:line="240" w:lineRule="auto"/>
                    <w:jc w:val="center"/>
                    <w:rPr>
                      <w:b/>
                      <w:sz w:val="21"/>
                      <w:szCs w:val="21"/>
                    </w:rPr>
                  </w:pPr>
                  <w:r>
                    <w:rPr>
                      <w:b/>
                      <w:sz w:val="21"/>
                      <w:szCs w:val="21"/>
                    </w:rPr>
                    <w:t>风险防控、应急措施</w:t>
                  </w:r>
                </w:p>
              </w:tc>
            </w:tr>
            <w:tr w14:paraId="537D3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Align w:val="center"/>
                </w:tcPr>
                <w:p w14:paraId="0AF30722">
                  <w:pPr>
                    <w:adjustRightInd w:val="0"/>
                    <w:snapToGrid w:val="0"/>
                    <w:spacing w:line="240" w:lineRule="auto"/>
                    <w:jc w:val="center"/>
                    <w:rPr>
                      <w:sz w:val="21"/>
                      <w:szCs w:val="21"/>
                    </w:rPr>
                  </w:pPr>
                  <w:r>
                    <w:rPr>
                      <w:sz w:val="21"/>
                      <w:szCs w:val="21"/>
                    </w:rPr>
                    <w:t>主体</w:t>
                  </w:r>
                </w:p>
                <w:p w14:paraId="0933496A">
                  <w:pPr>
                    <w:adjustRightInd w:val="0"/>
                    <w:snapToGrid w:val="0"/>
                    <w:spacing w:line="240" w:lineRule="auto"/>
                    <w:jc w:val="center"/>
                    <w:rPr>
                      <w:sz w:val="21"/>
                      <w:szCs w:val="21"/>
                    </w:rPr>
                  </w:pPr>
                  <w:r>
                    <w:rPr>
                      <w:sz w:val="21"/>
                      <w:szCs w:val="21"/>
                    </w:rPr>
                    <w:t>工程</w:t>
                  </w:r>
                </w:p>
              </w:tc>
              <w:tc>
                <w:tcPr>
                  <w:tcW w:w="992" w:type="pct"/>
                  <w:vAlign w:val="center"/>
                </w:tcPr>
                <w:p w14:paraId="535ADC0F">
                  <w:pPr>
                    <w:widowControl/>
                    <w:snapToGrid w:val="0"/>
                    <w:spacing w:line="240" w:lineRule="auto"/>
                    <w:jc w:val="center"/>
                    <w:rPr>
                      <w:rFonts w:hint="default" w:eastAsia="仿宋"/>
                      <w:sz w:val="21"/>
                      <w:szCs w:val="21"/>
                      <w:lang w:val="en-US" w:eastAsia="zh-CN"/>
                    </w:rPr>
                  </w:pPr>
                  <w:r>
                    <w:rPr>
                      <w:rFonts w:hint="eastAsia"/>
                      <w:sz w:val="21"/>
                      <w:szCs w:val="21"/>
                      <w:lang w:val="en-US" w:eastAsia="zh-CN"/>
                    </w:rPr>
                    <w:t>生产车间</w:t>
                  </w:r>
                </w:p>
              </w:tc>
              <w:tc>
                <w:tcPr>
                  <w:tcW w:w="3389" w:type="pct"/>
                  <w:vAlign w:val="center"/>
                </w:tcPr>
                <w:p w14:paraId="40E086C8">
                  <w:pPr>
                    <w:adjustRightInd w:val="0"/>
                    <w:snapToGrid w:val="0"/>
                    <w:spacing w:line="240" w:lineRule="auto"/>
                    <w:jc w:val="left"/>
                    <w:rPr>
                      <w:sz w:val="21"/>
                      <w:szCs w:val="21"/>
                    </w:rPr>
                  </w:pPr>
                  <w:r>
                    <w:rPr>
                      <w:sz w:val="21"/>
                      <w:szCs w:val="21"/>
                    </w:rPr>
                    <w:t>①车间内设灭火器、消防栓；</w:t>
                  </w:r>
                </w:p>
                <w:p w14:paraId="0C19C838">
                  <w:pPr>
                    <w:adjustRightInd w:val="0"/>
                    <w:snapToGrid w:val="0"/>
                    <w:spacing w:line="240" w:lineRule="auto"/>
                    <w:jc w:val="left"/>
                    <w:rPr>
                      <w:sz w:val="21"/>
                      <w:szCs w:val="21"/>
                    </w:rPr>
                  </w:pPr>
                  <w:r>
                    <w:rPr>
                      <w:sz w:val="21"/>
                      <w:szCs w:val="21"/>
                    </w:rPr>
                    <w:t>②消防器材定期保养检查，确保事故时可有效使用；</w:t>
                  </w:r>
                </w:p>
                <w:p w14:paraId="2018C11D">
                  <w:pPr>
                    <w:adjustRightInd w:val="0"/>
                    <w:snapToGrid w:val="0"/>
                    <w:spacing w:line="240" w:lineRule="auto"/>
                    <w:jc w:val="left"/>
                    <w:rPr>
                      <w:sz w:val="21"/>
                      <w:szCs w:val="21"/>
                    </w:rPr>
                  </w:pPr>
                  <w:r>
                    <w:rPr>
                      <w:sz w:val="21"/>
                      <w:szCs w:val="21"/>
                    </w:rPr>
                    <w:t>③采用防爆型电气设备；</w:t>
                  </w:r>
                </w:p>
                <w:p w14:paraId="2DC7B90C">
                  <w:pPr>
                    <w:adjustRightInd w:val="0"/>
                    <w:snapToGrid w:val="0"/>
                    <w:spacing w:line="240" w:lineRule="auto"/>
                    <w:jc w:val="left"/>
                    <w:rPr>
                      <w:sz w:val="21"/>
                      <w:szCs w:val="21"/>
                    </w:rPr>
                  </w:pPr>
                  <w:r>
                    <w:rPr>
                      <w:sz w:val="21"/>
                      <w:szCs w:val="21"/>
                    </w:rPr>
                    <w:t>④火灾报警器报警时，现场人员应快速疏散，强制排风、关停设备，并启动应急响应程序，应急处置人员在做好防护工作的情况下，检查泄露点并及时处理；</w:t>
                  </w:r>
                </w:p>
                <w:p w14:paraId="7C434540">
                  <w:pPr>
                    <w:adjustRightInd w:val="0"/>
                    <w:snapToGrid w:val="0"/>
                    <w:spacing w:line="240" w:lineRule="auto"/>
                    <w:jc w:val="left"/>
                    <w:rPr>
                      <w:sz w:val="21"/>
                      <w:szCs w:val="21"/>
                    </w:rPr>
                  </w:pPr>
                  <w:r>
                    <w:rPr>
                      <w:sz w:val="21"/>
                      <w:szCs w:val="21"/>
                    </w:rPr>
                    <w:t>⑤若发生泄漏、火灾时，在做好防护工作的前提下，及时堵漏、灭火；若液态物料、消防废水不慎流出车间外，应及时关闭雨水排口阀门，通过雨水管网将物料、废水拦截，防止其</w:t>
                  </w:r>
                  <w:r>
                    <w:rPr>
                      <w:rFonts w:hint="eastAsia"/>
                      <w:sz w:val="21"/>
                      <w:szCs w:val="21"/>
                    </w:rPr>
                    <w:t>进入</w:t>
                  </w:r>
                  <w:r>
                    <w:rPr>
                      <w:sz w:val="21"/>
                      <w:szCs w:val="21"/>
                    </w:rPr>
                    <w:t>外环境；</w:t>
                  </w:r>
                </w:p>
              </w:tc>
            </w:tr>
            <w:tr w14:paraId="62F7D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Align w:val="center"/>
                </w:tcPr>
                <w:p w14:paraId="69EC3208">
                  <w:pPr>
                    <w:adjustRightInd w:val="0"/>
                    <w:snapToGrid w:val="0"/>
                    <w:spacing w:line="240" w:lineRule="auto"/>
                    <w:jc w:val="center"/>
                    <w:rPr>
                      <w:sz w:val="21"/>
                      <w:szCs w:val="21"/>
                    </w:rPr>
                  </w:pPr>
                  <w:r>
                    <w:rPr>
                      <w:sz w:val="21"/>
                      <w:szCs w:val="21"/>
                    </w:rPr>
                    <w:t>储运</w:t>
                  </w:r>
                </w:p>
                <w:p w14:paraId="78FC76C1">
                  <w:pPr>
                    <w:adjustRightInd w:val="0"/>
                    <w:snapToGrid w:val="0"/>
                    <w:spacing w:line="240" w:lineRule="auto"/>
                    <w:jc w:val="center"/>
                    <w:rPr>
                      <w:sz w:val="21"/>
                      <w:szCs w:val="21"/>
                    </w:rPr>
                  </w:pPr>
                  <w:r>
                    <w:rPr>
                      <w:sz w:val="21"/>
                      <w:szCs w:val="21"/>
                    </w:rPr>
                    <w:t>系统</w:t>
                  </w:r>
                </w:p>
              </w:tc>
              <w:tc>
                <w:tcPr>
                  <w:tcW w:w="992" w:type="pct"/>
                  <w:vAlign w:val="center"/>
                </w:tcPr>
                <w:p w14:paraId="71C84A67">
                  <w:pPr>
                    <w:widowControl/>
                    <w:adjustRightInd w:val="0"/>
                    <w:snapToGrid w:val="0"/>
                    <w:spacing w:line="240" w:lineRule="auto"/>
                    <w:jc w:val="center"/>
                    <w:rPr>
                      <w:kern w:val="0"/>
                      <w:sz w:val="21"/>
                      <w:szCs w:val="21"/>
                    </w:rPr>
                  </w:pPr>
                  <w:r>
                    <w:rPr>
                      <w:kern w:val="0"/>
                      <w:sz w:val="21"/>
                      <w:szCs w:val="21"/>
                    </w:rPr>
                    <w:t>原料</w:t>
                  </w:r>
                  <w:r>
                    <w:rPr>
                      <w:rFonts w:hint="eastAsia"/>
                      <w:kern w:val="0"/>
                      <w:sz w:val="21"/>
                      <w:szCs w:val="21"/>
                    </w:rPr>
                    <w:t>堆场</w:t>
                  </w:r>
                </w:p>
              </w:tc>
              <w:tc>
                <w:tcPr>
                  <w:tcW w:w="3389" w:type="pct"/>
                  <w:vAlign w:val="center"/>
                </w:tcPr>
                <w:p w14:paraId="250EC2AB">
                  <w:pPr>
                    <w:adjustRightInd w:val="0"/>
                    <w:snapToGrid w:val="0"/>
                    <w:spacing w:line="240" w:lineRule="auto"/>
                    <w:jc w:val="left"/>
                    <w:rPr>
                      <w:sz w:val="21"/>
                      <w:szCs w:val="21"/>
                    </w:rPr>
                  </w:pPr>
                  <w:r>
                    <w:rPr>
                      <w:sz w:val="21"/>
                      <w:szCs w:val="21"/>
                    </w:rPr>
                    <w:t>①仓库内按原材料分类编号，各原材料均分开堆放；</w:t>
                  </w:r>
                </w:p>
                <w:p w14:paraId="7E3C12FB">
                  <w:pPr>
                    <w:adjustRightInd w:val="0"/>
                    <w:snapToGrid w:val="0"/>
                    <w:spacing w:line="240" w:lineRule="auto"/>
                    <w:jc w:val="left"/>
                    <w:rPr>
                      <w:sz w:val="21"/>
                      <w:szCs w:val="21"/>
                    </w:rPr>
                  </w:pPr>
                  <w:r>
                    <w:rPr>
                      <w:sz w:val="21"/>
                      <w:szCs w:val="21"/>
                    </w:rPr>
                    <w:t>②仓库门口设有防流散坡；</w:t>
                  </w:r>
                </w:p>
                <w:p w14:paraId="5314912B">
                  <w:pPr>
                    <w:adjustRightInd w:val="0"/>
                    <w:snapToGrid w:val="0"/>
                    <w:spacing w:line="240" w:lineRule="auto"/>
                    <w:jc w:val="left"/>
                    <w:rPr>
                      <w:sz w:val="21"/>
                      <w:szCs w:val="21"/>
                    </w:rPr>
                  </w:pPr>
                  <w:r>
                    <w:rPr>
                      <w:sz w:val="21"/>
                      <w:szCs w:val="21"/>
                    </w:rPr>
                    <w:t>③仓库内设有消防栓、灭火器等消防器材，并设有洗眼器；</w:t>
                  </w:r>
                </w:p>
                <w:p w14:paraId="018D245C">
                  <w:pPr>
                    <w:adjustRightInd w:val="0"/>
                    <w:snapToGrid w:val="0"/>
                    <w:spacing w:line="240" w:lineRule="auto"/>
                    <w:jc w:val="left"/>
                    <w:rPr>
                      <w:sz w:val="21"/>
                      <w:szCs w:val="21"/>
                    </w:rPr>
                  </w:pPr>
                  <w:r>
                    <w:rPr>
                      <w:sz w:val="21"/>
                      <w:szCs w:val="21"/>
                    </w:rPr>
                    <w:t>④仓库内外设有视频监控。</w:t>
                  </w:r>
                </w:p>
              </w:tc>
            </w:tr>
            <w:tr w14:paraId="1F2B9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Align w:val="center"/>
                </w:tcPr>
                <w:p w14:paraId="5ECE4EFC">
                  <w:pPr>
                    <w:adjustRightInd w:val="0"/>
                    <w:snapToGrid w:val="0"/>
                    <w:spacing w:line="240" w:lineRule="auto"/>
                    <w:jc w:val="center"/>
                    <w:rPr>
                      <w:sz w:val="21"/>
                      <w:szCs w:val="21"/>
                    </w:rPr>
                  </w:pPr>
                  <w:r>
                    <w:rPr>
                      <w:sz w:val="21"/>
                      <w:szCs w:val="21"/>
                    </w:rPr>
                    <w:t>公辅</w:t>
                  </w:r>
                </w:p>
                <w:p w14:paraId="35FA1425">
                  <w:pPr>
                    <w:adjustRightInd w:val="0"/>
                    <w:snapToGrid w:val="0"/>
                    <w:spacing w:line="240" w:lineRule="auto"/>
                    <w:jc w:val="center"/>
                    <w:rPr>
                      <w:sz w:val="21"/>
                      <w:szCs w:val="21"/>
                    </w:rPr>
                  </w:pPr>
                  <w:r>
                    <w:rPr>
                      <w:sz w:val="21"/>
                      <w:szCs w:val="21"/>
                    </w:rPr>
                    <w:t>工程</w:t>
                  </w:r>
                </w:p>
              </w:tc>
              <w:tc>
                <w:tcPr>
                  <w:tcW w:w="992" w:type="pct"/>
                  <w:vAlign w:val="center"/>
                </w:tcPr>
                <w:p w14:paraId="02E0CC00">
                  <w:pPr>
                    <w:widowControl/>
                    <w:adjustRightInd w:val="0"/>
                    <w:snapToGrid w:val="0"/>
                    <w:spacing w:line="240" w:lineRule="auto"/>
                    <w:jc w:val="center"/>
                    <w:rPr>
                      <w:kern w:val="0"/>
                      <w:sz w:val="21"/>
                      <w:szCs w:val="21"/>
                    </w:rPr>
                  </w:pPr>
                  <w:r>
                    <w:rPr>
                      <w:kern w:val="0"/>
                      <w:sz w:val="21"/>
                      <w:szCs w:val="21"/>
                    </w:rPr>
                    <w:t>公用工程</w:t>
                  </w:r>
                </w:p>
              </w:tc>
              <w:tc>
                <w:tcPr>
                  <w:tcW w:w="3389" w:type="pct"/>
                  <w:vAlign w:val="center"/>
                </w:tcPr>
                <w:p w14:paraId="599A3BFE">
                  <w:pPr>
                    <w:adjustRightInd w:val="0"/>
                    <w:snapToGrid w:val="0"/>
                    <w:spacing w:line="240" w:lineRule="auto"/>
                    <w:jc w:val="left"/>
                    <w:rPr>
                      <w:sz w:val="21"/>
                      <w:szCs w:val="21"/>
                    </w:rPr>
                  </w:pPr>
                  <w:r>
                    <w:rPr>
                      <w:sz w:val="21"/>
                      <w:szCs w:val="21"/>
                    </w:rPr>
                    <w:t>设置灭火器、室内消防栓，设有视频监控。</w:t>
                  </w:r>
                </w:p>
              </w:tc>
            </w:tr>
            <w:tr w14:paraId="44F38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restart"/>
                  <w:vAlign w:val="center"/>
                </w:tcPr>
                <w:p w14:paraId="42B8FE48">
                  <w:pPr>
                    <w:adjustRightInd w:val="0"/>
                    <w:snapToGrid w:val="0"/>
                    <w:spacing w:line="240" w:lineRule="auto"/>
                    <w:jc w:val="center"/>
                    <w:rPr>
                      <w:sz w:val="21"/>
                      <w:szCs w:val="21"/>
                    </w:rPr>
                  </w:pPr>
                  <w:r>
                    <w:rPr>
                      <w:sz w:val="21"/>
                      <w:szCs w:val="21"/>
                    </w:rPr>
                    <w:t>环保</w:t>
                  </w:r>
                </w:p>
                <w:p w14:paraId="3A94F9BF">
                  <w:pPr>
                    <w:adjustRightInd w:val="0"/>
                    <w:snapToGrid w:val="0"/>
                    <w:spacing w:line="240" w:lineRule="auto"/>
                    <w:jc w:val="center"/>
                    <w:rPr>
                      <w:sz w:val="21"/>
                      <w:szCs w:val="21"/>
                    </w:rPr>
                  </w:pPr>
                  <w:r>
                    <w:rPr>
                      <w:sz w:val="21"/>
                      <w:szCs w:val="21"/>
                    </w:rPr>
                    <w:t>设施</w:t>
                  </w:r>
                </w:p>
              </w:tc>
              <w:tc>
                <w:tcPr>
                  <w:tcW w:w="992" w:type="pct"/>
                  <w:vAlign w:val="center"/>
                </w:tcPr>
                <w:p w14:paraId="5E4F3D15">
                  <w:pPr>
                    <w:adjustRightInd w:val="0"/>
                    <w:snapToGrid w:val="0"/>
                    <w:spacing w:line="240" w:lineRule="auto"/>
                    <w:jc w:val="center"/>
                    <w:rPr>
                      <w:sz w:val="21"/>
                      <w:szCs w:val="21"/>
                    </w:rPr>
                  </w:pPr>
                  <w:r>
                    <w:rPr>
                      <w:sz w:val="21"/>
                      <w:szCs w:val="21"/>
                    </w:rPr>
                    <w:t>废水</w:t>
                  </w:r>
                </w:p>
              </w:tc>
              <w:tc>
                <w:tcPr>
                  <w:tcW w:w="3389" w:type="pct"/>
                  <w:vAlign w:val="center"/>
                </w:tcPr>
                <w:p w14:paraId="382D46E0">
                  <w:pPr>
                    <w:adjustRightInd w:val="0"/>
                    <w:snapToGrid w:val="0"/>
                    <w:spacing w:line="240" w:lineRule="auto"/>
                    <w:jc w:val="left"/>
                    <w:rPr>
                      <w:sz w:val="21"/>
                      <w:szCs w:val="21"/>
                    </w:rPr>
                  </w:pPr>
                  <w:r>
                    <w:rPr>
                      <w:sz w:val="21"/>
                      <w:szCs w:val="21"/>
                    </w:rPr>
                    <w:t>①按</w:t>
                  </w:r>
                  <w:r>
                    <w:rPr>
                      <w:rFonts w:hint="eastAsia"/>
                      <w:sz w:val="21"/>
                      <w:szCs w:val="21"/>
                      <w:lang w:eastAsia="zh-CN"/>
                    </w:rPr>
                    <w:t>“</w:t>
                  </w:r>
                  <w:r>
                    <w:rPr>
                      <w:sz w:val="21"/>
                      <w:szCs w:val="21"/>
                    </w:rPr>
                    <w:t>雨污分流</w:t>
                  </w:r>
                  <w:r>
                    <w:rPr>
                      <w:rFonts w:hint="eastAsia"/>
                      <w:sz w:val="21"/>
                      <w:szCs w:val="21"/>
                      <w:lang w:eastAsia="zh-CN"/>
                    </w:rPr>
                    <w:t>”</w:t>
                  </w:r>
                  <w:r>
                    <w:rPr>
                      <w:sz w:val="21"/>
                      <w:szCs w:val="21"/>
                    </w:rPr>
                    <w:t>建设，污水排放口按要求规范整治；雨水排放口设有可控阀门，并配有专人负责紧急情况下关闭雨水排口；</w:t>
                  </w:r>
                </w:p>
                <w:p w14:paraId="0023304D">
                  <w:pPr>
                    <w:adjustRightInd w:val="0"/>
                    <w:snapToGrid w:val="0"/>
                    <w:spacing w:line="240" w:lineRule="auto"/>
                    <w:jc w:val="left"/>
                    <w:rPr>
                      <w:sz w:val="21"/>
                      <w:szCs w:val="21"/>
                    </w:rPr>
                  </w:pPr>
                  <w:r>
                    <w:rPr>
                      <w:sz w:val="21"/>
                      <w:szCs w:val="21"/>
                    </w:rPr>
                    <w:t>②厂区内</w:t>
                  </w:r>
                  <w:r>
                    <w:rPr>
                      <w:rFonts w:hint="eastAsia"/>
                      <w:sz w:val="21"/>
                      <w:szCs w:val="21"/>
                    </w:rPr>
                    <w:t>拟</w:t>
                  </w:r>
                  <w:r>
                    <w:rPr>
                      <w:sz w:val="21"/>
                      <w:szCs w:val="21"/>
                    </w:rPr>
                    <w:t>设置1座</w:t>
                  </w:r>
                  <w:r>
                    <w:rPr>
                      <w:rFonts w:hint="eastAsia"/>
                      <w:sz w:val="21"/>
                      <w:szCs w:val="21"/>
                      <w:lang w:val="en-US" w:eastAsia="zh-CN"/>
                    </w:rPr>
                    <w:t>7</w:t>
                  </w:r>
                  <w:r>
                    <w:rPr>
                      <w:sz w:val="21"/>
                      <w:szCs w:val="21"/>
                    </w:rPr>
                    <w:t>0m</w:t>
                  </w:r>
                  <w:r>
                    <w:rPr>
                      <w:sz w:val="21"/>
                      <w:szCs w:val="21"/>
                      <w:vertAlign w:val="superscript"/>
                    </w:rPr>
                    <w:t>3</w:t>
                  </w:r>
                  <w:r>
                    <w:rPr>
                      <w:sz w:val="21"/>
                      <w:szCs w:val="21"/>
                    </w:rPr>
                    <w:t>应急事故池，并设有控制阀门和应急泵；</w:t>
                  </w:r>
                </w:p>
                <w:p w14:paraId="4DC39F1B">
                  <w:pPr>
                    <w:adjustRightInd w:val="0"/>
                    <w:snapToGrid w:val="0"/>
                    <w:spacing w:line="240" w:lineRule="auto"/>
                    <w:jc w:val="left"/>
                    <w:rPr>
                      <w:sz w:val="21"/>
                      <w:szCs w:val="21"/>
                    </w:rPr>
                  </w:pPr>
                  <w:r>
                    <w:rPr>
                      <w:sz w:val="21"/>
                      <w:szCs w:val="21"/>
                    </w:rPr>
                    <w:t>③定期检查跑、冒、滴、漏，保持容器完好无损，定期检查污水处理相应管线下地沟的畅通性，确保出现事故时能进入事故池；</w:t>
                  </w:r>
                </w:p>
                <w:p w14:paraId="0F1F1E5A">
                  <w:pPr>
                    <w:adjustRightInd w:val="0"/>
                    <w:snapToGrid w:val="0"/>
                    <w:spacing w:line="240" w:lineRule="auto"/>
                    <w:jc w:val="left"/>
                    <w:rPr>
                      <w:sz w:val="21"/>
                      <w:szCs w:val="21"/>
                    </w:rPr>
                  </w:pPr>
                  <w:r>
                    <w:rPr>
                      <w:sz w:val="21"/>
                      <w:szCs w:val="21"/>
                    </w:rPr>
                    <w:t>④做好日常水质监测工作，当出水水质出现异常或污水处理装置出现异常，立即检查，必要时停产。</w:t>
                  </w:r>
                </w:p>
              </w:tc>
            </w:tr>
            <w:tr w14:paraId="5D717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continue"/>
                  <w:vAlign w:val="center"/>
                </w:tcPr>
                <w:p w14:paraId="2E94AA11">
                  <w:pPr>
                    <w:adjustRightInd w:val="0"/>
                    <w:snapToGrid w:val="0"/>
                    <w:spacing w:line="240" w:lineRule="auto"/>
                    <w:jc w:val="center"/>
                    <w:rPr>
                      <w:sz w:val="21"/>
                      <w:szCs w:val="21"/>
                    </w:rPr>
                  </w:pPr>
                </w:p>
              </w:tc>
              <w:tc>
                <w:tcPr>
                  <w:tcW w:w="992" w:type="pct"/>
                  <w:vAlign w:val="center"/>
                </w:tcPr>
                <w:p w14:paraId="4FAA2DB7">
                  <w:pPr>
                    <w:adjustRightInd w:val="0"/>
                    <w:snapToGrid w:val="0"/>
                    <w:spacing w:line="240" w:lineRule="auto"/>
                    <w:jc w:val="center"/>
                    <w:rPr>
                      <w:sz w:val="21"/>
                      <w:szCs w:val="21"/>
                    </w:rPr>
                  </w:pPr>
                  <w:r>
                    <w:rPr>
                      <w:sz w:val="21"/>
                      <w:szCs w:val="21"/>
                    </w:rPr>
                    <w:t>固废</w:t>
                  </w:r>
                </w:p>
              </w:tc>
              <w:tc>
                <w:tcPr>
                  <w:tcW w:w="3389" w:type="pct"/>
                  <w:vAlign w:val="center"/>
                </w:tcPr>
                <w:p w14:paraId="295E7305">
                  <w:pPr>
                    <w:adjustRightInd w:val="0"/>
                    <w:snapToGrid w:val="0"/>
                    <w:spacing w:line="240" w:lineRule="auto"/>
                    <w:jc w:val="left"/>
                    <w:rPr>
                      <w:sz w:val="21"/>
                      <w:szCs w:val="21"/>
                    </w:rPr>
                  </w:pPr>
                  <w:r>
                    <w:rPr>
                      <w:sz w:val="21"/>
                      <w:szCs w:val="21"/>
                    </w:rPr>
                    <w:t>①厂区内</w:t>
                  </w:r>
                  <w:r>
                    <w:rPr>
                      <w:rFonts w:hint="eastAsia"/>
                      <w:sz w:val="21"/>
                      <w:szCs w:val="21"/>
                      <w:lang w:val="en-US" w:eastAsia="zh-CN"/>
                    </w:rPr>
                    <w:t>拟</w:t>
                  </w:r>
                  <w:r>
                    <w:rPr>
                      <w:sz w:val="21"/>
                      <w:szCs w:val="21"/>
                    </w:rPr>
                    <w:t>设置1座面积</w:t>
                  </w:r>
                  <w:r>
                    <w:rPr>
                      <w:rFonts w:hint="eastAsia"/>
                      <w:sz w:val="21"/>
                      <w:szCs w:val="21"/>
                      <w:lang w:val="en-US" w:eastAsia="zh-CN"/>
                    </w:rPr>
                    <w:t>20</w:t>
                  </w:r>
                  <w:r>
                    <w:rPr>
                      <w:sz w:val="21"/>
                      <w:szCs w:val="21"/>
                    </w:rPr>
                    <w:t>m</w:t>
                  </w:r>
                  <w:r>
                    <w:rPr>
                      <w:sz w:val="21"/>
                      <w:szCs w:val="21"/>
                      <w:vertAlign w:val="superscript"/>
                    </w:rPr>
                    <w:t>2</w:t>
                  </w:r>
                  <w:r>
                    <w:rPr>
                      <w:sz w:val="21"/>
                      <w:szCs w:val="21"/>
                    </w:rPr>
                    <w:t>的危废仓库，并按</w:t>
                  </w:r>
                  <w:r>
                    <w:rPr>
                      <w:rFonts w:hint="eastAsia"/>
                      <w:sz w:val="21"/>
                      <w:szCs w:val="21"/>
                      <w:lang w:eastAsia="zh-CN"/>
                    </w:rPr>
                    <w:t>“</w:t>
                  </w:r>
                  <w:r>
                    <w:rPr>
                      <w:sz w:val="21"/>
                      <w:szCs w:val="21"/>
                    </w:rPr>
                    <w:t>防腐、防渗、防流散</w:t>
                  </w:r>
                  <w:r>
                    <w:rPr>
                      <w:rFonts w:hint="eastAsia"/>
                      <w:sz w:val="21"/>
                      <w:szCs w:val="21"/>
                      <w:lang w:eastAsia="zh-CN"/>
                    </w:rPr>
                    <w:t>”</w:t>
                  </w:r>
                  <w:r>
                    <w:rPr>
                      <w:sz w:val="21"/>
                      <w:szCs w:val="21"/>
                    </w:rPr>
                    <w:t>等要求设置，并配备灭火器等应急物资，装有监控探头；</w:t>
                  </w:r>
                </w:p>
                <w:p w14:paraId="4DE8D87F">
                  <w:pPr>
                    <w:adjustRightInd w:val="0"/>
                    <w:snapToGrid w:val="0"/>
                    <w:spacing w:line="240" w:lineRule="auto"/>
                    <w:jc w:val="left"/>
                    <w:rPr>
                      <w:sz w:val="21"/>
                      <w:szCs w:val="21"/>
                    </w:rPr>
                  </w:pPr>
                  <w:r>
                    <w:rPr>
                      <w:sz w:val="21"/>
                      <w:szCs w:val="21"/>
                    </w:rPr>
                    <w:t>②厂区内</w:t>
                  </w:r>
                  <w:r>
                    <w:rPr>
                      <w:rFonts w:hint="eastAsia"/>
                      <w:sz w:val="21"/>
                      <w:szCs w:val="21"/>
                      <w:lang w:val="en-US" w:eastAsia="zh-CN"/>
                    </w:rPr>
                    <w:t>拟</w:t>
                  </w:r>
                  <w:r>
                    <w:rPr>
                      <w:sz w:val="21"/>
                      <w:szCs w:val="21"/>
                    </w:rPr>
                    <w:t>设置1座</w:t>
                  </w:r>
                  <w:r>
                    <w:rPr>
                      <w:rFonts w:hint="eastAsia"/>
                      <w:sz w:val="21"/>
                      <w:szCs w:val="21"/>
                      <w:lang w:val="en-US" w:eastAsia="zh-CN"/>
                    </w:rPr>
                    <w:t>100</w:t>
                  </w:r>
                  <w:r>
                    <w:rPr>
                      <w:sz w:val="21"/>
                      <w:szCs w:val="21"/>
                    </w:rPr>
                    <w:t>m</w:t>
                  </w:r>
                  <w:r>
                    <w:rPr>
                      <w:sz w:val="21"/>
                      <w:szCs w:val="21"/>
                      <w:vertAlign w:val="superscript"/>
                    </w:rPr>
                    <w:t>2</w:t>
                  </w:r>
                  <w:r>
                    <w:rPr>
                      <w:sz w:val="21"/>
                      <w:szCs w:val="21"/>
                    </w:rPr>
                    <w:t>的一般固废堆场，堆场设挡水坡，配有一定的应急设施；</w:t>
                  </w:r>
                </w:p>
                <w:p w14:paraId="70BCAA01">
                  <w:pPr>
                    <w:adjustRightInd w:val="0"/>
                    <w:snapToGrid w:val="0"/>
                    <w:spacing w:line="240" w:lineRule="auto"/>
                    <w:jc w:val="left"/>
                    <w:rPr>
                      <w:sz w:val="21"/>
                      <w:szCs w:val="21"/>
                    </w:rPr>
                  </w:pPr>
                  <w:r>
                    <w:rPr>
                      <w:sz w:val="21"/>
                      <w:szCs w:val="21"/>
                    </w:rPr>
                    <w:t>③定期检查固废堆场，及时排查物质的泄漏、挥发；</w:t>
                  </w:r>
                </w:p>
                <w:p w14:paraId="043C97E4">
                  <w:pPr>
                    <w:adjustRightInd w:val="0"/>
                    <w:snapToGrid w:val="0"/>
                    <w:spacing w:line="240" w:lineRule="auto"/>
                    <w:jc w:val="left"/>
                    <w:rPr>
                      <w:sz w:val="21"/>
                      <w:szCs w:val="21"/>
                    </w:rPr>
                  </w:pPr>
                  <w:r>
                    <w:rPr>
                      <w:sz w:val="21"/>
                      <w:szCs w:val="21"/>
                    </w:rPr>
                    <w:t>④加强管理，固废堆场附近严禁烟火、易燃易爆的固体废物应做好防静电措施。</w:t>
                  </w:r>
                </w:p>
              </w:tc>
            </w:tr>
            <w:tr w14:paraId="0C5FB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0" w:type="pct"/>
                  <w:gridSpan w:val="2"/>
                  <w:vAlign w:val="center"/>
                </w:tcPr>
                <w:p w14:paraId="0D800615">
                  <w:pPr>
                    <w:adjustRightInd w:val="0"/>
                    <w:snapToGrid w:val="0"/>
                    <w:spacing w:line="240" w:lineRule="auto"/>
                    <w:jc w:val="center"/>
                    <w:rPr>
                      <w:sz w:val="21"/>
                      <w:szCs w:val="21"/>
                    </w:rPr>
                  </w:pPr>
                  <w:r>
                    <w:rPr>
                      <w:sz w:val="21"/>
                      <w:szCs w:val="21"/>
                    </w:rPr>
                    <w:t>风险防范措施</w:t>
                  </w:r>
                </w:p>
              </w:tc>
              <w:tc>
                <w:tcPr>
                  <w:tcW w:w="3389" w:type="pct"/>
                  <w:vAlign w:val="center"/>
                </w:tcPr>
                <w:p w14:paraId="3512F36D">
                  <w:pPr>
                    <w:adjustRightInd w:val="0"/>
                    <w:snapToGrid w:val="0"/>
                    <w:spacing w:line="240" w:lineRule="auto"/>
                    <w:jc w:val="left"/>
                    <w:rPr>
                      <w:sz w:val="21"/>
                      <w:szCs w:val="21"/>
                    </w:rPr>
                  </w:pPr>
                  <w:r>
                    <w:rPr>
                      <w:sz w:val="21"/>
                      <w:szCs w:val="21"/>
                    </w:rPr>
                    <w:t>①厂区内</w:t>
                  </w:r>
                  <w:r>
                    <w:rPr>
                      <w:rFonts w:hint="eastAsia"/>
                      <w:sz w:val="21"/>
                      <w:szCs w:val="21"/>
                    </w:rPr>
                    <w:t>拟</w:t>
                  </w:r>
                  <w:r>
                    <w:rPr>
                      <w:sz w:val="21"/>
                      <w:szCs w:val="21"/>
                    </w:rPr>
                    <w:t>设置1座</w:t>
                  </w:r>
                  <w:r>
                    <w:rPr>
                      <w:rFonts w:hint="eastAsia"/>
                      <w:sz w:val="21"/>
                      <w:szCs w:val="21"/>
                      <w:lang w:val="en-US" w:eastAsia="zh-CN"/>
                    </w:rPr>
                    <w:t>7</w:t>
                  </w:r>
                  <w:r>
                    <w:rPr>
                      <w:sz w:val="21"/>
                      <w:szCs w:val="21"/>
                    </w:rPr>
                    <w:t>0m</w:t>
                  </w:r>
                  <w:r>
                    <w:rPr>
                      <w:sz w:val="21"/>
                      <w:szCs w:val="21"/>
                      <w:vertAlign w:val="superscript"/>
                    </w:rPr>
                    <w:t>3</w:t>
                  </w:r>
                  <w:r>
                    <w:rPr>
                      <w:sz w:val="21"/>
                      <w:szCs w:val="21"/>
                    </w:rPr>
                    <w:t>应急事故池，并设有控制阀门；</w:t>
                  </w:r>
                </w:p>
                <w:p w14:paraId="258952A8">
                  <w:pPr>
                    <w:adjustRightInd w:val="0"/>
                    <w:snapToGrid w:val="0"/>
                    <w:spacing w:line="240" w:lineRule="auto"/>
                    <w:jc w:val="left"/>
                    <w:rPr>
                      <w:sz w:val="21"/>
                      <w:szCs w:val="21"/>
                    </w:rPr>
                  </w:pPr>
                  <w:r>
                    <w:rPr>
                      <w:sz w:val="21"/>
                      <w:szCs w:val="21"/>
                    </w:rPr>
                    <w:t>②</w:t>
                  </w:r>
                  <w:r>
                    <w:rPr>
                      <w:rFonts w:hint="eastAsia"/>
                      <w:sz w:val="21"/>
                      <w:szCs w:val="21"/>
                    </w:rPr>
                    <w:t>依托</w:t>
                  </w:r>
                  <w:r>
                    <w:rPr>
                      <w:sz w:val="21"/>
                      <w:szCs w:val="21"/>
                    </w:rPr>
                    <w:t>厂区</w:t>
                  </w:r>
                  <w:r>
                    <w:rPr>
                      <w:rFonts w:hint="eastAsia"/>
                      <w:sz w:val="21"/>
                      <w:szCs w:val="21"/>
                    </w:rPr>
                    <w:t>现有</w:t>
                  </w:r>
                  <w:r>
                    <w:rPr>
                      <w:sz w:val="21"/>
                      <w:szCs w:val="21"/>
                    </w:rPr>
                    <w:t>1处雨水排放口，</w:t>
                  </w:r>
                  <w:r>
                    <w:rPr>
                      <w:rFonts w:hint="eastAsia"/>
                      <w:sz w:val="21"/>
                      <w:szCs w:val="21"/>
                    </w:rPr>
                    <w:t>拟</w:t>
                  </w:r>
                  <w:r>
                    <w:rPr>
                      <w:sz w:val="21"/>
                      <w:szCs w:val="21"/>
                    </w:rPr>
                    <w:t>设置截流阀以及相应的应急管道，阻断泄漏物料和消防尾水汇入雨水管网，一旦发生事故，可以关闭雨水排口的截流阀，打开应急泵，利用与应急池连接的管道使事故废水泵入事故池内，待事故结束后，企业再根据事故水质处理；</w:t>
                  </w:r>
                </w:p>
                <w:p w14:paraId="08AEE7B3">
                  <w:pPr>
                    <w:adjustRightInd w:val="0"/>
                    <w:snapToGrid w:val="0"/>
                    <w:spacing w:line="240" w:lineRule="auto"/>
                    <w:jc w:val="left"/>
                    <w:rPr>
                      <w:sz w:val="21"/>
                      <w:szCs w:val="21"/>
                    </w:rPr>
                  </w:pPr>
                  <w:r>
                    <w:rPr>
                      <w:sz w:val="21"/>
                      <w:szCs w:val="21"/>
                    </w:rPr>
                    <w:t>③</w:t>
                  </w:r>
                  <w:r>
                    <w:rPr>
                      <w:rFonts w:hint="eastAsia"/>
                      <w:sz w:val="21"/>
                      <w:szCs w:val="21"/>
                    </w:rPr>
                    <w:t>依托</w:t>
                  </w:r>
                  <w:r>
                    <w:rPr>
                      <w:sz w:val="21"/>
                      <w:szCs w:val="21"/>
                    </w:rPr>
                    <w:t>厂区内各个风险单元附近</w:t>
                  </w:r>
                  <w:r>
                    <w:rPr>
                      <w:rFonts w:hint="eastAsia"/>
                      <w:sz w:val="21"/>
                      <w:szCs w:val="21"/>
                    </w:rPr>
                    <w:t>现有</w:t>
                  </w:r>
                  <w:r>
                    <w:rPr>
                      <w:sz w:val="21"/>
                      <w:szCs w:val="21"/>
                    </w:rPr>
                    <w:t>一定数量的消防栓、灭火器及消防沙等消防器材以及个人防护用品，满足应急要求；</w:t>
                  </w:r>
                </w:p>
                <w:p w14:paraId="3E6D45B9">
                  <w:pPr>
                    <w:adjustRightInd w:val="0"/>
                    <w:snapToGrid w:val="0"/>
                    <w:spacing w:line="240" w:lineRule="auto"/>
                    <w:jc w:val="left"/>
                    <w:rPr>
                      <w:sz w:val="21"/>
                      <w:szCs w:val="21"/>
                    </w:rPr>
                  </w:pPr>
                  <w:r>
                    <w:rPr>
                      <w:sz w:val="21"/>
                      <w:szCs w:val="21"/>
                    </w:rPr>
                    <w:t>④</w:t>
                  </w:r>
                  <w:r>
                    <w:rPr>
                      <w:rFonts w:hint="eastAsia"/>
                      <w:sz w:val="21"/>
                      <w:szCs w:val="21"/>
                    </w:rPr>
                    <w:t>依托</w:t>
                  </w:r>
                  <w:r>
                    <w:rPr>
                      <w:sz w:val="21"/>
                      <w:szCs w:val="21"/>
                    </w:rPr>
                    <w:t>厂区内</w:t>
                  </w:r>
                  <w:r>
                    <w:rPr>
                      <w:rFonts w:hint="eastAsia"/>
                      <w:sz w:val="21"/>
                      <w:szCs w:val="21"/>
                    </w:rPr>
                    <w:t>现有</w:t>
                  </w:r>
                  <w:r>
                    <w:rPr>
                      <w:sz w:val="21"/>
                      <w:szCs w:val="21"/>
                    </w:rPr>
                    <w:t>符合设计规范</w:t>
                  </w:r>
                  <w:r>
                    <w:rPr>
                      <w:rFonts w:hint="eastAsia"/>
                      <w:sz w:val="21"/>
                      <w:szCs w:val="21"/>
                    </w:rPr>
                    <w:t>的</w:t>
                  </w:r>
                  <w:r>
                    <w:rPr>
                      <w:sz w:val="21"/>
                      <w:szCs w:val="21"/>
                    </w:rPr>
                    <w:t>消防通道，保证在事故状态下畅通无阻</w:t>
                  </w:r>
                  <w:r>
                    <w:rPr>
                      <w:rFonts w:hint="eastAsia"/>
                      <w:sz w:val="21"/>
                      <w:szCs w:val="21"/>
                    </w:rPr>
                    <w:t>。</w:t>
                  </w:r>
                </w:p>
              </w:tc>
            </w:tr>
          </w:tbl>
          <w:p w14:paraId="7D10427B">
            <w:pPr>
              <w:adjustRightInd w:val="0"/>
              <w:snapToGrid w:val="0"/>
              <w:spacing w:line="480" w:lineRule="exact"/>
              <w:ind w:firstLine="480" w:firstLineChars="200"/>
            </w:pPr>
            <w:r>
              <w:rPr>
                <w:rFonts w:hint="eastAsia"/>
                <w:lang w:eastAsia="zh-CN"/>
              </w:rPr>
              <w:t>（</w:t>
            </w:r>
            <w:r>
              <w:rPr>
                <w:rFonts w:hint="eastAsia"/>
                <w:lang w:val="en-US" w:eastAsia="zh-CN"/>
              </w:rPr>
              <w:t>8</w:t>
            </w:r>
            <w:r>
              <w:rPr>
                <w:rFonts w:hint="eastAsia"/>
                <w:lang w:eastAsia="zh-CN"/>
              </w:rPr>
              <w:t>）</w:t>
            </w:r>
            <w:r>
              <w:rPr>
                <w:rFonts w:hint="eastAsia"/>
              </w:rPr>
              <w:t>建立安全环保联动机制</w:t>
            </w:r>
          </w:p>
          <w:p w14:paraId="06C2584D">
            <w:pPr>
              <w:adjustRightInd w:val="0"/>
              <w:snapToGrid w:val="0"/>
              <w:spacing w:line="480" w:lineRule="exact"/>
              <w:ind w:firstLine="480" w:firstLineChars="200"/>
            </w:pPr>
            <w:r>
              <w:rPr>
                <w:rFonts w:hint="eastAsia"/>
              </w:rPr>
              <w:t>建设单位应按照《关于做好生态环境和应急管理部门联动工作的意见》（苏环办</w:t>
            </w:r>
            <w:r>
              <w:rPr>
                <w:rFonts w:hint="eastAsia"/>
                <w:lang w:eastAsia="zh-CN"/>
              </w:rPr>
              <w:t>〔2020〕101号</w:t>
            </w:r>
            <w:r>
              <w:rPr>
                <w:rFonts w:hint="eastAsia"/>
              </w:rPr>
              <w:t>文）要求，切实履行好从危险废物产生、收集、贮存、运输、利用、处置等各项环保和安全职责，制定危险废物管理计划并报属地生态环境主管部门备案。</w:t>
            </w:r>
          </w:p>
          <w:p w14:paraId="67C75A15">
            <w:pPr>
              <w:adjustRightInd w:val="0"/>
              <w:snapToGrid w:val="0"/>
              <w:spacing w:line="480" w:lineRule="exact"/>
              <w:ind w:firstLine="480" w:firstLineChars="200"/>
            </w:pPr>
            <w:r>
              <w:rPr>
                <w:rFonts w:hint="eastAsia"/>
              </w:rPr>
              <w:t>建设单位应对项目废气处理设施开展安全风险辨识管控，健全内部污染防治设施稳定运行和管理责任制度，严格依据标准规范建设环境治理设施，确保环境治理设施安全、稳定、有效运行。按《建设项目安全设施</w:t>
            </w:r>
            <w:r>
              <w:rPr>
                <w:rFonts w:hint="eastAsia"/>
                <w:lang w:eastAsia="zh-CN"/>
              </w:rPr>
              <w:t>“</w:t>
            </w:r>
            <w:r>
              <w:rPr>
                <w:rFonts w:hint="eastAsia"/>
              </w:rPr>
              <w:t>三同时</w:t>
            </w:r>
            <w:r>
              <w:rPr>
                <w:rFonts w:hint="eastAsia"/>
                <w:lang w:eastAsia="zh-CN"/>
              </w:rPr>
              <w:t>”</w:t>
            </w:r>
            <w:r>
              <w:rPr>
                <w:rFonts w:hint="eastAsia"/>
              </w:rPr>
              <w:t>监督管理办法》（安监总局令第36号、安监总局令第77号修改）的要求，建设单位落实建设项目安全设施</w:t>
            </w:r>
            <w:r>
              <w:rPr>
                <w:rFonts w:hint="eastAsia"/>
                <w:lang w:eastAsia="zh-CN"/>
              </w:rPr>
              <w:t>“</w:t>
            </w:r>
            <w:r>
              <w:rPr>
                <w:rFonts w:hint="eastAsia"/>
              </w:rPr>
              <w:t>三同时</w:t>
            </w:r>
            <w:r>
              <w:rPr>
                <w:rFonts w:hint="eastAsia"/>
                <w:lang w:eastAsia="zh-CN"/>
              </w:rPr>
              <w:t>”</w:t>
            </w:r>
            <w:r>
              <w:rPr>
                <w:rFonts w:hint="eastAsia"/>
              </w:rPr>
              <w:t>工作。</w:t>
            </w:r>
          </w:p>
          <w:p w14:paraId="74C1A268">
            <w:pPr>
              <w:pStyle w:val="2"/>
              <w:spacing w:before="0" w:after="0" w:line="480" w:lineRule="exact"/>
              <w:ind w:right="0" w:firstLine="480" w:firstLineChars="200"/>
              <w:rPr>
                <w:sz w:val="24"/>
                <w:szCs w:val="24"/>
              </w:rPr>
            </w:pPr>
            <w:r>
              <w:rPr>
                <w:rFonts w:hint="eastAsia"/>
                <w:sz w:val="24"/>
                <w:szCs w:val="24"/>
                <w:lang w:val="en-US" w:eastAsia="zh-CN"/>
              </w:rPr>
              <w:t>熔化压铸等工段：过程中存在铝粉尘及有机物质积聚、爆炸的风险。生产车间的通风设施故障，车间长时间生产造成车间内易挥发物质长时间挥发，对周围环境产生不良影响，同时易燃气体浓度达到气体的爆炸范围，遇明火引发火灾、爆炸事故；对照《工贸行业重点可燃性粉尘目录》（</w:t>
            </w:r>
            <w:r>
              <w:rPr>
                <w:rFonts w:hint="default"/>
                <w:sz w:val="24"/>
                <w:szCs w:val="24"/>
                <w:lang w:val="en-US" w:eastAsia="zh-CN"/>
              </w:rPr>
              <w:t>2015</w:t>
            </w:r>
            <w:r>
              <w:rPr>
                <w:rFonts w:hint="eastAsia"/>
                <w:sz w:val="24"/>
                <w:szCs w:val="24"/>
                <w:lang w:val="en-US" w:eastAsia="zh-CN"/>
              </w:rPr>
              <w:t>版），熔化工序产生的颗粒物属于可燃性粉尘。熔化工序单班作业人数不超过</w:t>
            </w:r>
            <w:r>
              <w:rPr>
                <w:rFonts w:hint="default"/>
                <w:sz w:val="24"/>
                <w:szCs w:val="24"/>
                <w:lang w:val="en-US" w:eastAsia="zh-CN"/>
              </w:rPr>
              <w:t>10</w:t>
            </w:r>
            <w:r>
              <w:rPr>
                <w:rFonts w:hint="eastAsia"/>
                <w:sz w:val="24"/>
                <w:szCs w:val="24"/>
                <w:lang w:val="en-US" w:eastAsia="zh-CN"/>
              </w:rPr>
              <w:t>人，人数较少，不涉及除尘系统平面布置、通风收集方式、防火分区布局、设备设施等跨领域复杂疑难技术问题。</w:t>
            </w:r>
          </w:p>
          <w:p w14:paraId="3689D35C">
            <w:pPr>
              <w:pStyle w:val="2"/>
              <w:spacing w:before="0" w:after="0" w:line="480" w:lineRule="exact"/>
              <w:ind w:right="0" w:firstLine="480" w:firstLineChars="200"/>
              <w:rPr>
                <w:sz w:val="24"/>
                <w:szCs w:val="24"/>
              </w:rPr>
            </w:pPr>
            <w:r>
              <w:rPr>
                <w:sz w:val="24"/>
                <w:szCs w:val="24"/>
              </w:rPr>
              <w:t>综上所述，本项目</w:t>
            </w:r>
            <w:r>
              <w:rPr>
                <w:bCs/>
                <w:sz w:val="24"/>
                <w:szCs w:val="24"/>
              </w:rPr>
              <w:t>风险物质</w:t>
            </w:r>
            <w:r>
              <w:rPr>
                <w:sz w:val="24"/>
                <w:szCs w:val="24"/>
              </w:rPr>
              <w:t>存在一定的危险性，</w:t>
            </w:r>
            <w:r>
              <w:rPr>
                <w:bCs/>
                <w:sz w:val="24"/>
                <w:szCs w:val="24"/>
              </w:rPr>
              <w:t>但其最大存储量远小于其临界量</w:t>
            </w:r>
            <w:r>
              <w:rPr>
                <w:sz w:val="24"/>
                <w:szCs w:val="24"/>
              </w:rPr>
              <w:t>。距离本项目厂界最近的敏感目标为</w:t>
            </w:r>
            <w:r>
              <w:rPr>
                <w:rFonts w:hint="eastAsia"/>
                <w:sz w:val="24"/>
                <w:szCs w:val="24"/>
                <w:lang w:val="en-US" w:eastAsia="zh-CN"/>
              </w:rPr>
              <w:t>项目</w:t>
            </w:r>
            <w:r>
              <w:rPr>
                <w:rFonts w:hint="eastAsia"/>
                <w:sz w:val="24"/>
                <w:szCs w:val="24"/>
              </w:rPr>
              <w:t>西</w:t>
            </w:r>
            <w:r>
              <w:rPr>
                <w:rFonts w:hint="eastAsia"/>
                <w:sz w:val="24"/>
                <w:szCs w:val="24"/>
                <w:lang w:val="en-US" w:eastAsia="zh-CN"/>
              </w:rPr>
              <w:t>北</w:t>
            </w:r>
            <w:r>
              <w:rPr>
                <w:sz w:val="24"/>
                <w:szCs w:val="24"/>
              </w:rPr>
              <w:t>侧</w:t>
            </w:r>
            <w:r>
              <w:rPr>
                <w:rFonts w:hint="eastAsia"/>
                <w:sz w:val="24"/>
                <w:szCs w:val="24"/>
                <w:lang w:val="en-US" w:eastAsia="zh-CN"/>
              </w:rPr>
              <w:t>190</w:t>
            </w:r>
            <w:r>
              <w:rPr>
                <w:sz w:val="24"/>
                <w:szCs w:val="24"/>
              </w:rPr>
              <w:t>m</w:t>
            </w:r>
            <w:r>
              <w:rPr>
                <w:rFonts w:hint="eastAsia"/>
                <w:sz w:val="24"/>
                <w:szCs w:val="24"/>
              </w:rPr>
              <w:t>处</w:t>
            </w:r>
            <w:r>
              <w:rPr>
                <w:sz w:val="24"/>
                <w:szCs w:val="24"/>
              </w:rPr>
              <w:t>的</w:t>
            </w:r>
            <w:r>
              <w:rPr>
                <w:rFonts w:hint="eastAsia"/>
                <w:sz w:val="24"/>
                <w:szCs w:val="24"/>
                <w:lang w:val="en-US" w:eastAsia="zh-CN"/>
              </w:rPr>
              <w:t>新安村</w:t>
            </w:r>
            <w:r>
              <w:rPr>
                <w:sz w:val="24"/>
                <w:szCs w:val="24"/>
              </w:rPr>
              <w:t>，在采取规范化环境风险防范措施和应急措施的前提下，本项目环境风险可控。</w:t>
            </w:r>
          </w:p>
          <w:p w14:paraId="0C0626BD">
            <w:pPr>
              <w:pStyle w:val="3"/>
              <w:widowControl w:val="0"/>
              <w:numPr>
                <w:ilvl w:val="0"/>
                <w:numId w:val="0"/>
              </w:numPr>
              <w:spacing w:line="360" w:lineRule="auto"/>
              <w:jc w:val="both"/>
              <w:rPr>
                <w:sz w:val="24"/>
                <w:szCs w:val="24"/>
              </w:rPr>
            </w:pPr>
          </w:p>
        </w:tc>
      </w:tr>
    </w:tbl>
    <w:p w14:paraId="7FFB4DC8">
      <w:pPr>
        <w:pStyle w:val="2"/>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F311462">
      <w:pPr>
        <w:pStyle w:val="16"/>
        <w:spacing w:before="0" w:beforeAutospacing="0" w:after="0" w:afterAutospacing="0" w:line="240" w:lineRule="auto"/>
        <w:jc w:val="center"/>
        <w:outlineLvl w:val="0"/>
        <w:rPr>
          <w:rFonts w:ascii="Times New Roman" w:hAnsi="Times New Roman"/>
          <w:snapToGrid w:val="0"/>
          <w:sz w:val="30"/>
          <w:szCs w:val="30"/>
        </w:rPr>
      </w:pPr>
      <w:r>
        <w:rPr>
          <w:rFonts w:ascii="Times New Roman" w:hAnsi="Times New Roman"/>
          <w:snapToGrid w:val="0"/>
          <w:sz w:val="30"/>
          <w:szCs w:val="30"/>
        </w:rPr>
        <w:t>五、</w:t>
      </w:r>
      <w:bookmarkStart w:id="9" w:name="_Hlk54167917"/>
      <w:r>
        <w:rPr>
          <w:rFonts w:ascii="Times New Roman" w:hAnsi="Times New Roman"/>
          <w:snapToGrid w:val="0"/>
          <w:sz w:val="30"/>
          <w:szCs w:val="30"/>
        </w:rPr>
        <w:t>环境保护措施监督检查清单</w:t>
      </w:r>
      <w:bookmarkEnd w:id="9"/>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654"/>
        <w:gridCol w:w="797"/>
        <w:gridCol w:w="1044"/>
        <w:gridCol w:w="2755"/>
        <w:gridCol w:w="2335"/>
      </w:tblGrid>
      <w:tr w14:paraId="1D611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tcBorders>
              <w:tl2br w:val="single" w:color="auto" w:sz="4" w:space="0"/>
            </w:tcBorders>
          </w:tcPr>
          <w:p w14:paraId="5AFAC67C">
            <w:pPr>
              <w:adjustRightInd w:val="0"/>
              <w:snapToGrid w:val="0"/>
              <w:spacing w:line="240" w:lineRule="auto"/>
              <w:ind w:firstLine="241" w:firstLineChars="100"/>
              <w:rPr>
                <w:b/>
                <w:bCs/>
              </w:rPr>
            </w:pPr>
            <w:r>
              <w:rPr>
                <w:b/>
                <w:bCs/>
              </w:rPr>
              <w:t>内容</w:t>
            </w:r>
          </w:p>
          <w:p w14:paraId="24CE4F32">
            <w:pPr>
              <w:adjustRightInd w:val="0"/>
              <w:snapToGrid w:val="0"/>
              <w:spacing w:line="240" w:lineRule="auto"/>
              <w:rPr>
                <w:b/>
                <w:bCs/>
              </w:rPr>
            </w:pPr>
          </w:p>
          <w:p w14:paraId="086565EA">
            <w:pPr>
              <w:adjustRightInd w:val="0"/>
              <w:snapToGrid w:val="0"/>
              <w:spacing w:line="240" w:lineRule="auto"/>
              <w:rPr>
                <w:b/>
                <w:bCs/>
              </w:rPr>
            </w:pPr>
            <w:r>
              <w:rPr>
                <w:b/>
                <w:bCs/>
              </w:rPr>
              <w:t>要素</w:t>
            </w:r>
          </w:p>
        </w:tc>
        <w:tc>
          <w:tcPr>
            <w:tcW w:w="1451" w:type="dxa"/>
            <w:gridSpan w:val="2"/>
            <w:vAlign w:val="center"/>
          </w:tcPr>
          <w:p w14:paraId="686D6C11">
            <w:pPr>
              <w:adjustRightInd w:val="0"/>
              <w:snapToGrid w:val="0"/>
              <w:spacing w:line="240" w:lineRule="auto"/>
              <w:jc w:val="center"/>
              <w:rPr>
                <w:b/>
                <w:bCs/>
              </w:rPr>
            </w:pPr>
            <w:r>
              <w:rPr>
                <w:b/>
                <w:bCs/>
              </w:rPr>
              <w:t>排放口（编号、名称）/污染源</w:t>
            </w:r>
          </w:p>
        </w:tc>
        <w:tc>
          <w:tcPr>
            <w:tcW w:w="1044" w:type="dxa"/>
            <w:vAlign w:val="center"/>
          </w:tcPr>
          <w:p w14:paraId="369484D2">
            <w:pPr>
              <w:adjustRightInd w:val="0"/>
              <w:snapToGrid w:val="0"/>
              <w:spacing w:line="240" w:lineRule="auto"/>
              <w:jc w:val="center"/>
              <w:rPr>
                <w:b/>
                <w:bCs/>
              </w:rPr>
            </w:pPr>
            <w:r>
              <w:rPr>
                <w:b/>
                <w:bCs/>
              </w:rPr>
              <w:t>污染物项目</w:t>
            </w:r>
          </w:p>
        </w:tc>
        <w:tc>
          <w:tcPr>
            <w:tcW w:w="2755" w:type="dxa"/>
            <w:vAlign w:val="center"/>
          </w:tcPr>
          <w:p w14:paraId="2D2B4130">
            <w:pPr>
              <w:adjustRightInd w:val="0"/>
              <w:snapToGrid w:val="0"/>
              <w:spacing w:line="240" w:lineRule="auto"/>
              <w:jc w:val="center"/>
              <w:rPr>
                <w:b/>
                <w:bCs/>
              </w:rPr>
            </w:pPr>
            <w:r>
              <w:rPr>
                <w:b/>
                <w:bCs/>
              </w:rPr>
              <w:t>环境保护措施</w:t>
            </w:r>
          </w:p>
        </w:tc>
        <w:tc>
          <w:tcPr>
            <w:tcW w:w="2335" w:type="dxa"/>
            <w:vAlign w:val="center"/>
          </w:tcPr>
          <w:p w14:paraId="5C06349B">
            <w:pPr>
              <w:adjustRightInd w:val="0"/>
              <w:snapToGrid w:val="0"/>
              <w:spacing w:line="240" w:lineRule="auto"/>
              <w:jc w:val="center"/>
              <w:rPr>
                <w:b/>
                <w:bCs/>
              </w:rPr>
            </w:pPr>
            <w:r>
              <w:rPr>
                <w:b/>
                <w:bCs/>
              </w:rPr>
              <w:t>执行标准</w:t>
            </w:r>
          </w:p>
        </w:tc>
      </w:tr>
      <w:tr w14:paraId="426C4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15" w:type="dxa"/>
            <w:vMerge w:val="restart"/>
            <w:vAlign w:val="center"/>
          </w:tcPr>
          <w:p w14:paraId="7D77FAEA">
            <w:pPr>
              <w:adjustRightInd w:val="0"/>
              <w:snapToGrid w:val="0"/>
              <w:spacing w:line="240" w:lineRule="auto"/>
              <w:jc w:val="center"/>
              <w:rPr>
                <w:rFonts w:hint="eastAsia" w:eastAsia="仿宋"/>
                <w:b/>
                <w:bCs/>
                <w:lang w:val="en-US" w:eastAsia="zh-CN"/>
              </w:rPr>
            </w:pPr>
            <w:r>
              <w:rPr>
                <w:rFonts w:hint="eastAsia"/>
                <w:b/>
                <w:bCs/>
                <w:lang w:val="en-US" w:eastAsia="zh-CN"/>
              </w:rPr>
              <w:t>大气环境</w:t>
            </w:r>
          </w:p>
        </w:tc>
        <w:tc>
          <w:tcPr>
            <w:tcW w:w="1451" w:type="dxa"/>
            <w:gridSpan w:val="2"/>
            <w:vMerge w:val="restart"/>
            <w:vAlign w:val="center"/>
          </w:tcPr>
          <w:p w14:paraId="33C8B21C">
            <w:pPr>
              <w:adjustRightInd w:val="0"/>
              <w:snapToGrid w:val="0"/>
              <w:spacing w:line="240" w:lineRule="auto"/>
              <w:jc w:val="center"/>
              <w:rPr>
                <w:rFonts w:hint="eastAsia" w:eastAsia="仿宋"/>
                <w:lang w:val="en-US" w:eastAsia="zh-CN"/>
              </w:rPr>
            </w:pPr>
            <w:r>
              <w:rPr>
                <w:rFonts w:hint="eastAsia"/>
                <w:lang w:val="en-US" w:eastAsia="zh-CN"/>
              </w:rPr>
              <w:t>有组织</w:t>
            </w:r>
          </w:p>
        </w:tc>
        <w:tc>
          <w:tcPr>
            <w:tcW w:w="1044" w:type="dxa"/>
            <w:vAlign w:val="center"/>
          </w:tcPr>
          <w:p w14:paraId="69C0B857">
            <w:pPr>
              <w:spacing w:line="240" w:lineRule="auto"/>
              <w:jc w:val="center"/>
              <w:rPr>
                <w:rFonts w:hint="eastAsia" w:eastAsia="仿宋"/>
                <w:lang w:val="en-US" w:eastAsia="zh-CN"/>
              </w:rPr>
            </w:pPr>
            <w:r>
              <w:rPr>
                <w:rFonts w:hint="eastAsia"/>
                <w:lang w:val="en-US" w:eastAsia="zh-CN"/>
              </w:rPr>
              <w:t>颗粒物</w:t>
            </w:r>
          </w:p>
        </w:tc>
        <w:tc>
          <w:tcPr>
            <w:tcW w:w="2755" w:type="dxa"/>
            <w:vMerge w:val="restart"/>
            <w:vAlign w:val="center"/>
          </w:tcPr>
          <w:p w14:paraId="38179438">
            <w:pPr>
              <w:adjustRightInd w:val="0"/>
              <w:snapToGrid w:val="0"/>
              <w:spacing w:line="240" w:lineRule="auto"/>
              <w:jc w:val="center"/>
              <w:rPr>
                <w:rFonts w:hint="default" w:eastAsia="仿宋"/>
                <w:lang w:val="en-US" w:eastAsia="zh-CN"/>
              </w:rPr>
            </w:pPr>
            <w:r>
              <w:rPr>
                <w:rFonts w:hint="eastAsia"/>
                <w:lang w:val="en-US" w:eastAsia="zh-CN"/>
              </w:rPr>
              <w:t>熔化废气、压铸废气收集后经一套水喷淋+干式过滤+二级活性炭吸附装置（TA001）处理后通过1根15m高的1#排气筒（DA001）有组织排放</w:t>
            </w:r>
          </w:p>
        </w:tc>
        <w:tc>
          <w:tcPr>
            <w:tcW w:w="2335" w:type="dxa"/>
            <w:vMerge w:val="restart"/>
            <w:vAlign w:val="center"/>
          </w:tcPr>
          <w:p w14:paraId="1664E929">
            <w:pPr>
              <w:adjustRightInd w:val="0"/>
              <w:snapToGrid w:val="0"/>
              <w:spacing w:line="240" w:lineRule="auto"/>
              <w:jc w:val="center"/>
              <w:rPr>
                <w:rFonts w:hint="eastAsia"/>
              </w:rPr>
            </w:pPr>
            <w:r>
              <w:rPr>
                <w:rFonts w:hint="eastAsia"/>
              </w:rPr>
              <w:t>《铸造工业大气污染物排放标准》（GB39726-2020）</w:t>
            </w:r>
          </w:p>
        </w:tc>
      </w:tr>
      <w:tr w14:paraId="7851F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15" w:type="dxa"/>
            <w:vMerge w:val="continue"/>
            <w:vAlign w:val="center"/>
          </w:tcPr>
          <w:p w14:paraId="7515D21D">
            <w:pPr>
              <w:spacing w:line="240" w:lineRule="auto"/>
              <w:jc w:val="center"/>
            </w:pPr>
          </w:p>
        </w:tc>
        <w:tc>
          <w:tcPr>
            <w:tcW w:w="1451" w:type="dxa"/>
            <w:gridSpan w:val="2"/>
            <w:vMerge w:val="continue"/>
            <w:vAlign w:val="center"/>
          </w:tcPr>
          <w:p w14:paraId="3D807090">
            <w:pPr>
              <w:spacing w:line="240" w:lineRule="auto"/>
              <w:jc w:val="center"/>
            </w:pPr>
          </w:p>
        </w:tc>
        <w:tc>
          <w:tcPr>
            <w:tcW w:w="1044" w:type="dxa"/>
            <w:vAlign w:val="center"/>
          </w:tcPr>
          <w:p w14:paraId="410682D7">
            <w:pPr>
              <w:spacing w:line="240" w:lineRule="auto"/>
              <w:jc w:val="center"/>
              <w:rPr>
                <w:rFonts w:hint="default"/>
                <w:lang w:val="en-US" w:eastAsia="zh-CN"/>
              </w:rPr>
            </w:pPr>
            <w:r>
              <w:rPr>
                <w:rFonts w:hint="eastAsia"/>
              </w:rPr>
              <w:t>NO</w:t>
            </w:r>
            <w:r>
              <w:rPr>
                <w:rFonts w:hint="eastAsia"/>
                <w:vertAlign w:val="subscript"/>
              </w:rPr>
              <w:t>x</w:t>
            </w:r>
          </w:p>
        </w:tc>
        <w:tc>
          <w:tcPr>
            <w:tcW w:w="2755" w:type="dxa"/>
            <w:vMerge w:val="continue"/>
            <w:vAlign w:val="center"/>
          </w:tcPr>
          <w:p w14:paraId="591CB250">
            <w:pPr>
              <w:spacing w:line="240" w:lineRule="auto"/>
              <w:jc w:val="center"/>
              <w:rPr>
                <w:rFonts w:hint="eastAsia"/>
                <w:lang w:val="en-US" w:eastAsia="zh-CN"/>
              </w:rPr>
            </w:pPr>
          </w:p>
        </w:tc>
        <w:tc>
          <w:tcPr>
            <w:tcW w:w="2335" w:type="dxa"/>
            <w:vMerge w:val="continue"/>
            <w:vAlign w:val="center"/>
          </w:tcPr>
          <w:p w14:paraId="52E65C4F">
            <w:pPr>
              <w:spacing w:line="240" w:lineRule="auto"/>
              <w:jc w:val="center"/>
              <w:rPr>
                <w:rFonts w:hint="eastAsia"/>
                <w:lang w:val="en-US" w:eastAsia="zh-CN"/>
              </w:rPr>
            </w:pPr>
          </w:p>
        </w:tc>
      </w:tr>
      <w:tr w14:paraId="1BC38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15" w:type="dxa"/>
            <w:vMerge w:val="continue"/>
            <w:vAlign w:val="center"/>
          </w:tcPr>
          <w:p w14:paraId="6E1EE27D">
            <w:pPr>
              <w:spacing w:line="240" w:lineRule="auto"/>
              <w:jc w:val="center"/>
              <w:rPr>
                <w:rFonts w:hint="eastAsia"/>
                <w:lang w:val="en-US" w:eastAsia="zh-CN"/>
              </w:rPr>
            </w:pPr>
          </w:p>
        </w:tc>
        <w:tc>
          <w:tcPr>
            <w:tcW w:w="1451" w:type="dxa"/>
            <w:gridSpan w:val="2"/>
            <w:vMerge w:val="continue"/>
            <w:vAlign w:val="center"/>
          </w:tcPr>
          <w:p w14:paraId="101C1825">
            <w:pPr>
              <w:spacing w:line="240" w:lineRule="auto"/>
              <w:jc w:val="center"/>
              <w:rPr>
                <w:rFonts w:hint="eastAsia"/>
                <w:lang w:val="en-US" w:eastAsia="zh-CN"/>
              </w:rPr>
            </w:pPr>
          </w:p>
        </w:tc>
        <w:tc>
          <w:tcPr>
            <w:tcW w:w="1044" w:type="dxa"/>
            <w:shd w:val="clear" w:color="auto" w:fill="auto"/>
            <w:vAlign w:val="center"/>
          </w:tcPr>
          <w:p w14:paraId="38B39117">
            <w:pPr>
              <w:spacing w:line="240" w:lineRule="auto"/>
              <w:jc w:val="center"/>
              <w:rPr>
                <w:rFonts w:hint="eastAsia" w:ascii="Times New Roman" w:hAnsi="Times New Roman" w:eastAsia="仿宋" w:cs="Times New Roman"/>
                <w:kern w:val="2"/>
                <w:sz w:val="24"/>
                <w:szCs w:val="24"/>
                <w:lang w:val="en-US" w:eastAsia="zh-CN" w:bidi="ar-SA"/>
              </w:rPr>
            </w:pPr>
            <w:r>
              <w:rPr>
                <w:rFonts w:hint="eastAsia"/>
              </w:rPr>
              <w:t>SO</w:t>
            </w:r>
            <w:r>
              <w:rPr>
                <w:rFonts w:hint="eastAsia"/>
                <w:vertAlign w:val="subscript"/>
              </w:rPr>
              <w:t>2</w:t>
            </w:r>
          </w:p>
        </w:tc>
        <w:tc>
          <w:tcPr>
            <w:tcW w:w="2755" w:type="dxa"/>
            <w:vMerge w:val="continue"/>
            <w:vAlign w:val="center"/>
          </w:tcPr>
          <w:p w14:paraId="1111A182">
            <w:pPr>
              <w:spacing w:line="240" w:lineRule="auto"/>
              <w:jc w:val="center"/>
              <w:rPr>
                <w:rFonts w:hint="eastAsia"/>
                <w:lang w:val="en-US" w:eastAsia="zh-CN"/>
              </w:rPr>
            </w:pPr>
          </w:p>
        </w:tc>
        <w:tc>
          <w:tcPr>
            <w:tcW w:w="2335" w:type="dxa"/>
            <w:vMerge w:val="continue"/>
            <w:vAlign w:val="center"/>
          </w:tcPr>
          <w:p w14:paraId="65DE9753">
            <w:pPr>
              <w:spacing w:line="240" w:lineRule="auto"/>
              <w:jc w:val="center"/>
              <w:rPr>
                <w:rFonts w:hint="eastAsia"/>
                <w:lang w:val="en-US" w:eastAsia="zh-CN"/>
              </w:rPr>
            </w:pPr>
          </w:p>
        </w:tc>
      </w:tr>
      <w:tr w14:paraId="77629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15" w:type="dxa"/>
            <w:vMerge w:val="continue"/>
            <w:vAlign w:val="center"/>
          </w:tcPr>
          <w:p w14:paraId="79F2BA17">
            <w:pPr>
              <w:spacing w:line="240" w:lineRule="auto"/>
              <w:jc w:val="center"/>
              <w:rPr>
                <w:rFonts w:hint="eastAsia"/>
                <w:lang w:val="en-US" w:eastAsia="zh-CN"/>
              </w:rPr>
            </w:pPr>
          </w:p>
        </w:tc>
        <w:tc>
          <w:tcPr>
            <w:tcW w:w="1451" w:type="dxa"/>
            <w:gridSpan w:val="2"/>
            <w:vMerge w:val="continue"/>
            <w:vAlign w:val="center"/>
          </w:tcPr>
          <w:p w14:paraId="7EDF1DDD">
            <w:pPr>
              <w:spacing w:line="240" w:lineRule="auto"/>
              <w:jc w:val="center"/>
              <w:rPr>
                <w:rFonts w:hint="eastAsia"/>
                <w:lang w:val="en-US" w:eastAsia="zh-CN"/>
              </w:rPr>
            </w:pPr>
          </w:p>
        </w:tc>
        <w:tc>
          <w:tcPr>
            <w:tcW w:w="1044" w:type="dxa"/>
            <w:shd w:val="clear" w:color="auto" w:fill="auto"/>
            <w:vAlign w:val="center"/>
          </w:tcPr>
          <w:p w14:paraId="78B5FEB8">
            <w:pPr>
              <w:spacing w:line="240" w:lineRule="auto"/>
              <w:jc w:val="center"/>
              <w:rPr>
                <w:rFonts w:hint="eastAsia" w:ascii="Times New Roman" w:hAnsi="Times New Roman" w:eastAsia="仿宋" w:cs="Times New Roman"/>
                <w:kern w:val="2"/>
                <w:sz w:val="24"/>
                <w:szCs w:val="24"/>
                <w:lang w:val="en-US" w:eastAsia="zh-CN" w:bidi="ar-SA"/>
              </w:rPr>
            </w:pPr>
            <w:r>
              <w:rPr>
                <w:rFonts w:hint="eastAsia"/>
                <w:lang w:val="en-US" w:eastAsia="zh-CN"/>
              </w:rPr>
              <w:t>非甲烷总烃</w:t>
            </w:r>
          </w:p>
        </w:tc>
        <w:tc>
          <w:tcPr>
            <w:tcW w:w="2755" w:type="dxa"/>
            <w:vMerge w:val="continue"/>
            <w:vAlign w:val="center"/>
          </w:tcPr>
          <w:p w14:paraId="53B0A4FA">
            <w:pPr>
              <w:spacing w:line="240" w:lineRule="auto"/>
              <w:jc w:val="center"/>
              <w:rPr>
                <w:rFonts w:hint="eastAsia"/>
                <w:lang w:val="en-US" w:eastAsia="zh-CN"/>
              </w:rPr>
            </w:pPr>
          </w:p>
        </w:tc>
        <w:tc>
          <w:tcPr>
            <w:tcW w:w="2335" w:type="dxa"/>
            <w:vAlign w:val="center"/>
          </w:tcPr>
          <w:p w14:paraId="129930CF">
            <w:pPr>
              <w:spacing w:line="240" w:lineRule="auto"/>
              <w:jc w:val="center"/>
              <w:rPr>
                <w:rFonts w:hint="eastAsia"/>
                <w:lang w:val="en-US" w:eastAsia="zh-CN"/>
              </w:rPr>
            </w:pPr>
            <w:r>
              <w:rPr>
                <w:rFonts w:hint="eastAsia"/>
              </w:rPr>
              <w:t>《大气污染物综合排放标准》（DB32/4041-2021）</w:t>
            </w:r>
          </w:p>
        </w:tc>
      </w:tr>
      <w:tr w14:paraId="7FC07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2A324316">
            <w:pPr>
              <w:adjustRightInd w:val="0"/>
              <w:snapToGrid w:val="0"/>
              <w:spacing w:line="240" w:lineRule="auto"/>
              <w:jc w:val="center"/>
              <w:rPr>
                <w:rFonts w:hint="eastAsia"/>
                <w:b/>
                <w:bCs/>
                <w:lang w:val="en-US" w:eastAsia="zh-CN"/>
              </w:rPr>
            </w:pPr>
          </w:p>
        </w:tc>
        <w:tc>
          <w:tcPr>
            <w:tcW w:w="654" w:type="dxa"/>
            <w:vMerge w:val="restart"/>
            <w:vAlign w:val="center"/>
          </w:tcPr>
          <w:p w14:paraId="27D4942B">
            <w:pPr>
              <w:adjustRightInd w:val="0"/>
              <w:snapToGrid w:val="0"/>
              <w:spacing w:line="240" w:lineRule="auto"/>
              <w:jc w:val="center"/>
              <w:rPr>
                <w:rFonts w:hint="eastAsia" w:eastAsia="仿宋"/>
                <w:lang w:val="en-US" w:eastAsia="zh-CN"/>
              </w:rPr>
            </w:pPr>
            <w:r>
              <w:rPr>
                <w:rFonts w:hint="eastAsia"/>
                <w:lang w:val="en-US" w:eastAsia="zh-CN"/>
              </w:rPr>
              <w:t>无组织</w:t>
            </w:r>
          </w:p>
        </w:tc>
        <w:tc>
          <w:tcPr>
            <w:tcW w:w="797" w:type="dxa"/>
            <w:vMerge w:val="restart"/>
            <w:vAlign w:val="center"/>
          </w:tcPr>
          <w:p w14:paraId="653A1454">
            <w:pPr>
              <w:adjustRightInd w:val="0"/>
              <w:snapToGrid w:val="0"/>
              <w:spacing w:line="240" w:lineRule="auto"/>
              <w:jc w:val="center"/>
              <w:rPr>
                <w:rFonts w:hint="default"/>
                <w:lang w:val="en-US" w:eastAsia="zh-CN"/>
              </w:rPr>
            </w:pPr>
            <w:r>
              <w:rPr>
                <w:rFonts w:hint="eastAsia"/>
                <w:lang w:val="en-US" w:eastAsia="zh-CN"/>
              </w:rPr>
              <w:t>厂区内</w:t>
            </w:r>
          </w:p>
        </w:tc>
        <w:tc>
          <w:tcPr>
            <w:tcW w:w="1044" w:type="dxa"/>
            <w:vAlign w:val="center"/>
          </w:tcPr>
          <w:p w14:paraId="7AD06321">
            <w:pPr>
              <w:spacing w:line="240" w:lineRule="auto"/>
              <w:jc w:val="center"/>
              <w:rPr>
                <w:rFonts w:hint="eastAsia" w:eastAsia="仿宋"/>
                <w:lang w:val="en-US" w:eastAsia="zh-CN"/>
              </w:rPr>
            </w:pPr>
            <w:r>
              <w:rPr>
                <w:rFonts w:hint="eastAsia"/>
                <w:lang w:val="en-US" w:eastAsia="zh-CN"/>
              </w:rPr>
              <w:t>颗粒物</w:t>
            </w:r>
          </w:p>
        </w:tc>
        <w:tc>
          <w:tcPr>
            <w:tcW w:w="2755" w:type="dxa"/>
            <w:vAlign w:val="center"/>
          </w:tcPr>
          <w:p w14:paraId="02C23B96">
            <w:pPr>
              <w:adjustRightInd w:val="0"/>
              <w:snapToGrid w:val="0"/>
              <w:spacing w:line="240" w:lineRule="auto"/>
              <w:jc w:val="center"/>
              <w:rPr>
                <w:rFonts w:hint="eastAsia" w:eastAsia="仿宋"/>
                <w:lang w:val="en-US" w:eastAsia="zh-CN"/>
              </w:rPr>
            </w:pPr>
            <w:r>
              <w:rPr>
                <w:rFonts w:hint="eastAsia"/>
                <w:lang w:val="en-US" w:eastAsia="zh-CN"/>
              </w:rPr>
              <w:t>/</w:t>
            </w:r>
          </w:p>
        </w:tc>
        <w:tc>
          <w:tcPr>
            <w:tcW w:w="2335" w:type="dxa"/>
            <w:shd w:val="clear" w:color="auto" w:fill="auto"/>
            <w:vAlign w:val="center"/>
          </w:tcPr>
          <w:p w14:paraId="1CC6EC23">
            <w:pPr>
              <w:adjustRightInd w:val="0"/>
              <w:snapToGrid w:val="0"/>
              <w:spacing w:line="240" w:lineRule="auto"/>
              <w:jc w:val="center"/>
              <w:rPr>
                <w:rFonts w:hint="eastAsia" w:ascii="Times New Roman" w:hAnsi="Times New Roman" w:eastAsia="仿宋" w:cs="Times New Roman"/>
                <w:kern w:val="2"/>
                <w:sz w:val="24"/>
                <w:szCs w:val="24"/>
                <w:lang w:val="en-US" w:eastAsia="zh-CN" w:bidi="ar-SA"/>
              </w:rPr>
            </w:pPr>
            <w:r>
              <w:rPr>
                <w:rFonts w:hint="eastAsia"/>
              </w:rPr>
              <w:t>《铸造工业大气污染物排放标准》（GB39726-2020）</w:t>
            </w:r>
          </w:p>
        </w:tc>
      </w:tr>
      <w:tr w14:paraId="53B6A0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27DA03BF">
            <w:pPr>
              <w:adjustRightInd w:val="0"/>
              <w:snapToGrid w:val="0"/>
              <w:spacing w:line="240" w:lineRule="auto"/>
              <w:jc w:val="center"/>
              <w:rPr>
                <w:rFonts w:hint="eastAsia"/>
                <w:b/>
                <w:bCs/>
                <w:lang w:val="en-US" w:eastAsia="zh-CN"/>
              </w:rPr>
            </w:pPr>
          </w:p>
        </w:tc>
        <w:tc>
          <w:tcPr>
            <w:tcW w:w="654" w:type="dxa"/>
            <w:vMerge w:val="continue"/>
            <w:vAlign w:val="center"/>
          </w:tcPr>
          <w:p w14:paraId="67EB2CFB">
            <w:pPr>
              <w:adjustRightInd w:val="0"/>
              <w:snapToGrid w:val="0"/>
              <w:spacing w:line="240" w:lineRule="auto"/>
              <w:jc w:val="center"/>
              <w:rPr>
                <w:rFonts w:hint="eastAsia"/>
                <w:lang w:val="en-US" w:eastAsia="zh-CN"/>
              </w:rPr>
            </w:pPr>
          </w:p>
        </w:tc>
        <w:tc>
          <w:tcPr>
            <w:tcW w:w="797" w:type="dxa"/>
            <w:vMerge w:val="continue"/>
            <w:vAlign w:val="center"/>
          </w:tcPr>
          <w:p w14:paraId="617BA157">
            <w:pPr>
              <w:adjustRightInd w:val="0"/>
              <w:snapToGrid w:val="0"/>
              <w:spacing w:line="240" w:lineRule="auto"/>
              <w:jc w:val="center"/>
              <w:rPr>
                <w:rFonts w:hint="eastAsia"/>
                <w:lang w:val="en-US" w:eastAsia="zh-CN"/>
              </w:rPr>
            </w:pPr>
          </w:p>
        </w:tc>
        <w:tc>
          <w:tcPr>
            <w:tcW w:w="1044" w:type="dxa"/>
            <w:vAlign w:val="center"/>
          </w:tcPr>
          <w:p w14:paraId="30E1F8BE">
            <w:pPr>
              <w:spacing w:line="240" w:lineRule="auto"/>
              <w:jc w:val="center"/>
            </w:pPr>
            <w:r>
              <w:rPr>
                <w:rFonts w:hint="eastAsia"/>
                <w:lang w:val="en-US" w:eastAsia="zh-CN"/>
              </w:rPr>
              <w:t>非甲烷总烃</w:t>
            </w:r>
          </w:p>
        </w:tc>
        <w:tc>
          <w:tcPr>
            <w:tcW w:w="2755" w:type="dxa"/>
            <w:vAlign w:val="center"/>
          </w:tcPr>
          <w:p w14:paraId="39F3C00B">
            <w:pPr>
              <w:adjustRightInd w:val="0"/>
              <w:snapToGrid w:val="0"/>
              <w:spacing w:line="240" w:lineRule="auto"/>
              <w:jc w:val="center"/>
              <w:rPr>
                <w:rFonts w:hint="eastAsia" w:eastAsia="仿宋"/>
                <w:lang w:val="en-US" w:eastAsia="zh-CN"/>
              </w:rPr>
            </w:pPr>
            <w:r>
              <w:rPr>
                <w:rFonts w:hint="eastAsia"/>
                <w:lang w:val="en-US" w:eastAsia="zh-CN"/>
              </w:rPr>
              <w:t>/</w:t>
            </w:r>
          </w:p>
        </w:tc>
        <w:tc>
          <w:tcPr>
            <w:tcW w:w="2335" w:type="dxa"/>
            <w:vMerge w:val="restart"/>
            <w:shd w:val="clear" w:color="auto" w:fill="auto"/>
            <w:vAlign w:val="center"/>
          </w:tcPr>
          <w:p w14:paraId="60A314A6">
            <w:pPr>
              <w:spacing w:line="240" w:lineRule="auto"/>
              <w:jc w:val="center"/>
              <w:rPr>
                <w:rFonts w:hint="eastAsia" w:ascii="Times New Roman" w:hAnsi="Times New Roman" w:eastAsia="仿宋" w:cs="Times New Roman"/>
                <w:kern w:val="2"/>
                <w:sz w:val="24"/>
                <w:szCs w:val="24"/>
                <w:lang w:val="en-US" w:eastAsia="zh-CN" w:bidi="ar-SA"/>
              </w:rPr>
            </w:pPr>
            <w:r>
              <w:rPr>
                <w:rFonts w:hint="eastAsia"/>
              </w:rPr>
              <w:t>《大气污染物综合排放标准》（DB32/4041-2021）</w:t>
            </w:r>
          </w:p>
        </w:tc>
      </w:tr>
      <w:tr w14:paraId="6A889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7604993E">
            <w:pPr>
              <w:adjustRightInd w:val="0"/>
              <w:snapToGrid w:val="0"/>
              <w:spacing w:line="240" w:lineRule="auto"/>
              <w:jc w:val="center"/>
              <w:rPr>
                <w:rFonts w:hint="eastAsia"/>
                <w:b/>
                <w:bCs/>
                <w:lang w:val="en-US" w:eastAsia="zh-CN"/>
              </w:rPr>
            </w:pPr>
          </w:p>
        </w:tc>
        <w:tc>
          <w:tcPr>
            <w:tcW w:w="654" w:type="dxa"/>
            <w:vMerge w:val="continue"/>
            <w:vAlign w:val="center"/>
          </w:tcPr>
          <w:p w14:paraId="3499D644">
            <w:pPr>
              <w:adjustRightInd w:val="0"/>
              <w:snapToGrid w:val="0"/>
              <w:spacing w:line="240" w:lineRule="auto"/>
              <w:jc w:val="center"/>
              <w:rPr>
                <w:rFonts w:hint="eastAsia"/>
                <w:lang w:val="en-US" w:eastAsia="zh-CN"/>
              </w:rPr>
            </w:pPr>
          </w:p>
        </w:tc>
        <w:tc>
          <w:tcPr>
            <w:tcW w:w="797" w:type="dxa"/>
            <w:vMerge w:val="restart"/>
            <w:vAlign w:val="center"/>
          </w:tcPr>
          <w:p w14:paraId="3AC889ED">
            <w:pPr>
              <w:adjustRightInd w:val="0"/>
              <w:snapToGrid w:val="0"/>
              <w:spacing w:line="240" w:lineRule="auto"/>
              <w:jc w:val="center"/>
              <w:rPr>
                <w:rFonts w:hint="default"/>
                <w:lang w:val="en-US" w:eastAsia="zh-CN"/>
              </w:rPr>
            </w:pPr>
            <w:r>
              <w:rPr>
                <w:rFonts w:hint="eastAsia"/>
                <w:lang w:val="en-US" w:eastAsia="zh-CN"/>
              </w:rPr>
              <w:t>厂界</w:t>
            </w:r>
          </w:p>
        </w:tc>
        <w:tc>
          <w:tcPr>
            <w:tcW w:w="1044" w:type="dxa"/>
            <w:shd w:val="clear" w:color="auto" w:fill="auto"/>
            <w:vAlign w:val="center"/>
          </w:tcPr>
          <w:p w14:paraId="1622EB71">
            <w:pPr>
              <w:spacing w:line="240" w:lineRule="auto"/>
              <w:jc w:val="center"/>
              <w:rPr>
                <w:rFonts w:hint="eastAsia" w:ascii="Times New Roman" w:hAnsi="Times New Roman" w:eastAsia="仿宋" w:cs="Times New Roman"/>
                <w:kern w:val="2"/>
                <w:sz w:val="24"/>
                <w:szCs w:val="24"/>
                <w:lang w:val="en-US" w:eastAsia="zh-CN" w:bidi="ar-SA"/>
              </w:rPr>
            </w:pPr>
            <w:r>
              <w:rPr>
                <w:rFonts w:hint="eastAsia"/>
                <w:lang w:val="en-US" w:eastAsia="zh-CN"/>
              </w:rPr>
              <w:t>颗粒物</w:t>
            </w:r>
          </w:p>
        </w:tc>
        <w:tc>
          <w:tcPr>
            <w:tcW w:w="2755" w:type="dxa"/>
            <w:vAlign w:val="center"/>
          </w:tcPr>
          <w:p w14:paraId="6398C820">
            <w:pPr>
              <w:adjustRightInd w:val="0"/>
              <w:snapToGrid w:val="0"/>
              <w:spacing w:line="240" w:lineRule="auto"/>
              <w:jc w:val="center"/>
              <w:rPr>
                <w:rFonts w:hint="eastAsia" w:eastAsia="仿宋"/>
                <w:lang w:val="en-US" w:eastAsia="zh-CN"/>
              </w:rPr>
            </w:pPr>
            <w:r>
              <w:rPr>
                <w:rFonts w:hint="eastAsia"/>
                <w:lang w:val="en-US" w:eastAsia="zh-CN"/>
              </w:rPr>
              <w:t>/</w:t>
            </w:r>
          </w:p>
        </w:tc>
        <w:tc>
          <w:tcPr>
            <w:tcW w:w="2335" w:type="dxa"/>
            <w:vMerge w:val="continue"/>
            <w:vAlign w:val="center"/>
          </w:tcPr>
          <w:p w14:paraId="3D481632">
            <w:pPr>
              <w:adjustRightInd w:val="0"/>
              <w:snapToGrid w:val="0"/>
              <w:spacing w:line="240" w:lineRule="auto"/>
              <w:jc w:val="center"/>
              <w:rPr>
                <w:rFonts w:hint="eastAsia"/>
              </w:rPr>
            </w:pPr>
          </w:p>
        </w:tc>
      </w:tr>
      <w:tr w14:paraId="5DE7D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6373EF10">
            <w:pPr>
              <w:adjustRightInd w:val="0"/>
              <w:snapToGrid w:val="0"/>
              <w:spacing w:line="240" w:lineRule="auto"/>
              <w:jc w:val="center"/>
              <w:rPr>
                <w:rFonts w:hint="eastAsia"/>
                <w:b/>
                <w:bCs/>
                <w:lang w:val="en-US" w:eastAsia="zh-CN"/>
              </w:rPr>
            </w:pPr>
          </w:p>
        </w:tc>
        <w:tc>
          <w:tcPr>
            <w:tcW w:w="654" w:type="dxa"/>
            <w:vMerge w:val="continue"/>
            <w:vAlign w:val="center"/>
          </w:tcPr>
          <w:p w14:paraId="4CA77873">
            <w:pPr>
              <w:adjustRightInd w:val="0"/>
              <w:snapToGrid w:val="0"/>
              <w:spacing w:line="240" w:lineRule="auto"/>
              <w:jc w:val="center"/>
              <w:rPr>
                <w:rFonts w:hint="eastAsia"/>
                <w:lang w:val="en-US" w:eastAsia="zh-CN"/>
              </w:rPr>
            </w:pPr>
          </w:p>
        </w:tc>
        <w:tc>
          <w:tcPr>
            <w:tcW w:w="797" w:type="dxa"/>
            <w:vMerge w:val="continue"/>
            <w:vAlign w:val="center"/>
          </w:tcPr>
          <w:p w14:paraId="10D7ECD6">
            <w:pPr>
              <w:adjustRightInd w:val="0"/>
              <w:snapToGrid w:val="0"/>
              <w:spacing w:line="240" w:lineRule="auto"/>
              <w:jc w:val="center"/>
              <w:rPr>
                <w:rFonts w:hint="eastAsia"/>
                <w:lang w:val="en-US" w:eastAsia="zh-CN"/>
              </w:rPr>
            </w:pPr>
          </w:p>
        </w:tc>
        <w:tc>
          <w:tcPr>
            <w:tcW w:w="1044" w:type="dxa"/>
            <w:shd w:val="clear" w:color="auto" w:fill="auto"/>
            <w:vAlign w:val="center"/>
          </w:tcPr>
          <w:p w14:paraId="2EFFA94C">
            <w:pPr>
              <w:spacing w:line="240" w:lineRule="auto"/>
              <w:jc w:val="center"/>
              <w:rPr>
                <w:rFonts w:hint="eastAsia" w:ascii="Times New Roman" w:hAnsi="Times New Roman" w:eastAsia="仿宋" w:cs="Times New Roman"/>
                <w:kern w:val="2"/>
                <w:sz w:val="24"/>
                <w:szCs w:val="24"/>
                <w:lang w:val="en-US" w:eastAsia="zh-CN" w:bidi="ar-SA"/>
              </w:rPr>
            </w:pPr>
            <w:r>
              <w:rPr>
                <w:rFonts w:hint="eastAsia"/>
                <w:lang w:val="en-US" w:eastAsia="zh-CN"/>
              </w:rPr>
              <w:t>非甲烷总烃</w:t>
            </w:r>
          </w:p>
        </w:tc>
        <w:tc>
          <w:tcPr>
            <w:tcW w:w="2755" w:type="dxa"/>
            <w:vAlign w:val="center"/>
          </w:tcPr>
          <w:p w14:paraId="10ADF53C">
            <w:pPr>
              <w:adjustRightInd w:val="0"/>
              <w:snapToGrid w:val="0"/>
              <w:spacing w:line="240" w:lineRule="auto"/>
              <w:jc w:val="center"/>
              <w:rPr>
                <w:rFonts w:hint="eastAsia" w:eastAsia="仿宋"/>
                <w:lang w:val="en-US" w:eastAsia="zh-CN"/>
              </w:rPr>
            </w:pPr>
            <w:r>
              <w:rPr>
                <w:rFonts w:hint="eastAsia"/>
                <w:lang w:val="en-US" w:eastAsia="zh-CN"/>
              </w:rPr>
              <w:t>/</w:t>
            </w:r>
          </w:p>
        </w:tc>
        <w:tc>
          <w:tcPr>
            <w:tcW w:w="2335" w:type="dxa"/>
            <w:vMerge w:val="continue"/>
            <w:vAlign w:val="center"/>
          </w:tcPr>
          <w:p w14:paraId="704CF8B9">
            <w:pPr>
              <w:adjustRightInd w:val="0"/>
              <w:snapToGrid w:val="0"/>
              <w:spacing w:line="240" w:lineRule="auto"/>
              <w:jc w:val="center"/>
              <w:rPr>
                <w:rFonts w:hint="eastAsia"/>
              </w:rPr>
            </w:pPr>
          </w:p>
        </w:tc>
      </w:tr>
      <w:tr w14:paraId="0B9AD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restart"/>
            <w:vAlign w:val="center"/>
          </w:tcPr>
          <w:p w14:paraId="02016A02">
            <w:pPr>
              <w:adjustRightInd w:val="0"/>
              <w:snapToGrid w:val="0"/>
              <w:spacing w:line="240" w:lineRule="auto"/>
              <w:jc w:val="center"/>
              <w:rPr>
                <w:b/>
                <w:bCs/>
              </w:rPr>
            </w:pPr>
            <w:r>
              <w:rPr>
                <w:b/>
                <w:bCs/>
              </w:rPr>
              <w:t>地表水环境</w:t>
            </w:r>
          </w:p>
        </w:tc>
        <w:tc>
          <w:tcPr>
            <w:tcW w:w="1451" w:type="dxa"/>
            <w:gridSpan w:val="2"/>
            <w:vMerge w:val="restart"/>
            <w:vAlign w:val="center"/>
          </w:tcPr>
          <w:p w14:paraId="525463F8">
            <w:pPr>
              <w:adjustRightInd w:val="0"/>
              <w:snapToGrid w:val="0"/>
              <w:spacing w:line="240" w:lineRule="auto"/>
              <w:jc w:val="center"/>
            </w:pPr>
            <w:r>
              <w:t>生活污水</w:t>
            </w:r>
          </w:p>
        </w:tc>
        <w:tc>
          <w:tcPr>
            <w:tcW w:w="1044" w:type="dxa"/>
            <w:vAlign w:val="center"/>
          </w:tcPr>
          <w:p w14:paraId="28E06329">
            <w:pPr>
              <w:spacing w:line="240" w:lineRule="auto"/>
              <w:jc w:val="center"/>
            </w:pPr>
            <w:r>
              <w:t>COD</w:t>
            </w:r>
          </w:p>
        </w:tc>
        <w:tc>
          <w:tcPr>
            <w:tcW w:w="2755" w:type="dxa"/>
            <w:vMerge w:val="restart"/>
            <w:vAlign w:val="center"/>
          </w:tcPr>
          <w:p w14:paraId="1892120A">
            <w:pPr>
              <w:adjustRightInd w:val="0"/>
              <w:snapToGrid w:val="0"/>
              <w:spacing w:line="240" w:lineRule="auto"/>
              <w:jc w:val="center"/>
            </w:pPr>
            <w:r>
              <w:t>生活污水接管至常州东方横山水处理有限公司集中处理</w:t>
            </w:r>
          </w:p>
        </w:tc>
        <w:tc>
          <w:tcPr>
            <w:tcW w:w="2335" w:type="dxa"/>
            <w:vMerge w:val="restart"/>
            <w:vAlign w:val="center"/>
          </w:tcPr>
          <w:p w14:paraId="6FD134EB">
            <w:pPr>
              <w:adjustRightInd w:val="0"/>
              <w:snapToGrid w:val="0"/>
              <w:spacing w:line="240" w:lineRule="auto"/>
              <w:jc w:val="center"/>
            </w:pPr>
            <w:r>
              <w:rPr>
                <w:rFonts w:hint="eastAsia"/>
              </w:rPr>
              <w:t>生活污水</w:t>
            </w:r>
            <w:r>
              <w:t>接管口执行《污水排入城镇下水道水质标准》（GB/T31962-2015）标准</w:t>
            </w:r>
          </w:p>
        </w:tc>
      </w:tr>
      <w:tr w14:paraId="66455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683CAF81">
            <w:pPr>
              <w:adjustRightInd w:val="0"/>
              <w:snapToGrid w:val="0"/>
              <w:spacing w:line="240" w:lineRule="auto"/>
              <w:jc w:val="center"/>
              <w:rPr>
                <w:b/>
                <w:bCs/>
              </w:rPr>
            </w:pPr>
          </w:p>
        </w:tc>
        <w:tc>
          <w:tcPr>
            <w:tcW w:w="1451" w:type="dxa"/>
            <w:gridSpan w:val="2"/>
            <w:vMerge w:val="continue"/>
            <w:vAlign w:val="center"/>
          </w:tcPr>
          <w:p w14:paraId="1459DC74">
            <w:pPr>
              <w:adjustRightInd w:val="0"/>
              <w:snapToGrid w:val="0"/>
              <w:spacing w:line="240" w:lineRule="auto"/>
              <w:jc w:val="center"/>
            </w:pPr>
          </w:p>
        </w:tc>
        <w:tc>
          <w:tcPr>
            <w:tcW w:w="1044" w:type="dxa"/>
            <w:vAlign w:val="center"/>
          </w:tcPr>
          <w:p w14:paraId="3DB9DA72">
            <w:pPr>
              <w:spacing w:line="240" w:lineRule="auto"/>
              <w:jc w:val="center"/>
            </w:pPr>
            <w:r>
              <w:t>SS</w:t>
            </w:r>
          </w:p>
        </w:tc>
        <w:tc>
          <w:tcPr>
            <w:tcW w:w="2755" w:type="dxa"/>
            <w:vMerge w:val="continue"/>
            <w:vAlign w:val="center"/>
          </w:tcPr>
          <w:p w14:paraId="38E0707D">
            <w:pPr>
              <w:adjustRightInd w:val="0"/>
              <w:snapToGrid w:val="0"/>
              <w:spacing w:line="240" w:lineRule="auto"/>
              <w:jc w:val="center"/>
            </w:pPr>
          </w:p>
        </w:tc>
        <w:tc>
          <w:tcPr>
            <w:tcW w:w="2335" w:type="dxa"/>
            <w:vMerge w:val="continue"/>
            <w:vAlign w:val="center"/>
          </w:tcPr>
          <w:p w14:paraId="744215F3">
            <w:pPr>
              <w:adjustRightInd w:val="0"/>
              <w:snapToGrid w:val="0"/>
              <w:spacing w:line="240" w:lineRule="auto"/>
              <w:jc w:val="center"/>
            </w:pPr>
          </w:p>
        </w:tc>
      </w:tr>
      <w:tr w14:paraId="36B3E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73CD6B75">
            <w:pPr>
              <w:adjustRightInd w:val="0"/>
              <w:snapToGrid w:val="0"/>
              <w:spacing w:line="240" w:lineRule="auto"/>
              <w:jc w:val="center"/>
              <w:rPr>
                <w:b/>
                <w:bCs/>
              </w:rPr>
            </w:pPr>
          </w:p>
        </w:tc>
        <w:tc>
          <w:tcPr>
            <w:tcW w:w="1451" w:type="dxa"/>
            <w:gridSpan w:val="2"/>
            <w:vMerge w:val="continue"/>
            <w:vAlign w:val="center"/>
          </w:tcPr>
          <w:p w14:paraId="5AD62804">
            <w:pPr>
              <w:adjustRightInd w:val="0"/>
              <w:snapToGrid w:val="0"/>
              <w:spacing w:line="240" w:lineRule="auto"/>
              <w:jc w:val="center"/>
            </w:pPr>
          </w:p>
        </w:tc>
        <w:tc>
          <w:tcPr>
            <w:tcW w:w="1044" w:type="dxa"/>
            <w:vAlign w:val="center"/>
          </w:tcPr>
          <w:p w14:paraId="6A199472">
            <w:pPr>
              <w:spacing w:line="240" w:lineRule="auto"/>
              <w:jc w:val="center"/>
            </w:pPr>
            <w:r>
              <w:t>NH</w:t>
            </w:r>
            <w:r>
              <w:rPr>
                <w:vertAlign w:val="subscript"/>
              </w:rPr>
              <w:t>3</w:t>
            </w:r>
            <w:r>
              <w:t>-N</w:t>
            </w:r>
          </w:p>
        </w:tc>
        <w:tc>
          <w:tcPr>
            <w:tcW w:w="2755" w:type="dxa"/>
            <w:vMerge w:val="continue"/>
            <w:vAlign w:val="center"/>
          </w:tcPr>
          <w:p w14:paraId="32230CD6">
            <w:pPr>
              <w:adjustRightInd w:val="0"/>
              <w:snapToGrid w:val="0"/>
              <w:spacing w:line="240" w:lineRule="auto"/>
              <w:jc w:val="center"/>
            </w:pPr>
          </w:p>
        </w:tc>
        <w:tc>
          <w:tcPr>
            <w:tcW w:w="2335" w:type="dxa"/>
            <w:vMerge w:val="continue"/>
            <w:vAlign w:val="center"/>
          </w:tcPr>
          <w:p w14:paraId="3DED8EF7">
            <w:pPr>
              <w:adjustRightInd w:val="0"/>
              <w:snapToGrid w:val="0"/>
              <w:spacing w:line="240" w:lineRule="auto"/>
              <w:jc w:val="center"/>
            </w:pPr>
          </w:p>
        </w:tc>
      </w:tr>
      <w:tr w14:paraId="5E711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44826897">
            <w:pPr>
              <w:adjustRightInd w:val="0"/>
              <w:snapToGrid w:val="0"/>
              <w:spacing w:line="240" w:lineRule="auto"/>
              <w:jc w:val="center"/>
              <w:rPr>
                <w:b/>
                <w:bCs/>
              </w:rPr>
            </w:pPr>
          </w:p>
        </w:tc>
        <w:tc>
          <w:tcPr>
            <w:tcW w:w="1451" w:type="dxa"/>
            <w:gridSpan w:val="2"/>
            <w:vMerge w:val="continue"/>
            <w:vAlign w:val="center"/>
          </w:tcPr>
          <w:p w14:paraId="1D869648">
            <w:pPr>
              <w:adjustRightInd w:val="0"/>
              <w:snapToGrid w:val="0"/>
              <w:spacing w:line="240" w:lineRule="auto"/>
              <w:jc w:val="center"/>
            </w:pPr>
          </w:p>
        </w:tc>
        <w:tc>
          <w:tcPr>
            <w:tcW w:w="1044" w:type="dxa"/>
            <w:vAlign w:val="center"/>
          </w:tcPr>
          <w:p w14:paraId="4EEB378E">
            <w:pPr>
              <w:spacing w:line="240" w:lineRule="auto"/>
              <w:jc w:val="center"/>
            </w:pPr>
            <w:r>
              <w:t>TN</w:t>
            </w:r>
          </w:p>
        </w:tc>
        <w:tc>
          <w:tcPr>
            <w:tcW w:w="2755" w:type="dxa"/>
            <w:vMerge w:val="continue"/>
            <w:vAlign w:val="center"/>
          </w:tcPr>
          <w:p w14:paraId="3A59D38B">
            <w:pPr>
              <w:adjustRightInd w:val="0"/>
              <w:snapToGrid w:val="0"/>
              <w:spacing w:line="240" w:lineRule="auto"/>
              <w:jc w:val="center"/>
            </w:pPr>
          </w:p>
        </w:tc>
        <w:tc>
          <w:tcPr>
            <w:tcW w:w="2335" w:type="dxa"/>
            <w:vMerge w:val="continue"/>
            <w:vAlign w:val="center"/>
          </w:tcPr>
          <w:p w14:paraId="00398B8F">
            <w:pPr>
              <w:adjustRightInd w:val="0"/>
              <w:snapToGrid w:val="0"/>
              <w:spacing w:line="240" w:lineRule="auto"/>
              <w:jc w:val="center"/>
            </w:pPr>
          </w:p>
        </w:tc>
      </w:tr>
      <w:tr w14:paraId="7D4A8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Merge w:val="continue"/>
            <w:vAlign w:val="center"/>
          </w:tcPr>
          <w:p w14:paraId="65C014A1">
            <w:pPr>
              <w:adjustRightInd w:val="0"/>
              <w:snapToGrid w:val="0"/>
              <w:spacing w:line="240" w:lineRule="auto"/>
              <w:jc w:val="center"/>
              <w:rPr>
                <w:b/>
                <w:bCs/>
              </w:rPr>
            </w:pPr>
          </w:p>
        </w:tc>
        <w:tc>
          <w:tcPr>
            <w:tcW w:w="1451" w:type="dxa"/>
            <w:gridSpan w:val="2"/>
            <w:vMerge w:val="continue"/>
            <w:vAlign w:val="center"/>
          </w:tcPr>
          <w:p w14:paraId="6AF94C8D">
            <w:pPr>
              <w:adjustRightInd w:val="0"/>
              <w:snapToGrid w:val="0"/>
              <w:spacing w:line="240" w:lineRule="auto"/>
              <w:jc w:val="center"/>
            </w:pPr>
          </w:p>
        </w:tc>
        <w:tc>
          <w:tcPr>
            <w:tcW w:w="1044" w:type="dxa"/>
            <w:vAlign w:val="center"/>
          </w:tcPr>
          <w:p w14:paraId="75C5D89E">
            <w:pPr>
              <w:spacing w:line="240" w:lineRule="auto"/>
              <w:jc w:val="center"/>
            </w:pPr>
            <w:r>
              <w:t>TP</w:t>
            </w:r>
          </w:p>
        </w:tc>
        <w:tc>
          <w:tcPr>
            <w:tcW w:w="2755" w:type="dxa"/>
            <w:vMerge w:val="continue"/>
            <w:vAlign w:val="center"/>
          </w:tcPr>
          <w:p w14:paraId="649A5090">
            <w:pPr>
              <w:adjustRightInd w:val="0"/>
              <w:snapToGrid w:val="0"/>
              <w:spacing w:line="240" w:lineRule="auto"/>
              <w:jc w:val="center"/>
            </w:pPr>
          </w:p>
        </w:tc>
        <w:tc>
          <w:tcPr>
            <w:tcW w:w="2335" w:type="dxa"/>
            <w:vMerge w:val="continue"/>
            <w:vAlign w:val="center"/>
          </w:tcPr>
          <w:p w14:paraId="518D6125">
            <w:pPr>
              <w:adjustRightInd w:val="0"/>
              <w:snapToGrid w:val="0"/>
              <w:spacing w:line="240" w:lineRule="auto"/>
              <w:jc w:val="center"/>
            </w:pPr>
          </w:p>
        </w:tc>
      </w:tr>
      <w:tr w14:paraId="17B55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15" w:type="dxa"/>
            <w:vMerge w:val="restart"/>
            <w:vAlign w:val="center"/>
          </w:tcPr>
          <w:p w14:paraId="76D23D5E">
            <w:pPr>
              <w:adjustRightInd w:val="0"/>
              <w:snapToGrid w:val="0"/>
              <w:spacing w:line="240" w:lineRule="auto"/>
              <w:jc w:val="center"/>
              <w:rPr>
                <w:b/>
                <w:bCs/>
              </w:rPr>
            </w:pPr>
            <w:r>
              <w:rPr>
                <w:b/>
                <w:bCs/>
              </w:rPr>
              <w:t>声环境</w:t>
            </w:r>
          </w:p>
        </w:tc>
        <w:tc>
          <w:tcPr>
            <w:tcW w:w="1451" w:type="dxa"/>
            <w:gridSpan w:val="2"/>
            <w:vAlign w:val="center"/>
          </w:tcPr>
          <w:p w14:paraId="42B3CB05">
            <w:pPr>
              <w:spacing w:line="240" w:lineRule="auto"/>
              <w:jc w:val="center"/>
            </w:pPr>
            <w:r>
              <w:t>生产设备</w:t>
            </w:r>
          </w:p>
        </w:tc>
        <w:tc>
          <w:tcPr>
            <w:tcW w:w="1044" w:type="dxa"/>
            <w:vAlign w:val="center"/>
          </w:tcPr>
          <w:p w14:paraId="137065FB">
            <w:pPr>
              <w:spacing w:line="240" w:lineRule="auto"/>
              <w:jc w:val="center"/>
            </w:pPr>
            <w:r>
              <w:rPr>
                <w:rFonts w:hint="eastAsia"/>
              </w:rPr>
              <w:t>噪声</w:t>
            </w:r>
          </w:p>
        </w:tc>
        <w:tc>
          <w:tcPr>
            <w:tcW w:w="2755" w:type="dxa"/>
            <w:vMerge w:val="restart"/>
            <w:vAlign w:val="center"/>
          </w:tcPr>
          <w:p w14:paraId="214563FA">
            <w:pPr>
              <w:adjustRightInd w:val="0"/>
              <w:snapToGrid w:val="0"/>
              <w:spacing w:line="240" w:lineRule="auto"/>
              <w:jc w:val="center"/>
            </w:pPr>
            <w:r>
              <w:t>隔声、减振</w:t>
            </w:r>
          </w:p>
        </w:tc>
        <w:tc>
          <w:tcPr>
            <w:tcW w:w="2335" w:type="dxa"/>
            <w:vMerge w:val="restart"/>
            <w:vAlign w:val="center"/>
          </w:tcPr>
          <w:p w14:paraId="7803C347">
            <w:pPr>
              <w:adjustRightInd w:val="0"/>
              <w:snapToGrid w:val="0"/>
              <w:spacing w:line="240" w:lineRule="auto"/>
              <w:jc w:val="center"/>
            </w:pPr>
            <w:r>
              <w:t>《工业企业厂界环境噪声排放标准》（GB12348-2008）相关标准</w:t>
            </w:r>
          </w:p>
        </w:tc>
      </w:tr>
      <w:tr w14:paraId="39377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15" w:type="dxa"/>
            <w:vMerge w:val="continue"/>
            <w:vAlign w:val="center"/>
          </w:tcPr>
          <w:p w14:paraId="350721E2">
            <w:pPr>
              <w:spacing w:line="240" w:lineRule="auto"/>
              <w:jc w:val="center"/>
            </w:pPr>
          </w:p>
        </w:tc>
        <w:tc>
          <w:tcPr>
            <w:tcW w:w="1451" w:type="dxa"/>
            <w:gridSpan w:val="2"/>
            <w:vAlign w:val="center"/>
          </w:tcPr>
          <w:p w14:paraId="0B29BB76">
            <w:pPr>
              <w:spacing w:line="240" w:lineRule="auto"/>
              <w:jc w:val="center"/>
            </w:pPr>
            <w:r>
              <w:rPr>
                <w:rFonts w:hint="eastAsia"/>
              </w:rPr>
              <w:t>公辅设备</w:t>
            </w:r>
          </w:p>
        </w:tc>
        <w:tc>
          <w:tcPr>
            <w:tcW w:w="1044" w:type="dxa"/>
            <w:vAlign w:val="center"/>
          </w:tcPr>
          <w:p w14:paraId="0404B94F">
            <w:pPr>
              <w:spacing w:line="240" w:lineRule="auto"/>
              <w:jc w:val="center"/>
            </w:pPr>
            <w:r>
              <w:rPr>
                <w:rFonts w:hint="eastAsia"/>
              </w:rPr>
              <w:t>噪声</w:t>
            </w:r>
          </w:p>
        </w:tc>
        <w:tc>
          <w:tcPr>
            <w:tcW w:w="2755" w:type="dxa"/>
            <w:vMerge w:val="continue"/>
            <w:vAlign w:val="center"/>
          </w:tcPr>
          <w:p w14:paraId="0364FCF2">
            <w:pPr>
              <w:spacing w:line="240" w:lineRule="auto"/>
              <w:jc w:val="center"/>
            </w:pPr>
          </w:p>
        </w:tc>
        <w:tc>
          <w:tcPr>
            <w:tcW w:w="2335" w:type="dxa"/>
            <w:vMerge w:val="continue"/>
            <w:vAlign w:val="center"/>
          </w:tcPr>
          <w:p w14:paraId="0F7E8F5C">
            <w:pPr>
              <w:spacing w:line="240" w:lineRule="auto"/>
              <w:jc w:val="center"/>
            </w:pPr>
          </w:p>
        </w:tc>
      </w:tr>
      <w:tr w14:paraId="76F54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15" w:type="dxa"/>
            <w:vMerge w:val="continue"/>
            <w:vAlign w:val="center"/>
          </w:tcPr>
          <w:p w14:paraId="073297FC">
            <w:pPr>
              <w:spacing w:line="240" w:lineRule="auto"/>
              <w:jc w:val="center"/>
            </w:pPr>
          </w:p>
        </w:tc>
        <w:tc>
          <w:tcPr>
            <w:tcW w:w="1451" w:type="dxa"/>
            <w:gridSpan w:val="2"/>
            <w:vAlign w:val="center"/>
          </w:tcPr>
          <w:p w14:paraId="55B5BBCE">
            <w:pPr>
              <w:spacing w:line="240" w:lineRule="auto"/>
              <w:jc w:val="center"/>
            </w:pPr>
            <w:r>
              <w:rPr>
                <w:rFonts w:hint="eastAsia"/>
              </w:rPr>
              <w:t>环保设备</w:t>
            </w:r>
          </w:p>
        </w:tc>
        <w:tc>
          <w:tcPr>
            <w:tcW w:w="1044" w:type="dxa"/>
            <w:vAlign w:val="center"/>
          </w:tcPr>
          <w:p w14:paraId="106907CF">
            <w:pPr>
              <w:spacing w:line="240" w:lineRule="auto"/>
              <w:jc w:val="center"/>
            </w:pPr>
            <w:r>
              <w:rPr>
                <w:rFonts w:hint="eastAsia"/>
              </w:rPr>
              <w:t>噪声</w:t>
            </w:r>
          </w:p>
        </w:tc>
        <w:tc>
          <w:tcPr>
            <w:tcW w:w="2755" w:type="dxa"/>
            <w:vMerge w:val="continue"/>
            <w:vAlign w:val="center"/>
          </w:tcPr>
          <w:p w14:paraId="3B914C5B">
            <w:pPr>
              <w:spacing w:line="240" w:lineRule="auto"/>
              <w:jc w:val="center"/>
            </w:pPr>
          </w:p>
        </w:tc>
        <w:tc>
          <w:tcPr>
            <w:tcW w:w="2335" w:type="dxa"/>
            <w:vMerge w:val="continue"/>
            <w:vAlign w:val="center"/>
          </w:tcPr>
          <w:p w14:paraId="707D55D8">
            <w:pPr>
              <w:spacing w:line="240" w:lineRule="auto"/>
              <w:jc w:val="center"/>
            </w:pPr>
          </w:p>
        </w:tc>
      </w:tr>
      <w:tr w14:paraId="7468F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60E44F88">
            <w:pPr>
              <w:adjustRightInd w:val="0"/>
              <w:snapToGrid w:val="0"/>
              <w:spacing w:line="240" w:lineRule="auto"/>
              <w:jc w:val="center"/>
              <w:rPr>
                <w:b/>
                <w:bCs/>
              </w:rPr>
            </w:pPr>
            <w:r>
              <w:rPr>
                <w:b/>
                <w:bCs/>
              </w:rPr>
              <w:t>电磁辐射</w:t>
            </w:r>
          </w:p>
        </w:tc>
        <w:tc>
          <w:tcPr>
            <w:tcW w:w="7585" w:type="dxa"/>
            <w:gridSpan w:val="5"/>
            <w:vAlign w:val="center"/>
          </w:tcPr>
          <w:p w14:paraId="634E7F96">
            <w:pPr>
              <w:adjustRightInd w:val="0"/>
              <w:snapToGrid w:val="0"/>
              <w:spacing w:line="240" w:lineRule="auto"/>
              <w:jc w:val="center"/>
            </w:pPr>
            <w:r>
              <w:t>无</w:t>
            </w:r>
          </w:p>
        </w:tc>
      </w:tr>
      <w:tr w14:paraId="595FB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7251C975">
            <w:pPr>
              <w:adjustRightInd w:val="0"/>
              <w:snapToGrid w:val="0"/>
              <w:spacing w:line="240" w:lineRule="auto"/>
              <w:jc w:val="center"/>
              <w:rPr>
                <w:b/>
                <w:bCs/>
              </w:rPr>
            </w:pPr>
            <w:r>
              <w:rPr>
                <w:b/>
                <w:bCs/>
              </w:rPr>
              <w:t>固体废物</w:t>
            </w:r>
          </w:p>
        </w:tc>
        <w:tc>
          <w:tcPr>
            <w:tcW w:w="7585" w:type="dxa"/>
            <w:gridSpan w:val="5"/>
            <w:vAlign w:val="center"/>
          </w:tcPr>
          <w:p w14:paraId="7BA005F9">
            <w:pPr>
              <w:adjustRightInd w:val="0"/>
              <w:snapToGrid w:val="0"/>
              <w:spacing w:line="480" w:lineRule="exact"/>
              <w:ind w:firstLine="480" w:firstLineChars="200"/>
              <w:jc w:val="left"/>
            </w:pPr>
            <w:r>
              <w:rPr>
                <w:bCs/>
              </w:rPr>
              <w:t>本项目产生的边角料</w:t>
            </w:r>
            <w:r>
              <w:rPr>
                <w:rFonts w:hint="eastAsia"/>
                <w:bCs/>
                <w:lang w:val="en-US" w:eastAsia="zh-CN"/>
              </w:rPr>
              <w:t>和不合格品回用于熔化工段</w:t>
            </w:r>
            <w:r>
              <w:rPr>
                <w:bCs/>
              </w:rPr>
              <w:t>；废</w:t>
            </w:r>
            <w:r>
              <w:rPr>
                <w:rFonts w:hint="eastAsia"/>
                <w:bCs/>
                <w:lang w:val="en-US" w:eastAsia="zh-CN"/>
              </w:rPr>
              <w:t>机</w:t>
            </w:r>
            <w:r>
              <w:rPr>
                <w:rFonts w:hint="eastAsia"/>
                <w:bCs/>
              </w:rPr>
              <w:t>油</w:t>
            </w:r>
            <w:r>
              <w:rPr>
                <w:bCs/>
              </w:rPr>
              <w:t>、</w:t>
            </w:r>
            <w:r>
              <w:rPr>
                <w:rFonts w:hint="eastAsia"/>
                <w:bCs/>
                <w:lang w:val="en-US" w:eastAsia="zh-CN"/>
              </w:rPr>
              <w:t>废包装桶</w:t>
            </w:r>
            <w:r>
              <w:rPr>
                <w:rFonts w:hint="eastAsia"/>
                <w:bCs/>
              </w:rPr>
              <w:t>、</w:t>
            </w:r>
            <w:r>
              <w:rPr>
                <w:rFonts w:hint="eastAsia"/>
                <w:bCs/>
                <w:lang w:val="en-US" w:eastAsia="zh-CN"/>
              </w:rPr>
              <w:t>炉渣、废过滤材料、废脱模剂、喷淋废液、废活性炭</w:t>
            </w:r>
            <w:r>
              <w:rPr>
                <w:bCs/>
              </w:rPr>
              <w:t>委托有资质单位处置；废弃的含油抹布、劳保用品</w:t>
            </w:r>
            <w:r>
              <w:rPr>
                <w:rFonts w:hint="eastAsia"/>
                <w:bCs/>
                <w:lang w:val="en-US" w:eastAsia="zh-CN"/>
              </w:rPr>
              <w:t>和</w:t>
            </w:r>
            <w:r>
              <w:rPr>
                <w:bCs/>
              </w:rPr>
              <w:t>生活垃圾由环卫部门统一清运。</w:t>
            </w:r>
          </w:p>
        </w:tc>
      </w:tr>
      <w:tr w14:paraId="2CF9D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70AB24B9">
            <w:pPr>
              <w:adjustRightInd w:val="0"/>
              <w:snapToGrid w:val="0"/>
              <w:spacing w:line="240" w:lineRule="auto"/>
              <w:jc w:val="center"/>
              <w:rPr>
                <w:b/>
                <w:bCs/>
              </w:rPr>
            </w:pPr>
            <w:r>
              <w:rPr>
                <w:b/>
                <w:bCs/>
              </w:rPr>
              <w:t>土壤及地下水污染防治措施</w:t>
            </w:r>
          </w:p>
        </w:tc>
        <w:tc>
          <w:tcPr>
            <w:tcW w:w="7585" w:type="dxa"/>
            <w:gridSpan w:val="5"/>
            <w:vAlign w:val="center"/>
          </w:tcPr>
          <w:p w14:paraId="25750C48">
            <w:pPr>
              <w:adjustRightInd w:val="0"/>
              <w:snapToGrid w:val="0"/>
              <w:spacing w:line="440" w:lineRule="exact"/>
              <w:ind w:firstLine="482" w:firstLineChars="200"/>
              <w:jc w:val="left"/>
              <w:rPr>
                <w:b/>
              </w:rPr>
            </w:pPr>
            <w:r>
              <w:rPr>
                <w:b/>
              </w:rPr>
              <w:t>1、土壤污染防治措施</w:t>
            </w:r>
          </w:p>
          <w:p w14:paraId="3CF35A32">
            <w:pPr>
              <w:adjustRightInd w:val="0"/>
              <w:snapToGrid w:val="0"/>
              <w:spacing w:line="440" w:lineRule="exact"/>
              <w:ind w:firstLine="480" w:firstLineChars="200"/>
              <w:jc w:val="left"/>
              <w:rPr>
                <w:bCs/>
              </w:rPr>
            </w:pPr>
            <w:r>
              <w:rPr>
                <w:bCs/>
              </w:rPr>
              <w:t>A.源头控制措施</w:t>
            </w:r>
          </w:p>
          <w:p w14:paraId="144BBAB6">
            <w:pPr>
              <w:adjustRightInd w:val="0"/>
              <w:snapToGrid w:val="0"/>
              <w:spacing w:line="480" w:lineRule="exact"/>
              <w:ind w:firstLine="480" w:firstLineChars="200"/>
              <w:jc w:val="left"/>
              <w:rPr>
                <w:bCs/>
              </w:rPr>
            </w:pPr>
            <w:r>
              <w:rPr>
                <w:bCs/>
              </w:rPr>
              <w:t>为保护土壤环境，采取防控措施从源头控制对土壤的污染。实施清洁生产和循环经济，减少污染物的排放量。从设计、管理各种工艺设备和物料运输管线上，防止和减少污染物的跑冒滴漏，合理布局，减少污染物的泄漏途径。</w:t>
            </w:r>
          </w:p>
          <w:p w14:paraId="243E25E3">
            <w:pPr>
              <w:adjustRightInd w:val="0"/>
              <w:snapToGrid w:val="0"/>
              <w:spacing w:line="440" w:lineRule="exact"/>
              <w:ind w:firstLine="480" w:firstLineChars="200"/>
              <w:jc w:val="left"/>
              <w:rPr>
                <w:bCs/>
              </w:rPr>
            </w:pPr>
            <w:r>
              <w:rPr>
                <w:bCs/>
              </w:rPr>
              <w:t>B.过程防控措施</w:t>
            </w:r>
          </w:p>
          <w:p w14:paraId="1624F95D">
            <w:pPr>
              <w:adjustRightInd w:val="0"/>
              <w:snapToGrid w:val="0"/>
              <w:spacing w:line="440" w:lineRule="exact"/>
              <w:ind w:firstLine="480" w:firstLineChars="200"/>
              <w:jc w:val="left"/>
              <w:rPr>
                <w:bCs/>
              </w:rPr>
            </w:pPr>
            <w:r>
              <w:rPr>
                <w:bCs/>
              </w:rPr>
              <w:t>本项目土壤污染过程防控措施如下：</w:t>
            </w:r>
          </w:p>
          <w:p w14:paraId="73C3CC41">
            <w:pPr>
              <w:adjustRightInd w:val="0"/>
              <w:snapToGrid w:val="0"/>
              <w:spacing w:line="440" w:lineRule="exact"/>
              <w:ind w:firstLine="480" w:firstLineChars="200"/>
              <w:jc w:val="left"/>
              <w:rPr>
                <w:bCs/>
              </w:rPr>
            </w:pPr>
            <w:r>
              <w:rPr>
                <w:bCs/>
              </w:rPr>
              <w:t>①建设项目车间和仓库设置导流沟渠、车间内设置集液池及导流沟，保证事故</w:t>
            </w:r>
            <w:r>
              <w:rPr>
                <w:rFonts w:hint="eastAsia"/>
                <w:bCs/>
              </w:rPr>
              <w:t>泄漏</w:t>
            </w:r>
            <w:r>
              <w:rPr>
                <w:bCs/>
              </w:rPr>
              <w:t>废液可以得到及时收集。</w:t>
            </w:r>
          </w:p>
          <w:p w14:paraId="5E5A463D">
            <w:pPr>
              <w:adjustRightInd w:val="0"/>
              <w:snapToGrid w:val="0"/>
              <w:spacing w:line="440" w:lineRule="exact"/>
              <w:ind w:firstLine="480" w:firstLineChars="200"/>
              <w:jc w:val="left"/>
              <w:rPr>
                <w:bCs/>
              </w:rPr>
            </w:pPr>
            <w:r>
              <w:rPr>
                <w:bCs/>
              </w:rPr>
              <w:t>②危废贮放容器均采用防腐性能良好的材料。</w:t>
            </w:r>
          </w:p>
          <w:p w14:paraId="5682FB7A">
            <w:pPr>
              <w:adjustRightInd w:val="0"/>
              <w:snapToGrid w:val="0"/>
              <w:spacing w:line="440" w:lineRule="exact"/>
              <w:ind w:firstLine="482" w:firstLineChars="200"/>
              <w:jc w:val="left"/>
              <w:rPr>
                <w:b/>
              </w:rPr>
            </w:pPr>
            <w:r>
              <w:rPr>
                <w:b/>
              </w:rPr>
              <w:t>2、地下水污染防治措施</w:t>
            </w:r>
          </w:p>
          <w:p w14:paraId="090C54CF">
            <w:pPr>
              <w:widowControl/>
              <w:spacing w:line="440" w:lineRule="exact"/>
              <w:ind w:firstLine="480" w:firstLineChars="200"/>
            </w:pPr>
            <w:r>
              <w:rPr>
                <w:bCs/>
              </w:rPr>
              <w:t>A.</w:t>
            </w:r>
            <w:r>
              <w:rPr>
                <w:kern w:val="0"/>
                <w:lang w:bidi="ar"/>
              </w:rPr>
              <w:t>源头控制措施</w:t>
            </w:r>
          </w:p>
          <w:p w14:paraId="2FABDAF5">
            <w:pPr>
              <w:widowControl/>
              <w:spacing w:line="440" w:lineRule="exact"/>
              <w:ind w:firstLine="480" w:firstLineChars="200"/>
            </w:pPr>
            <w:r>
              <w:rPr>
                <w:kern w:val="0"/>
                <w:lang w:bidi="ar"/>
              </w:rPr>
              <w:t>从设计、管理工艺设备和物料运输方面防止和减少污染物的跑冒滴漏；合理布局，减少污染物的泄漏途径。</w:t>
            </w:r>
          </w:p>
          <w:p w14:paraId="6ABC48A2">
            <w:pPr>
              <w:widowControl/>
              <w:spacing w:line="440" w:lineRule="exact"/>
              <w:ind w:firstLine="480" w:firstLineChars="200"/>
            </w:pPr>
            <w:r>
              <w:rPr>
                <w:bCs/>
              </w:rPr>
              <w:t>B.</w:t>
            </w:r>
            <w:r>
              <w:rPr>
                <w:kern w:val="0"/>
                <w:lang w:bidi="ar"/>
              </w:rPr>
              <w:t>分区防渗措施</w:t>
            </w:r>
          </w:p>
          <w:p w14:paraId="278952B0">
            <w:pPr>
              <w:widowControl/>
              <w:spacing w:line="440" w:lineRule="exact"/>
              <w:ind w:firstLine="480" w:firstLineChars="200"/>
            </w:pPr>
            <w:r>
              <w:rPr>
                <w:kern w:val="0"/>
                <w:lang w:bidi="ar"/>
              </w:rPr>
              <w:t>本项目生产过程中为防止所用的原辅料对建设场地及附近地下水造成污染，企业对仓库等进行防渗、防腐处理，主要措施如下：</w:t>
            </w:r>
          </w:p>
          <w:p w14:paraId="184F4D81">
            <w:pPr>
              <w:widowControl/>
              <w:spacing w:line="440" w:lineRule="exact"/>
              <w:ind w:firstLine="480" w:firstLineChars="200"/>
            </w:pPr>
            <w:r>
              <w:rPr>
                <w:kern w:val="0"/>
                <w:lang w:bidi="ar"/>
              </w:rPr>
              <w:t>Ⅰ地面进行防腐防渗处理，即使发生物料泄漏也不会对地下水造成影响；</w:t>
            </w:r>
          </w:p>
          <w:p w14:paraId="46096FD6">
            <w:pPr>
              <w:widowControl/>
              <w:spacing w:line="440" w:lineRule="exact"/>
              <w:ind w:firstLine="480" w:firstLineChars="200"/>
            </w:pPr>
            <w:r>
              <w:rPr>
                <w:kern w:val="0"/>
                <w:lang w:bidi="ar"/>
              </w:rPr>
              <w:t>Ⅱ所有阀体，包括自动阀、切换阀等均采用PVC、衬胶等防腐材质；</w:t>
            </w:r>
          </w:p>
          <w:p w14:paraId="757F828E">
            <w:pPr>
              <w:widowControl/>
              <w:spacing w:line="440" w:lineRule="exact"/>
              <w:ind w:firstLine="480" w:firstLineChars="200"/>
            </w:pPr>
            <w:r>
              <w:rPr>
                <w:kern w:val="0"/>
                <w:lang w:bidi="ar"/>
              </w:rPr>
              <w:t>Ⅲ采用防渗漏桶收集液态危险废物，避免化学品与地面直接接触；</w:t>
            </w:r>
          </w:p>
          <w:p w14:paraId="69C0808D">
            <w:pPr>
              <w:widowControl/>
              <w:spacing w:line="440" w:lineRule="exact"/>
              <w:ind w:firstLine="480" w:firstLineChars="200"/>
            </w:pPr>
            <w:r>
              <w:rPr>
                <w:kern w:val="0"/>
                <w:lang w:bidi="ar"/>
              </w:rPr>
              <w:t>Ⅳ分区防渗措施。</w:t>
            </w:r>
          </w:p>
          <w:p w14:paraId="64FA9F06">
            <w:pPr>
              <w:widowControl/>
              <w:spacing w:line="440" w:lineRule="exact"/>
              <w:ind w:firstLine="480" w:firstLineChars="200"/>
            </w:pPr>
            <w:r>
              <w:rPr>
                <w:kern w:val="0"/>
                <w:lang w:bidi="ar"/>
              </w:rPr>
              <w:t>根据防渗参照的标准和规范，结合目前施工过程中的可操作性和技术水平，针对不同的防渗区域采用典型的防渗措施，在具体设计中将根据实际情况在满足防渗标准的前提下做必要的调整。</w:t>
            </w:r>
          </w:p>
          <w:p w14:paraId="598D3B51">
            <w:pPr>
              <w:widowControl/>
              <w:spacing w:line="440" w:lineRule="exact"/>
              <w:ind w:firstLine="480" w:firstLineChars="200"/>
            </w:pPr>
            <w:r>
              <w:rPr>
                <w:kern w:val="0"/>
                <w:lang w:bidi="ar"/>
              </w:rPr>
              <w:t>本项目针对污染特点设置地下水一般污染防渗区和重点污染防渗区。一般污染防渗区包括：</w:t>
            </w:r>
            <w:r>
              <w:rPr>
                <w:rFonts w:hint="eastAsia"/>
                <w:kern w:val="0"/>
                <w:lang w:val="en-US" w:eastAsia="zh-CN" w:bidi="ar"/>
              </w:rPr>
              <w:t>办公区</w:t>
            </w:r>
            <w:r>
              <w:rPr>
                <w:kern w:val="0"/>
                <w:lang w:bidi="ar"/>
              </w:rPr>
              <w:t>；重点污染防渗区包括：生产车间。</w:t>
            </w:r>
          </w:p>
          <w:p w14:paraId="6C25688F">
            <w:pPr>
              <w:widowControl/>
              <w:spacing w:line="440" w:lineRule="exact"/>
              <w:ind w:firstLine="480" w:firstLineChars="200"/>
            </w:pPr>
            <w:r>
              <w:rPr>
                <w:kern w:val="0"/>
                <w:lang w:bidi="ar"/>
              </w:rPr>
              <w:t>结合本项目已建厂房，一般防渗区自上而下采用人工大理石或水泥防渗结构，车间地面全部进行混凝硬化，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w:t>
            </w:r>
          </w:p>
        </w:tc>
      </w:tr>
      <w:tr w14:paraId="0726D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584A4041">
            <w:pPr>
              <w:adjustRightInd w:val="0"/>
              <w:snapToGrid w:val="0"/>
              <w:spacing w:line="240" w:lineRule="auto"/>
              <w:jc w:val="center"/>
              <w:rPr>
                <w:b/>
                <w:bCs/>
              </w:rPr>
            </w:pPr>
            <w:r>
              <w:rPr>
                <w:b/>
                <w:bCs/>
              </w:rPr>
              <w:t>生态保护措施</w:t>
            </w:r>
          </w:p>
        </w:tc>
        <w:tc>
          <w:tcPr>
            <w:tcW w:w="7585" w:type="dxa"/>
            <w:gridSpan w:val="5"/>
            <w:vAlign w:val="center"/>
          </w:tcPr>
          <w:p w14:paraId="62F292A2">
            <w:pPr>
              <w:adjustRightInd w:val="0"/>
              <w:snapToGrid w:val="0"/>
              <w:spacing w:line="440" w:lineRule="exact"/>
              <w:ind w:firstLine="480" w:firstLineChars="200"/>
              <w:jc w:val="left"/>
            </w:pPr>
            <w:r>
              <w:t>本项目用地范围内无生态环境保护目标。</w:t>
            </w:r>
          </w:p>
        </w:tc>
      </w:tr>
      <w:tr w14:paraId="28062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35E7BBFB">
            <w:pPr>
              <w:adjustRightInd w:val="0"/>
              <w:snapToGrid w:val="0"/>
              <w:spacing w:line="240" w:lineRule="auto"/>
              <w:jc w:val="center"/>
              <w:rPr>
                <w:b/>
                <w:bCs/>
                <w:spacing w:val="-8"/>
              </w:rPr>
            </w:pPr>
            <w:r>
              <w:rPr>
                <w:b/>
                <w:bCs/>
                <w:spacing w:val="-8"/>
              </w:rPr>
              <w:t>环境风险防范措施</w:t>
            </w:r>
          </w:p>
        </w:tc>
        <w:tc>
          <w:tcPr>
            <w:tcW w:w="7585" w:type="dxa"/>
            <w:gridSpan w:val="5"/>
            <w:vAlign w:val="center"/>
          </w:tcPr>
          <w:p w14:paraId="2FF5D84D">
            <w:pPr>
              <w:adjustRightInd w:val="0"/>
              <w:snapToGrid w:val="0"/>
              <w:spacing w:line="440" w:lineRule="exact"/>
              <w:ind w:firstLine="480" w:firstLineChars="200"/>
              <w:jc w:val="left"/>
            </w:pPr>
            <w:r>
              <w:rPr>
                <w:kern w:val="0"/>
                <w:lang w:bidi="ar"/>
              </w:rPr>
              <w:t>加强管理，</w:t>
            </w:r>
            <w:r>
              <w:rPr>
                <w:bCs/>
              </w:rPr>
              <w:t>废</w:t>
            </w:r>
            <w:r>
              <w:rPr>
                <w:rFonts w:hint="eastAsia"/>
                <w:bCs/>
                <w:lang w:val="en-US" w:eastAsia="zh-CN"/>
              </w:rPr>
              <w:t>机</w:t>
            </w:r>
            <w:r>
              <w:rPr>
                <w:rFonts w:hint="eastAsia"/>
                <w:bCs/>
              </w:rPr>
              <w:t>油</w:t>
            </w:r>
            <w:r>
              <w:rPr>
                <w:bCs/>
              </w:rPr>
              <w:t>、</w:t>
            </w:r>
            <w:r>
              <w:rPr>
                <w:rFonts w:hint="eastAsia"/>
                <w:bCs/>
                <w:lang w:eastAsia="zh-CN"/>
              </w:rPr>
              <w:t>废包装桶</w:t>
            </w:r>
            <w:r>
              <w:rPr>
                <w:rFonts w:hint="eastAsia"/>
                <w:bCs/>
              </w:rPr>
              <w:t>、</w:t>
            </w:r>
            <w:r>
              <w:rPr>
                <w:rFonts w:hint="eastAsia"/>
                <w:bCs/>
                <w:lang w:val="en-US" w:eastAsia="zh-CN"/>
              </w:rPr>
              <w:t>废脱模剂、炉渣、喷淋废液、废活性炭和废过滤材料</w:t>
            </w:r>
            <w:r>
              <w:rPr>
                <w:kern w:val="0"/>
                <w:lang w:bidi="ar"/>
              </w:rPr>
              <w:t>应经专人确定包装完好后方可入库，堆放整齐加强职工的安全防范意识。</w:t>
            </w:r>
          </w:p>
        </w:tc>
      </w:tr>
      <w:tr w14:paraId="6898D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6" w:hRule="atLeast"/>
          <w:jc w:val="center"/>
        </w:trPr>
        <w:tc>
          <w:tcPr>
            <w:tcW w:w="1215" w:type="dxa"/>
            <w:vAlign w:val="center"/>
          </w:tcPr>
          <w:p w14:paraId="797509D5">
            <w:pPr>
              <w:adjustRightInd w:val="0"/>
              <w:snapToGrid w:val="0"/>
              <w:spacing w:line="240" w:lineRule="auto"/>
              <w:jc w:val="center"/>
              <w:rPr>
                <w:b/>
                <w:bCs/>
                <w:spacing w:val="-8"/>
              </w:rPr>
            </w:pPr>
            <w:r>
              <w:rPr>
                <w:b/>
                <w:bCs/>
                <w:spacing w:val="-8"/>
              </w:rPr>
              <w:t>其他环境管理要求</w:t>
            </w:r>
          </w:p>
        </w:tc>
        <w:tc>
          <w:tcPr>
            <w:tcW w:w="7585" w:type="dxa"/>
            <w:gridSpan w:val="5"/>
            <w:vAlign w:val="center"/>
          </w:tcPr>
          <w:p w14:paraId="248AF0AA">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rPr>
            </w:pPr>
            <w:r>
              <w:rPr>
                <w:b/>
                <w:bCs/>
              </w:rPr>
              <w:t>1、环境管理要求</w:t>
            </w:r>
          </w:p>
          <w:p w14:paraId="7B073B3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项目建成后，应按地方环保局的要求加强对企业的环境管理，建立健全企业的环保监督、管理制度。</w:t>
            </w:r>
          </w:p>
          <w:p w14:paraId="6FA0E99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根据该项目的建设规模和环境管理的任务，建设期项目筹建处应设1名环保专职或兼职人员，负责工程建设期的环境保护工作；项目建成后应在公司设置1名专职环保管理人员，负责公司的环境管理以及对外的环保协调工作，污染源监测可委托第三方检测公司承担。</w:t>
            </w:r>
          </w:p>
          <w:p w14:paraId="78C4507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（1）建立公司专门的环保设施档案，记录环保设施的运转及检修情况，以便督促有关人员加强对环保设施的管理和及时维修，保证治理设施的正常运行。</w:t>
            </w:r>
          </w:p>
          <w:p w14:paraId="4BE0BCF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（2）建立污染源监测数据档案，定期编写环保通报，便于政府环保部门和公司管理部门及时了解污染动态，以便于采取相应的对策措施。</w:t>
            </w:r>
          </w:p>
          <w:p w14:paraId="61001F9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（3）制定环保奖惩条例。对于爱护环保设施、节能降耗、改善环境人员进行奖励；对于环保观念淡薄，不按环保要求管理、造成环境设施损坏、环境污染及资源和能源浪费人员一律予以重罚。</w:t>
            </w:r>
          </w:p>
          <w:p w14:paraId="66F07C06">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rPr>
            </w:pPr>
            <w:r>
              <w:rPr>
                <w:b/>
                <w:bCs/>
              </w:rPr>
              <w:t>2、社会公开的信息内容</w:t>
            </w:r>
          </w:p>
          <w:p w14:paraId="717249B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根据《企业事业单位环境信息公开办法》（环境保护部令第31号）规定，企业可参照重点排污单位公开其信息：</w:t>
            </w:r>
          </w:p>
          <w:p w14:paraId="7CF6D99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（一）基础信息，包括单位名称、组织机构代码、法定代表人、生产地址、联系方式，以及生产经营和管理服务的主要内容、产品及规模；</w:t>
            </w:r>
          </w:p>
          <w:p w14:paraId="1510995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（二）排污信息，包括主要污染物及特征污染物的名称、排放方式、排放口数量和分布情况、排放浓度、超标情况，以及执行的污染物排放标准；</w:t>
            </w:r>
          </w:p>
          <w:p w14:paraId="0508C96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（三）防治污染设施的建设和运行情况；</w:t>
            </w:r>
          </w:p>
          <w:p w14:paraId="73CBCAB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t>（四）建设项目环境影响评价及其他环境保护行政许可情况；</w:t>
            </w:r>
          </w:p>
          <w:p w14:paraId="024D1727">
            <w:pPr>
              <w:pStyle w:val="2"/>
              <w:keepNext w:val="0"/>
              <w:keepLines w:val="0"/>
              <w:pageBreakBefore w:val="0"/>
              <w:widowControl w:val="0"/>
              <w:kinsoku/>
              <w:wordWrap/>
              <w:overflowPunct/>
              <w:topLinePunct w:val="0"/>
              <w:autoSpaceDE/>
              <w:autoSpaceDN/>
              <w:bidi w:val="0"/>
              <w:adjustRightInd/>
              <w:snapToGrid/>
              <w:spacing w:before="0" w:after="0" w:line="460" w:lineRule="exact"/>
              <w:ind w:right="0" w:firstLine="480" w:firstLineChars="200"/>
              <w:textAlignment w:val="auto"/>
            </w:pPr>
            <w:r>
              <w:rPr>
                <w:sz w:val="24"/>
                <w:szCs w:val="24"/>
              </w:rPr>
              <w:t>（五）其他应当公开的环境信息。</w:t>
            </w:r>
          </w:p>
        </w:tc>
      </w:tr>
    </w:tbl>
    <w:p w14:paraId="389263B5">
      <w:pPr>
        <w:pStyle w:val="16"/>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FFF4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865" w:type="dxa"/>
          </w:tcPr>
          <w:p w14:paraId="364776BA">
            <w:pPr>
              <w:pStyle w:val="8"/>
              <w:spacing w:after="0" w:line="480" w:lineRule="exact"/>
              <w:ind w:left="0" w:leftChars="0" w:firstLine="480" w:firstLineChars="200"/>
              <w:jc w:val="left"/>
            </w:pPr>
            <w:r>
              <w:rPr>
                <w:rFonts w:hint="eastAsia"/>
                <w:bCs/>
                <w:szCs w:val="22"/>
              </w:rPr>
              <w:t>本项目的建设符合国家和地方产业政策，选址与当地规划相符，各项污染物能够实现达标排放，同时满足三线一单的要求，对环境的影响较小，不会造成区域环境功能的改变，因此从环境保护的角度来讲，本评价认为该项目在坚持</w:t>
            </w:r>
            <w:r>
              <w:rPr>
                <w:rFonts w:hint="eastAsia"/>
                <w:bCs/>
                <w:szCs w:val="22"/>
                <w:lang w:eastAsia="zh-CN"/>
              </w:rPr>
              <w:t>“</w:t>
            </w:r>
            <w:r>
              <w:rPr>
                <w:rFonts w:hint="eastAsia"/>
                <w:bCs/>
                <w:szCs w:val="22"/>
              </w:rPr>
              <w:t>三同时</w:t>
            </w:r>
            <w:r>
              <w:rPr>
                <w:rFonts w:hint="eastAsia"/>
                <w:bCs/>
                <w:szCs w:val="22"/>
                <w:lang w:eastAsia="zh-CN"/>
              </w:rPr>
              <w:t>”</w:t>
            </w:r>
            <w:r>
              <w:rPr>
                <w:rFonts w:hint="eastAsia"/>
                <w:bCs/>
                <w:szCs w:val="22"/>
              </w:rPr>
              <w:t>原则并采取一定的环保措施后，在拟建地建设是可行的。</w:t>
            </w:r>
          </w:p>
          <w:p w14:paraId="5BE18818">
            <w:pPr>
              <w:pStyle w:val="8"/>
              <w:spacing w:after="0"/>
              <w:ind w:left="0" w:leftChars="0" w:firstLine="480" w:firstLineChars="200"/>
              <w:jc w:val="left"/>
            </w:pPr>
          </w:p>
        </w:tc>
      </w:tr>
    </w:tbl>
    <w:p w14:paraId="1B21573A">
      <w:pPr>
        <w:spacing w:line="240" w:lineRule="auto"/>
        <w:rPr>
          <w:b/>
          <w:bCs/>
        </w:rPr>
      </w:pPr>
    </w:p>
    <w:p w14:paraId="1F517C9E">
      <w:pPr>
        <w:spacing w:line="240" w:lineRule="auto"/>
        <w:rPr>
          <w:b/>
          <w:bCs/>
        </w:rPr>
      </w:pPr>
    </w:p>
    <w:p w14:paraId="73E628D8">
      <w:pPr>
        <w:spacing w:line="240" w:lineRule="auto"/>
        <w:rPr>
          <w:b/>
          <w:bCs/>
        </w:rPr>
      </w:pPr>
      <w:r>
        <w:rPr>
          <w:b/>
          <w:bCs/>
        </w:rPr>
        <w:t>本报告表附图、附件：</w:t>
      </w:r>
    </w:p>
    <w:p w14:paraId="6394606D">
      <w:pPr>
        <w:spacing w:line="240" w:lineRule="auto"/>
        <w:ind w:firstLine="241" w:firstLineChars="100"/>
      </w:pPr>
      <w:r>
        <w:rPr>
          <w:b/>
          <w:bCs/>
        </w:rPr>
        <w:t>附图</w:t>
      </w:r>
    </w:p>
    <w:p w14:paraId="57C1EBBD">
      <w:pPr>
        <w:spacing w:line="240" w:lineRule="auto"/>
        <w:ind w:firstLine="240" w:firstLineChars="100"/>
      </w:pPr>
      <w:r>
        <w:t>附图1 项目地理位置图</w:t>
      </w:r>
    </w:p>
    <w:p w14:paraId="441813A7">
      <w:pPr>
        <w:spacing w:line="240" w:lineRule="auto"/>
        <w:ind w:firstLine="240" w:firstLineChars="100"/>
      </w:pPr>
      <w:r>
        <w:t>附图2 项目周边状况图</w:t>
      </w:r>
    </w:p>
    <w:p w14:paraId="29A749CC">
      <w:pPr>
        <w:spacing w:line="240" w:lineRule="auto"/>
        <w:ind w:firstLine="240" w:firstLineChars="100"/>
      </w:pPr>
      <w:r>
        <w:t>附图3 厂区平面布置图</w:t>
      </w:r>
    </w:p>
    <w:p w14:paraId="2D7F4174">
      <w:pPr>
        <w:spacing w:line="240" w:lineRule="auto"/>
        <w:ind w:firstLine="240" w:firstLineChars="100"/>
      </w:pPr>
      <w:r>
        <w:t xml:space="preserve">附图4 </w:t>
      </w:r>
      <w:r>
        <w:rPr>
          <w:rFonts w:hint="eastAsia"/>
        </w:rPr>
        <w:t>项目车间平面布置图</w:t>
      </w:r>
    </w:p>
    <w:p w14:paraId="2044033C">
      <w:pPr>
        <w:spacing w:line="240" w:lineRule="auto"/>
        <w:ind w:firstLine="240" w:firstLineChars="100"/>
      </w:pPr>
      <w:r>
        <w:rPr>
          <w:rFonts w:hint="eastAsia"/>
        </w:rPr>
        <w:t xml:space="preserve">附图5 </w:t>
      </w:r>
      <w:r>
        <w:t>常州市生态空间保护区域分布图</w:t>
      </w:r>
    </w:p>
    <w:p w14:paraId="1F69989C">
      <w:pPr>
        <w:spacing w:line="240" w:lineRule="auto"/>
        <w:ind w:firstLine="240" w:firstLineChars="100"/>
      </w:pPr>
      <w:r>
        <w:t>附图</w:t>
      </w:r>
      <w:r>
        <w:rPr>
          <w:rFonts w:hint="eastAsia"/>
        </w:rPr>
        <w:t>6</w:t>
      </w:r>
      <w:r>
        <w:t xml:space="preserve"> 项目区域水系图</w:t>
      </w:r>
    </w:p>
    <w:p w14:paraId="7926CE3D">
      <w:pPr>
        <w:spacing w:line="240" w:lineRule="auto"/>
        <w:ind w:firstLine="240" w:firstLineChars="100"/>
      </w:pPr>
      <w:r>
        <w:t>附图</w:t>
      </w:r>
      <w:r>
        <w:rPr>
          <w:rFonts w:hint="eastAsia"/>
        </w:rPr>
        <w:t>7</w:t>
      </w:r>
      <w:r>
        <w:t xml:space="preserve"> </w:t>
      </w:r>
      <w:r>
        <w:rPr>
          <w:rFonts w:hint="eastAsia"/>
        </w:rPr>
        <w:t>常州市环境管控单元图</w:t>
      </w:r>
    </w:p>
    <w:p w14:paraId="3092B347">
      <w:pPr>
        <w:spacing w:line="240" w:lineRule="auto"/>
        <w:ind w:firstLine="240" w:firstLineChars="100"/>
      </w:pPr>
      <w:r>
        <w:rPr>
          <w:rFonts w:hint="eastAsia"/>
        </w:rPr>
        <w:t>附图8 常州市国土空间规划分布图</w:t>
      </w:r>
    </w:p>
    <w:p w14:paraId="623F0122">
      <w:pPr>
        <w:spacing w:line="240" w:lineRule="auto"/>
        <w:ind w:firstLine="240" w:firstLineChars="100"/>
      </w:pPr>
    </w:p>
    <w:p w14:paraId="08A8ABD9">
      <w:pPr>
        <w:spacing w:line="240" w:lineRule="auto"/>
        <w:ind w:firstLine="241" w:firstLineChars="100"/>
      </w:pPr>
      <w:r>
        <w:rPr>
          <w:b/>
          <w:bCs/>
        </w:rPr>
        <w:t>附件</w:t>
      </w:r>
    </w:p>
    <w:p w14:paraId="55DCAA15">
      <w:pPr>
        <w:spacing w:line="240" w:lineRule="auto"/>
        <w:ind w:left="240" w:leftChars="100"/>
      </w:pPr>
      <w:r>
        <w:t>附件1 环评委托书</w:t>
      </w:r>
    </w:p>
    <w:p w14:paraId="2E8CCF91">
      <w:pPr>
        <w:spacing w:line="240" w:lineRule="auto"/>
        <w:ind w:left="240" w:leftChars="100"/>
      </w:pPr>
      <w:r>
        <w:t>附件2 江苏省投资项目备案证</w:t>
      </w:r>
    </w:p>
    <w:p w14:paraId="1839D064">
      <w:pPr>
        <w:spacing w:line="240" w:lineRule="auto"/>
        <w:ind w:left="240" w:leftChars="100"/>
      </w:pPr>
      <w:r>
        <w:t>附件3 营业执照</w:t>
      </w:r>
    </w:p>
    <w:p w14:paraId="3A8B71E1">
      <w:pPr>
        <w:spacing w:line="240" w:lineRule="auto"/>
        <w:ind w:left="240" w:leftChars="100"/>
        <w:rPr>
          <w:rFonts w:hint="eastAsia" w:eastAsia="仿宋"/>
          <w:lang w:val="en-US" w:eastAsia="zh-CN"/>
        </w:rPr>
      </w:pPr>
      <w:r>
        <w:t xml:space="preserve">附件4 </w:t>
      </w:r>
      <w:r>
        <w:rPr>
          <w:rFonts w:hint="eastAsia"/>
          <w:lang w:val="en-US" w:eastAsia="zh-CN"/>
        </w:rPr>
        <w:t>租赁合同</w:t>
      </w:r>
    </w:p>
    <w:p w14:paraId="15537649">
      <w:pPr>
        <w:spacing w:line="240" w:lineRule="auto"/>
        <w:ind w:left="240" w:leftChars="100"/>
      </w:pPr>
      <w:r>
        <w:rPr>
          <w:rFonts w:hint="eastAsia"/>
          <w:lang w:val="en-US" w:eastAsia="zh-CN"/>
        </w:rPr>
        <w:t xml:space="preserve">附件5 </w:t>
      </w:r>
      <w:r>
        <w:rPr>
          <w:rFonts w:hint="eastAsia"/>
        </w:rPr>
        <w:t>土地手续</w:t>
      </w:r>
    </w:p>
    <w:p w14:paraId="6415B5CE">
      <w:pPr>
        <w:spacing w:line="240" w:lineRule="auto"/>
        <w:ind w:left="240" w:leftChars="100"/>
      </w:pPr>
      <w:r>
        <w:t>附件</w:t>
      </w:r>
      <w:r>
        <w:rPr>
          <w:rFonts w:hint="eastAsia"/>
          <w:lang w:val="en-US" w:eastAsia="zh-CN"/>
        </w:rPr>
        <w:t>6</w:t>
      </w:r>
      <w:r>
        <w:t xml:space="preserve"> 危废处置</w:t>
      </w:r>
      <w:r>
        <w:rPr>
          <w:rFonts w:hint="eastAsia"/>
        </w:rPr>
        <w:t>合同</w:t>
      </w:r>
    </w:p>
    <w:p w14:paraId="645613EB">
      <w:pPr>
        <w:spacing w:line="240" w:lineRule="auto"/>
        <w:ind w:left="240" w:leftChars="100"/>
        <w:rPr>
          <w:rFonts w:hint="default" w:eastAsia="仿宋"/>
          <w:lang w:val="en-US" w:eastAsia="zh-CN"/>
        </w:rPr>
      </w:pPr>
      <w:r>
        <w:t>附件</w:t>
      </w:r>
      <w:r>
        <w:rPr>
          <w:rFonts w:hint="eastAsia"/>
          <w:lang w:val="en-US" w:eastAsia="zh-CN"/>
        </w:rPr>
        <w:t>7</w:t>
      </w:r>
      <w:r>
        <w:t xml:space="preserve"> </w:t>
      </w:r>
      <w:r>
        <w:rPr>
          <w:rFonts w:hint="eastAsia"/>
          <w:lang w:val="en-US" w:eastAsia="zh-CN"/>
        </w:rPr>
        <w:t>污水拟接管意向协议</w:t>
      </w:r>
    </w:p>
    <w:p w14:paraId="3E1AEB23">
      <w:pPr>
        <w:spacing w:line="240" w:lineRule="auto"/>
        <w:ind w:left="240" w:leftChars="100"/>
      </w:pPr>
      <w:r>
        <w:t>附件</w:t>
      </w:r>
      <w:r>
        <w:rPr>
          <w:rFonts w:hint="eastAsia"/>
          <w:lang w:val="en-US" w:eastAsia="zh-CN"/>
        </w:rPr>
        <w:t>8</w:t>
      </w:r>
      <w:r>
        <w:t xml:space="preserve"> 建设项目环境影响申报乡镇（街道）审查表</w:t>
      </w:r>
    </w:p>
    <w:p w14:paraId="767DD273">
      <w:pPr>
        <w:spacing w:line="240" w:lineRule="auto"/>
        <w:ind w:left="240" w:leftChars="100"/>
      </w:pPr>
      <w:r>
        <w:t>附件9 环境质量现状监测报告</w:t>
      </w:r>
    </w:p>
    <w:p w14:paraId="10FD1F69">
      <w:pPr>
        <w:spacing w:line="240" w:lineRule="auto"/>
        <w:ind w:left="240" w:leftChars="100"/>
      </w:pPr>
      <w:r>
        <w:t>附件10 编制主持人现场照片</w:t>
      </w:r>
    </w:p>
    <w:p w14:paraId="5F2C957B">
      <w:pPr>
        <w:spacing w:line="240" w:lineRule="auto"/>
        <w:ind w:left="240" w:leftChars="100"/>
      </w:pPr>
      <w:r>
        <w:t>附件11 全文本公开证明材料</w:t>
      </w:r>
    </w:p>
    <w:p w14:paraId="17F91FB5">
      <w:pPr>
        <w:spacing w:line="240" w:lineRule="auto"/>
        <w:ind w:left="240" w:leftChars="100"/>
      </w:pPr>
      <w:r>
        <w:t>附件1</w:t>
      </w:r>
      <w:r>
        <w:rPr>
          <w:rFonts w:hint="eastAsia"/>
          <w:lang w:val="en-US" w:eastAsia="zh-CN"/>
        </w:rPr>
        <w:t>2</w:t>
      </w:r>
      <w:r>
        <w:t xml:space="preserve"> 建设单位承诺书</w:t>
      </w:r>
    </w:p>
    <w:p w14:paraId="13A702B2">
      <w:pPr>
        <w:spacing w:line="240" w:lineRule="auto"/>
        <w:ind w:left="240" w:leftChars="100"/>
        <w:rPr>
          <w:rFonts w:hint="eastAsia"/>
        </w:rPr>
      </w:pPr>
      <w:r>
        <w:rPr>
          <w:rFonts w:hint="eastAsia"/>
        </w:rPr>
        <w:t>附件13 主要环境影响执行标准及预防或者减轻不良环境影响的对策和措施</w:t>
      </w:r>
    </w:p>
    <w:p w14:paraId="1BF1B3F6">
      <w:pPr>
        <w:spacing w:line="240" w:lineRule="auto"/>
        <w:ind w:left="240" w:leftChars="100"/>
        <w:rPr>
          <w:rFonts w:hint="default" w:eastAsia="仿宋"/>
          <w:lang w:val="en-US" w:eastAsia="zh-CN"/>
        </w:rPr>
      </w:pPr>
      <w:r>
        <w:rPr>
          <w:rFonts w:hint="eastAsia"/>
          <w:lang w:val="en-US" w:eastAsia="zh-CN"/>
        </w:rPr>
        <w:t>附件14 技术服务合同</w:t>
      </w:r>
    </w:p>
    <w:p w14:paraId="4BF5E523">
      <w:pPr>
        <w:spacing w:line="240" w:lineRule="auto"/>
        <w:ind w:left="240" w:leftChars="100"/>
        <w:rPr>
          <w:rFonts w:hint="default" w:eastAsia="仿宋"/>
          <w:lang w:val="en-US" w:eastAsia="zh-CN"/>
        </w:rPr>
      </w:pPr>
      <w:r>
        <w:rPr>
          <w:rFonts w:hint="eastAsia"/>
          <w:lang w:val="en-US" w:eastAsia="zh-CN"/>
        </w:rPr>
        <w:t>附件15 原辅料MSDS</w:t>
      </w:r>
    </w:p>
    <w:p w14:paraId="517DF8E4">
      <w:pPr>
        <w:spacing w:line="240" w:lineRule="auto"/>
        <w:ind w:left="240" w:leftChars="100"/>
      </w:pPr>
      <w:r>
        <w:rPr>
          <w:rFonts w:hint="eastAsia"/>
        </w:rPr>
        <w:t>附件1</w:t>
      </w:r>
      <w:r>
        <w:rPr>
          <w:rFonts w:hint="eastAsia"/>
          <w:lang w:val="en-US" w:eastAsia="zh-CN"/>
        </w:rPr>
        <w:t>6</w:t>
      </w:r>
      <w:r>
        <w:rPr>
          <w:rFonts w:hint="eastAsia"/>
        </w:rPr>
        <w:t xml:space="preserve"> 常州东方横山污水处理有限公司提升改造工程项目环境影响报告书批复</w:t>
      </w:r>
    </w:p>
    <w:p w14:paraId="080730FD">
      <w:pPr>
        <w:spacing w:line="240" w:lineRule="auto"/>
        <w:ind w:left="240" w:leftChars="100"/>
        <w:rPr>
          <w:rFonts w:hint="eastAsia"/>
          <w:lang w:val="en-US" w:eastAsia="zh-CN"/>
        </w:rPr>
      </w:pPr>
      <w:r>
        <w:rPr>
          <w:rFonts w:hint="eastAsia"/>
        </w:rPr>
        <w:t>附件1</w:t>
      </w:r>
      <w:r>
        <w:rPr>
          <w:rFonts w:hint="eastAsia"/>
          <w:lang w:val="en-US" w:eastAsia="zh-CN"/>
        </w:rPr>
        <w:t>7</w:t>
      </w:r>
      <w:r>
        <w:rPr>
          <w:rFonts w:hint="eastAsia" w:ascii="仿宋" w:hAnsi="仿宋" w:cs="仿宋"/>
        </w:rPr>
        <w:t xml:space="preserve"> 市生态环境局关于加强环评机构管理工作的通知中附件1、附件2</w:t>
      </w:r>
    </w:p>
    <w:p w14:paraId="43879780">
      <w:pPr>
        <w:spacing w:line="240" w:lineRule="auto"/>
        <w:ind w:left="240" w:leftChars="100"/>
      </w:pPr>
    </w:p>
    <w:p w14:paraId="35490124">
      <w:pPr>
        <w:spacing w:line="240" w:lineRule="auto"/>
        <w:ind w:left="240" w:leftChars="100"/>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01F5B94">
      <w:pPr>
        <w:pStyle w:val="16"/>
        <w:adjustRightInd w:val="0"/>
        <w:snapToGrid w:val="0"/>
        <w:spacing w:before="0" w:beforeAutospacing="0" w:after="0" w:afterAutospacing="0" w:line="240" w:lineRule="auto"/>
        <w:outlineLvl w:val="0"/>
        <w:rPr>
          <w:rFonts w:ascii="Times New Roman" w:hAnsi="Times New Roman"/>
          <w:snapToGrid w:val="0"/>
          <w:sz w:val="28"/>
          <w:szCs w:val="28"/>
        </w:rPr>
      </w:pPr>
      <w:r>
        <w:rPr>
          <w:rFonts w:ascii="Times New Roman" w:hAnsi="Times New Roman"/>
          <w:snapToGrid w:val="0"/>
          <w:sz w:val="28"/>
          <w:szCs w:val="28"/>
        </w:rPr>
        <w:t>附表</w:t>
      </w:r>
    </w:p>
    <w:p w14:paraId="4F22117F">
      <w:pPr>
        <w:pStyle w:val="16"/>
        <w:adjustRightInd w:val="0"/>
        <w:snapToGrid w:val="0"/>
        <w:spacing w:before="0" w:beforeAutospacing="0" w:after="0" w:afterAutospacing="0" w:line="240" w:lineRule="auto"/>
        <w:jc w:val="center"/>
        <w:outlineLvl w:val="0"/>
        <w:rPr>
          <w:rFonts w:ascii="Times New Roman" w:hAnsi="Times New Roman"/>
          <w:snapToGrid w:val="0"/>
          <w:sz w:val="28"/>
          <w:szCs w:val="28"/>
        </w:rPr>
      </w:pPr>
      <w:r>
        <w:rPr>
          <w:rFonts w:ascii="Times New Roman" w:hAnsi="Times New Roman"/>
          <w:snapToGrid w:val="0"/>
          <w:sz w:val="28"/>
          <w:szCs w:val="2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671"/>
        <w:gridCol w:w="1350"/>
        <w:gridCol w:w="1500"/>
        <w:gridCol w:w="1575"/>
        <w:gridCol w:w="1380"/>
        <w:gridCol w:w="1335"/>
        <w:gridCol w:w="1560"/>
        <w:gridCol w:w="1168"/>
      </w:tblGrid>
      <w:tr w14:paraId="1639E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249" w:type="dxa"/>
            <w:tcBorders>
              <w:tl2br w:val="single" w:color="auto" w:sz="4" w:space="0"/>
            </w:tcBorders>
            <w:tcMar>
              <w:left w:w="28" w:type="dxa"/>
              <w:right w:w="28" w:type="dxa"/>
            </w:tcMar>
            <w:vAlign w:val="center"/>
          </w:tcPr>
          <w:p w14:paraId="39BAAF07">
            <w:pPr>
              <w:pStyle w:val="44"/>
              <w:spacing w:before="24" w:after="24" w:line="240" w:lineRule="auto"/>
              <w:jc w:val="right"/>
              <w:rPr>
                <w:rFonts w:ascii="Times New Roman"/>
                <w:snapToGrid w:val="0"/>
                <w:spacing w:val="-6"/>
                <w:kern w:val="21"/>
                <w:sz w:val="21"/>
                <w:szCs w:val="21"/>
              </w:rPr>
            </w:pPr>
            <w:r>
              <w:rPr>
                <w:rFonts w:ascii="Times New Roman"/>
                <w:snapToGrid w:val="0"/>
                <w:spacing w:val="-6"/>
                <w:kern w:val="21"/>
                <w:sz w:val="21"/>
                <w:szCs w:val="21"/>
              </w:rPr>
              <w:t>项目</w:t>
            </w:r>
          </w:p>
          <w:p w14:paraId="46726718">
            <w:pPr>
              <w:pStyle w:val="44"/>
              <w:spacing w:before="24" w:after="24" w:line="240" w:lineRule="auto"/>
              <w:jc w:val="left"/>
              <w:rPr>
                <w:rFonts w:ascii="Times New Roman"/>
                <w:snapToGrid w:val="0"/>
                <w:spacing w:val="-6"/>
                <w:kern w:val="21"/>
                <w:sz w:val="21"/>
                <w:szCs w:val="21"/>
              </w:rPr>
            </w:pPr>
            <w:r>
              <w:rPr>
                <w:rFonts w:ascii="Times New Roman"/>
                <w:snapToGrid w:val="0"/>
                <w:spacing w:val="-6"/>
                <w:kern w:val="21"/>
                <w:sz w:val="21"/>
                <w:szCs w:val="21"/>
              </w:rPr>
              <w:t>分类</w:t>
            </w:r>
          </w:p>
        </w:tc>
        <w:tc>
          <w:tcPr>
            <w:tcW w:w="2671" w:type="dxa"/>
            <w:tcMar>
              <w:left w:w="28" w:type="dxa"/>
              <w:right w:w="28" w:type="dxa"/>
            </w:tcMar>
            <w:vAlign w:val="center"/>
          </w:tcPr>
          <w:p w14:paraId="3E713F27">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污染物名称</w:t>
            </w:r>
          </w:p>
        </w:tc>
        <w:tc>
          <w:tcPr>
            <w:tcW w:w="1350" w:type="dxa"/>
            <w:tcMar>
              <w:left w:w="28" w:type="dxa"/>
              <w:right w:w="28" w:type="dxa"/>
            </w:tcMar>
            <w:vAlign w:val="center"/>
          </w:tcPr>
          <w:p w14:paraId="3C331168">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现有工程</w:t>
            </w:r>
          </w:p>
          <w:p w14:paraId="0AA82CD9">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排放量（固体废物产生量）</w:t>
            </w:r>
            <w:r>
              <w:rPr>
                <w:rFonts w:ascii="Times New Roman"/>
                <w:snapToGrid w:val="0"/>
                <w:spacing w:val="-6"/>
                <w:kern w:val="21"/>
                <w:sz w:val="21"/>
                <w:szCs w:val="21"/>
              </w:rPr>
              <w:fldChar w:fldCharType="begin"/>
            </w:r>
            <w:r>
              <w:rPr>
                <w:rFonts w:ascii="Times New Roman"/>
                <w:snapToGrid w:val="0"/>
                <w:spacing w:val="-6"/>
                <w:kern w:val="21"/>
                <w:sz w:val="21"/>
                <w:szCs w:val="21"/>
              </w:rPr>
              <w:instrText xml:space="preserve"> = 1 \* GB3 \* MERGEFORMAT </w:instrText>
            </w:r>
            <w:r>
              <w:rPr>
                <w:rFonts w:ascii="Times New Roman"/>
                <w:snapToGrid w:val="0"/>
                <w:spacing w:val="-6"/>
                <w:kern w:val="21"/>
                <w:sz w:val="21"/>
                <w:szCs w:val="21"/>
              </w:rPr>
              <w:fldChar w:fldCharType="separate"/>
            </w:r>
            <w:r>
              <w:rPr>
                <w:rFonts w:ascii="Times New Roman"/>
                <w:kern w:val="2"/>
                <w:sz w:val="21"/>
                <w:szCs w:val="21"/>
              </w:rPr>
              <w:t>①</w:t>
            </w:r>
            <w:r>
              <w:rPr>
                <w:rFonts w:ascii="Times New Roman"/>
                <w:snapToGrid w:val="0"/>
                <w:spacing w:val="-6"/>
                <w:kern w:val="21"/>
                <w:sz w:val="21"/>
                <w:szCs w:val="21"/>
              </w:rPr>
              <w:fldChar w:fldCharType="end"/>
            </w:r>
          </w:p>
        </w:tc>
        <w:tc>
          <w:tcPr>
            <w:tcW w:w="1500" w:type="dxa"/>
            <w:tcMar>
              <w:left w:w="28" w:type="dxa"/>
              <w:right w:w="28" w:type="dxa"/>
            </w:tcMar>
            <w:vAlign w:val="center"/>
          </w:tcPr>
          <w:p w14:paraId="2CA2CC64">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现有工程</w:t>
            </w:r>
          </w:p>
          <w:p w14:paraId="3667DA06">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许可排放量</w:t>
            </w:r>
          </w:p>
          <w:p w14:paraId="57D34437">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fldChar w:fldCharType="begin"/>
            </w:r>
            <w:r>
              <w:rPr>
                <w:rFonts w:ascii="Times New Roman"/>
                <w:snapToGrid w:val="0"/>
                <w:spacing w:val="-6"/>
                <w:kern w:val="21"/>
                <w:sz w:val="21"/>
                <w:szCs w:val="21"/>
              </w:rPr>
              <w:instrText xml:space="preserve"> = 2 \* GB3 \* MERGEFORMAT </w:instrText>
            </w:r>
            <w:r>
              <w:rPr>
                <w:rFonts w:ascii="Times New Roman"/>
                <w:snapToGrid w:val="0"/>
                <w:spacing w:val="-6"/>
                <w:kern w:val="21"/>
                <w:sz w:val="21"/>
                <w:szCs w:val="21"/>
              </w:rPr>
              <w:fldChar w:fldCharType="separate"/>
            </w:r>
            <w:r>
              <w:rPr>
                <w:rFonts w:ascii="Times New Roman"/>
                <w:snapToGrid w:val="0"/>
                <w:spacing w:val="-6"/>
                <w:kern w:val="21"/>
                <w:sz w:val="21"/>
                <w:szCs w:val="21"/>
              </w:rPr>
              <w:t>②</w:t>
            </w:r>
            <w:r>
              <w:rPr>
                <w:rFonts w:ascii="Times New Roman"/>
                <w:snapToGrid w:val="0"/>
                <w:spacing w:val="-6"/>
                <w:kern w:val="21"/>
                <w:sz w:val="21"/>
                <w:szCs w:val="21"/>
              </w:rPr>
              <w:fldChar w:fldCharType="end"/>
            </w:r>
          </w:p>
        </w:tc>
        <w:tc>
          <w:tcPr>
            <w:tcW w:w="1575" w:type="dxa"/>
            <w:tcMar>
              <w:left w:w="28" w:type="dxa"/>
              <w:right w:w="28" w:type="dxa"/>
            </w:tcMar>
            <w:vAlign w:val="center"/>
          </w:tcPr>
          <w:p w14:paraId="6015C272">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在建工程</w:t>
            </w:r>
          </w:p>
          <w:p w14:paraId="1E1C2D99">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排放量（固体废物产生量）</w:t>
            </w:r>
            <w:r>
              <w:rPr>
                <w:rFonts w:ascii="Times New Roman"/>
                <w:snapToGrid w:val="0"/>
                <w:spacing w:val="-6"/>
                <w:kern w:val="21"/>
                <w:sz w:val="21"/>
                <w:szCs w:val="21"/>
              </w:rPr>
              <w:fldChar w:fldCharType="begin"/>
            </w:r>
            <w:r>
              <w:rPr>
                <w:rFonts w:ascii="Times New Roman"/>
                <w:snapToGrid w:val="0"/>
                <w:spacing w:val="-6"/>
                <w:kern w:val="21"/>
                <w:sz w:val="21"/>
                <w:szCs w:val="21"/>
              </w:rPr>
              <w:instrText xml:space="preserve"> = 3 \* GB3 \* MERGEFORMAT </w:instrText>
            </w:r>
            <w:r>
              <w:rPr>
                <w:rFonts w:ascii="Times New Roman"/>
                <w:snapToGrid w:val="0"/>
                <w:spacing w:val="-6"/>
                <w:kern w:val="21"/>
                <w:sz w:val="21"/>
                <w:szCs w:val="21"/>
              </w:rPr>
              <w:fldChar w:fldCharType="separate"/>
            </w:r>
            <w:r>
              <w:rPr>
                <w:rFonts w:ascii="Times New Roman"/>
                <w:kern w:val="2"/>
                <w:sz w:val="21"/>
                <w:szCs w:val="21"/>
              </w:rPr>
              <w:t>③</w:t>
            </w:r>
            <w:r>
              <w:rPr>
                <w:rFonts w:ascii="Times New Roman"/>
                <w:snapToGrid w:val="0"/>
                <w:spacing w:val="-6"/>
                <w:kern w:val="21"/>
                <w:sz w:val="21"/>
                <w:szCs w:val="21"/>
              </w:rPr>
              <w:fldChar w:fldCharType="end"/>
            </w:r>
          </w:p>
        </w:tc>
        <w:tc>
          <w:tcPr>
            <w:tcW w:w="1380" w:type="dxa"/>
            <w:tcMar>
              <w:left w:w="28" w:type="dxa"/>
              <w:right w:w="28" w:type="dxa"/>
            </w:tcMar>
            <w:vAlign w:val="center"/>
          </w:tcPr>
          <w:p w14:paraId="52CF58E1">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本项目</w:t>
            </w:r>
          </w:p>
          <w:p w14:paraId="428862C3">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排放量（固体废物产生量）</w:t>
            </w:r>
            <w:r>
              <w:rPr>
                <w:rFonts w:ascii="Times New Roman"/>
                <w:snapToGrid w:val="0"/>
                <w:spacing w:val="-6"/>
                <w:kern w:val="21"/>
                <w:sz w:val="21"/>
                <w:szCs w:val="21"/>
              </w:rPr>
              <w:fldChar w:fldCharType="begin"/>
            </w:r>
            <w:r>
              <w:rPr>
                <w:rFonts w:ascii="Times New Roman"/>
                <w:snapToGrid w:val="0"/>
                <w:spacing w:val="-6"/>
                <w:kern w:val="21"/>
                <w:sz w:val="21"/>
                <w:szCs w:val="21"/>
              </w:rPr>
              <w:instrText xml:space="preserve"> = 4 \* GB3 \* MERGEFORMAT </w:instrText>
            </w:r>
            <w:r>
              <w:rPr>
                <w:rFonts w:ascii="Times New Roman"/>
                <w:snapToGrid w:val="0"/>
                <w:spacing w:val="-6"/>
                <w:kern w:val="21"/>
                <w:sz w:val="21"/>
                <w:szCs w:val="21"/>
              </w:rPr>
              <w:fldChar w:fldCharType="separate"/>
            </w:r>
            <w:r>
              <w:rPr>
                <w:rFonts w:ascii="Times New Roman"/>
                <w:kern w:val="2"/>
                <w:sz w:val="21"/>
                <w:szCs w:val="21"/>
              </w:rPr>
              <w:t>④</w:t>
            </w:r>
            <w:r>
              <w:rPr>
                <w:rFonts w:ascii="Times New Roman"/>
                <w:snapToGrid w:val="0"/>
                <w:spacing w:val="-6"/>
                <w:kern w:val="21"/>
                <w:sz w:val="21"/>
                <w:szCs w:val="21"/>
              </w:rPr>
              <w:fldChar w:fldCharType="end"/>
            </w:r>
          </w:p>
        </w:tc>
        <w:tc>
          <w:tcPr>
            <w:tcW w:w="1335" w:type="dxa"/>
            <w:tcMar>
              <w:left w:w="28" w:type="dxa"/>
              <w:right w:w="28" w:type="dxa"/>
            </w:tcMar>
            <w:vAlign w:val="center"/>
          </w:tcPr>
          <w:p w14:paraId="4DF47D68">
            <w:pPr>
              <w:pStyle w:val="44"/>
              <w:spacing w:before="24" w:after="24" w:line="240" w:lineRule="auto"/>
              <w:rPr>
                <w:rFonts w:ascii="Times New Roman"/>
                <w:snapToGrid w:val="0"/>
                <w:spacing w:val="-16"/>
                <w:kern w:val="21"/>
                <w:sz w:val="21"/>
                <w:szCs w:val="21"/>
              </w:rPr>
            </w:pPr>
            <w:r>
              <w:rPr>
                <w:rFonts w:ascii="Times New Roman"/>
                <w:snapToGrid w:val="0"/>
                <w:spacing w:val="-16"/>
                <w:kern w:val="21"/>
                <w:sz w:val="21"/>
                <w:szCs w:val="21"/>
              </w:rPr>
              <w:t>以新带老削减量</w:t>
            </w:r>
          </w:p>
          <w:p w14:paraId="5DB8FCDC">
            <w:pPr>
              <w:pStyle w:val="44"/>
              <w:spacing w:before="24" w:after="24" w:line="240" w:lineRule="auto"/>
              <w:rPr>
                <w:rFonts w:ascii="Times New Roman"/>
                <w:snapToGrid w:val="0"/>
                <w:spacing w:val="-16"/>
                <w:kern w:val="21"/>
                <w:sz w:val="21"/>
                <w:szCs w:val="21"/>
              </w:rPr>
            </w:pPr>
            <w:r>
              <w:rPr>
                <w:rFonts w:ascii="Times New Roman"/>
                <w:snapToGrid w:val="0"/>
                <w:spacing w:val="-16"/>
                <w:kern w:val="21"/>
                <w:sz w:val="21"/>
                <w:szCs w:val="21"/>
              </w:rPr>
              <w:t>（新建项目不填）</w:t>
            </w:r>
            <w:r>
              <w:rPr>
                <w:rFonts w:ascii="Times New Roman"/>
                <w:snapToGrid w:val="0"/>
                <w:spacing w:val="-16"/>
                <w:kern w:val="21"/>
                <w:sz w:val="21"/>
                <w:szCs w:val="21"/>
              </w:rPr>
              <w:fldChar w:fldCharType="begin"/>
            </w:r>
            <w:r>
              <w:rPr>
                <w:rFonts w:ascii="Times New Roman"/>
                <w:snapToGrid w:val="0"/>
                <w:spacing w:val="-16"/>
                <w:kern w:val="21"/>
                <w:sz w:val="21"/>
                <w:szCs w:val="21"/>
              </w:rPr>
              <w:instrText xml:space="preserve"> = 5 \* GB3 \* MERGEFORMAT </w:instrText>
            </w:r>
            <w:r>
              <w:rPr>
                <w:rFonts w:ascii="Times New Roman"/>
                <w:snapToGrid w:val="0"/>
                <w:spacing w:val="-16"/>
                <w:kern w:val="21"/>
                <w:sz w:val="21"/>
                <w:szCs w:val="21"/>
              </w:rPr>
              <w:fldChar w:fldCharType="separate"/>
            </w:r>
            <w:r>
              <w:rPr>
                <w:rFonts w:ascii="Times New Roman"/>
                <w:kern w:val="2"/>
                <w:sz w:val="21"/>
                <w:szCs w:val="21"/>
              </w:rPr>
              <w:t>⑤</w:t>
            </w:r>
            <w:r>
              <w:rPr>
                <w:rFonts w:ascii="Times New Roman"/>
                <w:snapToGrid w:val="0"/>
                <w:spacing w:val="-16"/>
                <w:kern w:val="21"/>
                <w:sz w:val="21"/>
                <w:szCs w:val="21"/>
              </w:rPr>
              <w:fldChar w:fldCharType="end"/>
            </w:r>
          </w:p>
        </w:tc>
        <w:tc>
          <w:tcPr>
            <w:tcW w:w="1560" w:type="dxa"/>
            <w:tcMar>
              <w:left w:w="28" w:type="dxa"/>
              <w:right w:w="28" w:type="dxa"/>
            </w:tcMar>
            <w:vAlign w:val="center"/>
          </w:tcPr>
          <w:p w14:paraId="0A85E9AF">
            <w:pPr>
              <w:pStyle w:val="44"/>
              <w:spacing w:before="24" w:after="24" w:line="240" w:lineRule="auto"/>
              <w:rPr>
                <w:rFonts w:ascii="Times New Roman"/>
                <w:snapToGrid w:val="0"/>
                <w:spacing w:val="-16"/>
                <w:kern w:val="21"/>
                <w:sz w:val="21"/>
                <w:szCs w:val="21"/>
              </w:rPr>
            </w:pPr>
            <w:r>
              <w:rPr>
                <w:rFonts w:ascii="Times New Roman"/>
                <w:snapToGrid w:val="0"/>
                <w:spacing w:val="-16"/>
                <w:kern w:val="21"/>
                <w:sz w:val="21"/>
                <w:szCs w:val="21"/>
              </w:rPr>
              <w:t>本项目建成后</w:t>
            </w:r>
          </w:p>
          <w:p w14:paraId="6E89632A">
            <w:pPr>
              <w:pStyle w:val="44"/>
              <w:spacing w:before="24" w:after="24" w:line="240" w:lineRule="auto"/>
              <w:rPr>
                <w:rFonts w:ascii="Times New Roman"/>
                <w:snapToGrid w:val="0"/>
                <w:spacing w:val="-16"/>
                <w:kern w:val="21"/>
                <w:sz w:val="21"/>
                <w:szCs w:val="21"/>
              </w:rPr>
            </w:pPr>
            <w:r>
              <w:rPr>
                <w:rFonts w:ascii="Times New Roman"/>
                <w:snapToGrid w:val="0"/>
                <w:spacing w:val="-16"/>
                <w:kern w:val="21"/>
                <w:sz w:val="21"/>
                <w:szCs w:val="21"/>
              </w:rPr>
              <w:t>全厂排放量（固体废物产生量）</w:t>
            </w:r>
            <w:r>
              <w:rPr>
                <w:rFonts w:ascii="Times New Roman"/>
                <w:snapToGrid w:val="0"/>
                <w:spacing w:val="-16"/>
                <w:kern w:val="21"/>
                <w:sz w:val="21"/>
                <w:szCs w:val="21"/>
              </w:rPr>
              <w:fldChar w:fldCharType="begin"/>
            </w:r>
            <w:r>
              <w:rPr>
                <w:rFonts w:ascii="Times New Roman"/>
                <w:snapToGrid w:val="0"/>
                <w:spacing w:val="-16"/>
                <w:kern w:val="21"/>
                <w:sz w:val="21"/>
                <w:szCs w:val="21"/>
              </w:rPr>
              <w:instrText xml:space="preserve"> = 6 \* GB3 \* MERGEFORMAT </w:instrText>
            </w:r>
            <w:r>
              <w:rPr>
                <w:rFonts w:ascii="Times New Roman"/>
                <w:snapToGrid w:val="0"/>
                <w:spacing w:val="-16"/>
                <w:kern w:val="21"/>
                <w:sz w:val="21"/>
                <w:szCs w:val="21"/>
              </w:rPr>
              <w:fldChar w:fldCharType="separate"/>
            </w:r>
            <w:r>
              <w:rPr>
                <w:rFonts w:ascii="Times New Roman"/>
                <w:kern w:val="2"/>
                <w:sz w:val="21"/>
                <w:szCs w:val="21"/>
              </w:rPr>
              <w:t>⑥</w:t>
            </w:r>
            <w:r>
              <w:rPr>
                <w:rFonts w:ascii="Times New Roman"/>
                <w:snapToGrid w:val="0"/>
                <w:spacing w:val="-16"/>
                <w:kern w:val="21"/>
                <w:sz w:val="21"/>
                <w:szCs w:val="21"/>
              </w:rPr>
              <w:fldChar w:fldCharType="end"/>
            </w:r>
          </w:p>
        </w:tc>
        <w:tc>
          <w:tcPr>
            <w:tcW w:w="1168" w:type="dxa"/>
            <w:tcMar>
              <w:left w:w="28" w:type="dxa"/>
              <w:right w:w="28" w:type="dxa"/>
            </w:tcMar>
            <w:vAlign w:val="center"/>
          </w:tcPr>
          <w:p w14:paraId="41FF11A3">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t>变化量</w:t>
            </w:r>
          </w:p>
          <w:p w14:paraId="0FB43A4D">
            <w:pPr>
              <w:pStyle w:val="44"/>
              <w:spacing w:before="24" w:after="24" w:line="240" w:lineRule="auto"/>
              <w:rPr>
                <w:rFonts w:ascii="Times New Roman"/>
                <w:snapToGrid w:val="0"/>
                <w:spacing w:val="-6"/>
                <w:kern w:val="21"/>
                <w:sz w:val="21"/>
                <w:szCs w:val="21"/>
              </w:rPr>
            </w:pPr>
            <w:r>
              <w:rPr>
                <w:rFonts w:ascii="Times New Roman"/>
                <w:snapToGrid w:val="0"/>
                <w:spacing w:val="-6"/>
                <w:kern w:val="21"/>
                <w:sz w:val="21"/>
                <w:szCs w:val="21"/>
              </w:rPr>
              <w:fldChar w:fldCharType="begin"/>
            </w:r>
            <w:r>
              <w:rPr>
                <w:rFonts w:ascii="Times New Roman"/>
                <w:snapToGrid w:val="0"/>
                <w:spacing w:val="-6"/>
                <w:kern w:val="21"/>
                <w:sz w:val="21"/>
                <w:szCs w:val="21"/>
              </w:rPr>
              <w:instrText xml:space="preserve"> = 7 \* GB3 \* MERGEFORMAT </w:instrText>
            </w:r>
            <w:r>
              <w:rPr>
                <w:rFonts w:ascii="Times New Roman"/>
                <w:snapToGrid w:val="0"/>
                <w:spacing w:val="-6"/>
                <w:kern w:val="21"/>
                <w:sz w:val="21"/>
                <w:szCs w:val="21"/>
              </w:rPr>
              <w:fldChar w:fldCharType="separate"/>
            </w:r>
            <w:r>
              <w:rPr>
                <w:rFonts w:ascii="Times New Roman"/>
                <w:kern w:val="2"/>
                <w:sz w:val="21"/>
                <w:szCs w:val="21"/>
              </w:rPr>
              <w:t>⑦</w:t>
            </w:r>
            <w:r>
              <w:rPr>
                <w:rFonts w:ascii="Times New Roman"/>
                <w:snapToGrid w:val="0"/>
                <w:spacing w:val="-6"/>
                <w:kern w:val="21"/>
                <w:sz w:val="21"/>
                <w:szCs w:val="21"/>
              </w:rPr>
              <w:fldChar w:fldCharType="end"/>
            </w:r>
          </w:p>
        </w:tc>
      </w:tr>
      <w:tr w14:paraId="7A6B4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restart"/>
            <w:vAlign w:val="center"/>
          </w:tcPr>
          <w:p w14:paraId="6179B866">
            <w:pPr>
              <w:pStyle w:val="44"/>
              <w:spacing w:before="24" w:after="24" w:line="240" w:lineRule="auto"/>
              <w:rPr>
                <w:rFonts w:hint="eastAsia" w:ascii="Times New Roman" w:eastAsia="仿宋"/>
                <w:snapToGrid w:val="0"/>
                <w:kern w:val="21"/>
                <w:sz w:val="21"/>
                <w:szCs w:val="21"/>
                <w:lang w:val="en-US" w:eastAsia="zh-CN"/>
              </w:rPr>
            </w:pPr>
            <w:r>
              <w:rPr>
                <w:rFonts w:hint="eastAsia" w:ascii="Times New Roman"/>
                <w:snapToGrid w:val="0"/>
                <w:kern w:val="21"/>
                <w:sz w:val="21"/>
                <w:szCs w:val="21"/>
                <w:lang w:val="en-US" w:eastAsia="zh-CN"/>
              </w:rPr>
              <w:t>废气</w:t>
            </w:r>
          </w:p>
        </w:tc>
        <w:tc>
          <w:tcPr>
            <w:tcW w:w="2671" w:type="dxa"/>
            <w:vAlign w:val="center"/>
          </w:tcPr>
          <w:p w14:paraId="7CDE3D1D">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ascii="Times New Roman"/>
                <w:snapToGrid w:val="0"/>
                <w:kern w:val="21"/>
                <w:sz w:val="21"/>
                <w:szCs w:val="21"/>
              </w:rPr>
            </w:pPr>
            <w:r>
              <w:rPr>
                <w:rFonts w:hint="default" w:ascii="Times New Roman" w:hAnsi="Times New Roman" w:eastAsia="仿宋" w:cs="Times New Roman"/>
                <w:snapToGrid w:val="0"/>
                <w:color w:val="auto"/>
                <w:kern w:val="21"/>
                <w:sz w:val="21"/>
                <w:szCs w:val="21"/>
                <w:lang w:val="en-US" w:eastAsia="zh-CN"/>
              </w:rPr>
              <w:t>废气量（万标立方米/年）</w:t>
            </w:r>
          </w:p>
        </w:tc>
        <w:tc>
          <w:tcPr>
            <w:tcW w:w="1350" w:type="dxa"/>
            <w:vAlign w:val="center"/>
          </w:tcPr>
          <w:p w14:paraId="03DE8418">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4BF6A72A">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141E4A2E">
            <w:pPr>
              <w:spacing w:line="240" w:lineRule="auto"/>
              <w:jc w:val="center"/>
              <w:rPr>
                <w:sz w:val="21"/>
                <w:szCs w:val="21"/>
              </w:rPr>
            </w:pPr>
            <w:r>
              <w:rPr>
                <w:sz w:val="21"/>
                <w:szCs w:val="21"/>
              </w:rPr>
              <w:t>0</w:t>
            </w:r>
          </w:p>
        </w:tc>
        <w:tc>
          <w:tcPr>
            <w:tcW w:w="1380" w:type="dxa"/>
            <w:vAlign w:val="center"/>
          </w:tcPr>
          <w:p w14:paraId="23F87091">
            <w:pPr>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20160</w:t>
            </w:r>
          </w:p>
        </w:tc>
        <w:tc>
          <w:tcPr>
            <w:tcW w:w="1335" w:type="dxa"/>
            <w:vAlign w:val="center"/>
          </w:tcPr>
          <w:p w14:paraId="31C35344">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1560" w:type="dxa"/>
            <w:vAlign w:val="center"/>
          </w:tcPr>
          <w:p w14:paraId="4D8ED429">
            <w:pPr>
              <w:spacing w:line="240" w:lineRule="auto"/>
              <w:jc w:val="center"/>
              <w:rPr>
                <w:rFonts w:hint="eastAsia" w:ascii="Times New Roman" w:hAnsi="Times New Roman" w:cs="Times New Roman"/>
                <w:sz w:val="21"/>
                <w:szCs w:val="21"/>
              </w:rPr>
            </w:pPr>
            <w:r>
              <w:rPr>
                <w:rFonts w:hint="eastAsia" w:cs="Times New Roman"/>
                <w:sz w:val="21"/>
                <w:szCs w:val="21"/>
                <w:lang w:val="en-US" w:eastAsia="zh-CN"/>
              </w:rPr>
              <w:t>20160</w:t>
            </w:r>
          </w:p>
        </w:tc>
        <w:tc>
          <w:tcPr>
            <w:tcW w:w="1168" w:type="dxa"/>
            <w:vAlign w:val="center"/>
          </w:tcPr>
          <w:p w14:paraId="23153251">
            <w:pPr>
              <w:spacing w:line="240" w:lineRule="auto"/>
              <w:jc w:val="center"/>
              <w:rPr>
                <w:rFonts w:hint="eastAsia" w:cs="Times New Roman"/>
                <w:sz w:val="21"/>
                <w:szCs w:val="21"/>
                <w:lang w:val="en-US" w:eastAsia="zh-CN"/>
              </w:rPr>
            </w:pPr>
            <w:r>
              <w:rPr>
                <w:rFonts w:hint="eastAsia" w:cs="Times New Roman"/>
                <w:sz w:val="21"/>
                <w:szCs w:val="21"/>
                <w:lang w:val="en-US" w:eastAsia="zh-CN"/>
              </w:rPr>
              <w:t>+20160</w:t>
            </w:r>
          </w:p>
        </w:tc>
      </w:tr>
      <w:tr w14:paraId="1B6A9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5CD01541">
            <w:pPr>
              <w:pStyle w:val="44"/>
              <w:spacing w:before="24" w:after="24" w:line="240" w:lineRule="auto"/>
              <w:rPr>
                <w:rFonts w:ascii="Times New Roman"/>
                <w:snapToGrid w:val="0"/>
                <w:kern w:val="21"/>
                <w:sz w:val="21"/>
                <w:szCs w:val="21"/>
              </w:rPr>
            </w:pPr>
          </w:p>
        </w:tc>
        <w:tc>
          <w:tcPr>
            <w:tcW w:w="2671" w:type="dxa"/>
            <w:shd w:val="clear" w:color="auto" w:fill="auto"/>
            <w:vAlign w:val="center"/>
          </w:tcPr>
          <w:p w14:paraId="529DB9FB">
            <w:pPr>
              <w:pStyle w:val="44"/>
              <w:spacing w:before="24" w:after="24" w:line="240" w:lineRule="auto"/>
              <w:rPr>
                <w:rFonts w:ascii="Times New Roman" w:hAnsi="Times New Roman" w:eastAsia="仿宋" w:cs="Times New Roman"/>
                <w:snapToGrid w:val="0"/>
                <w:kern w:val="21"/>
                <w:sz w:val="21"/>
                <w:szCs w:val="21"/>
                <w:lang w:val="en-US" w:eastAsia="zh-CN" w:bidi="ar-SA"/>
              </w:rPr>
            </w:pPr>
            <w:r>
              <w:rPr>
                <w:rFonts w:hint="eastAsia" w:ascii="Times New Roman"/>
                <w:snapToGrid w:val="0"/>
                <w:kern w:val="21"/>
                <w:sz w:val="21"/>
                <w:szCs w:val="21"/>
              </w:rPr>
              <w:t>VOCs</w:t>
            </w:r>
            <w:r>
              <w:rPr>
                <w:rFonts w:ascii="Times New Roman"/>
                <w:snapToGrid w:val="0"/>
                <w:kern w:val="21"/>
                <w:sz w:val="21"/>
                <w:szCs w:val="21"/>
              </w:rPr>
              <w:t>（吨/年）</w:t>
            </w:r>
          </w:p>
        </w:tc>
        <w:tc>
          <w:tcPr>
            <w:tcW w:w="1350" w:type="dxa"/>
            <w:vAlign w:val="center"/>
          </w:tcPr>
          <w:p w14:paraId="089DBA62">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14D5677C">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5757128C">
            <w:pPr>
              <w:spacing w:line="240" w:lineRule="auto"/>
              <w:jc w:val="center"/>
              <w:rPr>
                <w:sz w:val="21"/>
                <w:szCs w:val="21"/>
              </w:rPr>
            </w:pPr>
            <w:r>
              <w:rPr>
                <w:sz w:val="21"/>
                <w:szCs w:val="21"/>
              </w:rPr>
              <w:t>0</w:t>
            </w:r>
          </w:p>
        </w:tc>
        <w:tc>
          <w:tcPr>
            <w:tcW w:w="1380" w:type="dxa"/>
            <w:vAlign w:val="center"/>
          </w:tcPr>
          <w:p w14:paraId="7E917A04">
            <w:pPr>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0.57</w:t>
            </w:r>
          </w:p>
        </w:tc>
        <w:tc>
          <w:tcPr>
            <w:tcW w:w="1335" w:type="dxa"/>
            <w:vAlign w:val="center"/>
          </w:tcPr>
          <w:p w14:paraId="2765FA07">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1560" w:type="dxa"/>
            <w:vAlign w:val="center"/>
          </w:tcPr>
          <w:p w14:paraId="50C7C030">
            <w:pPr>
              <w:spacing w:line="240" w:lineRule="auto"/>
              <w:jc w:val="center"/>
              <w:rPr>
                <w:rFonts w:hint="eastAsia" w:ascii="Times New Roman" w:hAnsi="Times New Roman" w:cs="Times New Roman"/>
                <w:sz w:val="21"/>
                <w:szCs w:val="21"/>
              </w:rPr>
            </w:pPr>
            <w:r>
              <w:rPr>
                <w:rFonts w:hint="eastAsia" w:cs="Times New Roman"/>
                <w:sz w:val="21"/>
                <w:szCs w:val="21"/>
                <w:lang w:val="en-US" w:eastAsia="zh-CN"/>
              </w:rPr>
              <w:t>0.57</w:t>
            </w:r>
          </w:p>
        </w:tc>
        <w:tc>
          <w:tcPr>
            <w:tcW w:w="1168" w:type="dxa"/>
            <w:vAlign w:val="center"/>
          </w:tcPr>
          <w:p w14:paraId="3392E9B6">
            <w:pPr>
              <w:spacing w:line="240" w:lineRule="auto"/>
              <w:jc w:val="center"/>
              <w:rPr>
                <w:rFonts w:hint="eastAsia" w:cs="Times New Roman"/>
                <w:sz w:val="21"/>
                <w:szCs w:val="21"/>
                <w:lang w:val="en-US" w:eastAsia="zh-CN"/>
              </w:rPr>
            </w:pPr>
            <w:r>
              <w:rPr>
                <w:rFonts w:hint="eastAsia" w:cs="Times New Roman"/>
                <w:sz w:val="21"/>
                <w:szCs w:val="21"/>
                <w:lang w:val="en-US" w:eastAsia="zh-CN"/>
              </w:rPr>
              <w:t>+0.57</w:t>
            </w:r>
          </w:p>
        </w:tc>
      </w:tr>
      <w:tr w14:paraId="03FC8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3A8A9F04">
            <w:pPr>
              <w:pStyle w:val="44"/>
              <w:spacing w:before="24" w:after="24" w:line="240" w:lineRule="auto"/>
              <w:rPr>
                <w:rFonts w:ascii="Times New Roman"/>
                <w:snapToGrid w:val="0"/>
                <w:kern w:val="21"/>
                <w:sz w:val="21"/>
                <w:szCs w:val="21"/>
              </w:rPr>
            </w:pPr>
          </w:p>
        </w:tc>
        <w:tc>
          <w:tcPr>
            <w:tcW w:w="2671" w:type="dxa"/>
            <w:shd w:val="clear" w:color="auto" w:fill="auto"/>
            <w:vAlign w:val="center"/>
          </w:tcPr>
          <w:p w14:paraId="6E63E514">
            <w:pPr>
              <w:pStyle w:val="44"/>
              <w:spacing w:before="24" w:after="24" w:line="240" w:lineRule="auto"/>
              <w:rPr>
                <w:rFonts w:ascii="Times New Roman" w:hAnsi="Times New Roman" w:eastAsia="仿宋" w:cs="Times New Roman"/>
                <w:snapToGrid w:val="0"/>
                <w:kern w:val="21"/>
                <w:sz w:val="21"/>
                <w:szCs w:val="21"/>
                <w:lang w:val="en-US" w:eastAsia="zh-CN" w:bidi="ar-SA"/>
              </w:rPr>
            </w:pPr>
            <w:r>
              <w:rPr>
                <w:rFonts w:hint="eastAsia" w:ascii="Times New Roman"/>
                <w:snapToGrid w:val="0"/>
                <w:kern w:val="21"/>
                <w:sz w:val="21"/>
                <w:szCs w:val="21"/>
              </w:rPr>
              <w:t>颗粒物</w:t>
            </w:r>
            <w:r>
              <w:rPr>
                <w:rFonts w:ascii="Times New Roman"/>
                <w:snapToGrid w:val="0"/>
                <w:kern w:val="21"/>
                <w:sz w:val="21"/>
                <w:szCs w:val="21"/>
              </w:rPr>
              <w:t>（吨/年）</w:t>
            </w:r>
          </w:p>
        </w:tc>
        <w:tc>
          <w:tcPr>
            <w:tcW w:w="1350" w:type="dxa"/>
            <w:vAlign w:val="center"/>
          </w:tcPr>
          <w:p w14:paraId="25C15EE6">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48DBDD35">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3ABE8401">
            <w:pPr>
              <w:spacing w:line="240" w:lineRule="auto"/>
              <w:jc w:val="center"/>
              <w:rPr>
                <w:sz w:val="21"/>
                <w:szCs w:val="21"/>
              </w:rPr>
            </w:pPr>
            <w:r>
              <w:rPr>
                <w:sz w:val="21"/>
                <w:szCs w:val="21"/>
              </w:rPr>
              <w:t>0</w:t>
            </w:r>
          </w:p>
        </w:tc>
        <w:tc>
          <w:tcPr>
            <w:tcW w:w="1380" w:type="dxa"/>
            <w:vAlign w:val="center"/>
          </w:tcPr>
          <w:p w14:paraId="72EDA2E9">
            <w:pPr>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0.735</w:t>
            </w:r>
          </w:p>
        </w:tc>
        <w:tc>
          <w:tcPr>
            <w:tcW w:w="1335" w:type="dxa"/>
            <w:vAlign w:val="center"/>
          </w:tcPr>
          <w:p w14:paraId="25FCDAE2">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1560" w:type="dxa"/>
            <w:vAlign w:val="center"/>
          </w:tcPr>
          <w:p w14:paraId="164F48EC">
            <w:pPr>
              <w:spacing w:line="240" w:lineRule="auto"/>
              <w:jc w:val="center"/>
              <w:rPr>
                <w:rFonts w:hint="eastAsia" w:ascii="Times New Roman" w:hAnsi="Times New Roman" w:cs="Times New Roman"/>
                <w:sz w:val="21"/>
                <w:szCs w:val="21"/>
              </w:rPr>
            </w:pPr>
            <w:r>
              <w:rPr>
                <w:rFonts w:hint="eastAsia" w:cs="Times New Roman"/>
                <w:sz w:val="21"/>
                <w:szCs w:val="21"/>
                <w:lang w:val="en-US" w:eastAsia="zh-CN"/>
              </w:rPr>
              <w:t>0.735</w:t>
            </w:r>
          </w:p>
        </w:tc>
        <w:tc>
          <w:tcPr>
            <w:tcW w:w="1168" w:type="dxa"/>
            <w:vAlign w:val="center"/>
          </w:tcPr>
          <w:p w14:paraId="3E043958">
            <w:pPr>
              <w:spacing w:line="240" w:lineRule="auto"/>
              <w:jc w:val="center"/>
              <w:rPr>
                <w:rFonts w:hint="eastAsia" w:cs="Times New Roman"/>
                <w:sz w:val="21"/>
                <w:szCs w:val="21"/>
                <w:lang w:val="en-US" w:eastAsia="zh-CN"/>
              </w:rPr>
            </w:pPr>
            <w:r>
              <w:rPr>
                <w:rFonts w:hint="eastAsia" w:cs="Times New Roman"/>
                <w:sz w:val="21"/>
                <w:szCs w:val="21"/>
                <w:lang w:val="en-US" w:eastAsia="zh-CN"/>
              </w:rPr>
              <w:t>+0.735</w:t>
            </w:r>
          </w:p>
        </w:tc>
      </w:tr>
      <w:tr w14:paraId="534F6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535FF3F6">
            <w:pPr>
              <w:pStyle w:val="44"/>
              <w:spacing w:before="24" w:after="24" w:line="240" w:lineRule="auto"/>
              <w:rPr>
                <w:rFonts w:ascii="Times New Roman"/>
                <w:snapToGrid w:val="0"/>
                <w:kern w:val="21"/>
                <w:sz w:val="21"/>
                <w:szCs w:val="21"/>
              </w:rPr>
            </w:pPr>
          </w:p>
        </w:tc>
        <w:tc>
          <w:tcPr>
            <w:tcW w:w="2671" w:type="dxa"/>
            <w:shd w:val="clear" w:color="auto" w:fill="auto"/>
            <w:vAlign w:val="center"/>
          </w:tcPr>
          <w:p w14:paraId="3594056B">
            <w:pPr>
              <w:pStyle w:val="44"/>
              <w:spacing w:before="24" w:after="24" w:line="240" w:lineRule="auto"/>
              <w:rPr>
                <w:rFonts w:ascii="Times New Roman" w:hAnsi="Times New Roman" w:eastAsia="仿宋" w:cs="Times New Roman"/>
                <w:snapToGrid w:val="0"/>
                <w:kern w:val="21"/>
                <w:sz w:val="21"/>
                <w:szCs w:val="21"/>
                <w:lang w:val="en-US" w:eastAsia="zh-CN" w:bidi="ar-SA"/>
              </w:rPr>
            </w:pPr>
            <w:r>
              <w:rPr>
                <w:rFonts w:hint="eastAsia" w:ascii="Times New Roman"/>
                <w:snapToGrid w:val="0"/>
                <w:kern w:val="21"/>
                <w:sz w:val="21"/>
                <w:szCs w:val="21"/>
              </w:rPr>
              <w:t>SO</w:t>
            </w:r>
            <w:r>
              <w:rPr>
                <w:rFonts w:hint="eastAsia" w:ascii="Times New Roman"/>
                <w:snapToGrid w:val="0"/>
                <w:kern w:val="21"/>
                <w:sz w:val="21"/>
                <w:szCs w:val="21"/>
                <w:vertAlign w:val="subscript"/>
              </w:rPr>
              <w:t>2</w:t>
            </w:r>
            <w:r>
              <w:rPr>
                <w:rFonts w:ascii="Times New Roman"/>
                <w:snapToGrid w:val="0"/>
                <w:kern w:val="21"/>
                <w:sz w:val="21"/>
                <w:szCs w:val="21"/>
              </w:rPr>
              <w:t>（吨/年）</w:t>
            </w:r>
          </w:p>
        </w:tc>
        <w:tc>
          <w:tcPr>
            <w:tcW w:w="1350" w:type="dxa"/>
            <w:vAlign w:val="center"/>
          </w:tcPr>
          <w:p w14:paraId="55887405">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0222DC31">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647C0668">
            <w:pPr>
              <w:spacing w:line="240" w:lineRule="auto"/>
              <w:jc w:val="center"/>
              <w:rPr>
                <w:sz w:val="21"/>
                <w:szCs w:val="21"/>
              </w:rPr>
            </w:pPr>
            <w:r>
              <w:rPr>
                <w:sz w:val="21"/>
                <w:szCs w:val="21"/>
              </w:rPr>
              <w:t>0</w:t>
            </w:r>
          </w:p>
        </w:tc>
        <w:tc>
          <w:tcPr>
            <w:tcW w:w="1380" w:type="dxa"/>
            <w:vAlign w:val="center"/>
          </w:tcPr>
          <w:p w14:paraId="6FC8FE6D">
            <w:pPr>
              <w:spacing w:line="240" w:lineRule="auto"/>
              <w:jc w:val="center"/>
              <w:rPr>
                <w:rFonts w:hint="default" w:cs="Times New Roman"/>
                <w:sz w:val="21"/>
                <w:szCs w:val="21"/>
                <w:lang w:val="en-US" w:eastAsia="zh-CN"/>
              </w:rPr>
            </w:pPr>
            <w:r>
              <w:rPr>
                <w:rFonts w:hint="eastAsia" w:cs="Times New Roman"/>
                <w:sz w:val="21"/>
                <w:szCs w:val="21"/>
                <w:lang w:val="en-US" w:eastAsia="zh-CN"/>
              </w:rPr>
              <w:t>0.08</w:t>
            </w:r>
          </w:p>
        </w:tc>
        <w:tc>
          <w:tcPr>
            <w:tcW w:w="1335" w:type="dxa"/>
            <w:vAlign w:val="center"/>
          </w:tcPr>
          <w:p w14:paraId="7AC6AA5F">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1560" w:type="dxa"/>
            <w:vAlign w:val="center"/>
          </w:tcPr>
          <w:p w14:paraId="130BF3F2">
            <w:pPr>
              <w:spacing w:line="240" w:lineRule="auto"/>
              <w:jc w:val="center"/>
              <w:rPr>
                <w:rFonts w:hint="eastAsia" w:ascii="Times New Roman" w:hAnsi="Times New Roman" w:cs="Times New Roman"/>
                <w:sz w:val="21"/>
                <w:szCs w:val="21"/>
              </w:rPr>
            </w:pPr>
            <w:r>
              <w:rPr>
                <w:rFonts w:hint="eastAsia" w:cs="Times New Roman"/>
                <w:sz w:val="21"/>
                <w:szCs w:val="21"/>
                <w:lang w:val="en-US" w:eastAsia="zh-CN"/>
              </w:rPr>
              <w:t>0.08</w:t>
            </w:r>
          </w:p>
        </w:tc>
        <w:tc>
          <w:tcPr>
            <w:tcW w:w="1168" w:type="dxa"/>
            <w:vAlign w:val="center"/>
          </w:tcPr>
          <w:p w14:paraId="04AC0DA6">
            <w:pPr>
              <w:spacing w:line="240" w:lineRule="auto"/>
              <w:jc w:val="center"/>
              <w:rPr>
                <w:rFonts w:hint="eastAsia" w:cs="Times New Roman"/>
                <w:sz w:val="21"/>
                <w:szCs w:val="21"/>
                <w:lang w:val="en-US" w:eastAsia="zh-CN"/>
              </w:rPr>
            </w:pPr>
            <w:r>
              <w:rPr>
                <w:rFonts w:hint="eastAsia" w:cs="Times New Roman"/>
                <w:sz w:val="21"/>
                <w:szCs w:val="21"/>
                <w:lang w:val="en-US" w:eastAsia="zh-CN"/>
              </w:rPr>
              <w:t>+0.08</w:t>
            </w:r>
          </w:p>
        </w:tc>
      </w:tr>
      <w:tr w14:paraId="0B52E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40CC7869">
            <w:pPr>
              <w:pStyle w:val="44"/>
              <w:spacing w:before="24" w:after="24" w:line="240" w:lineRule="auto"/>
              <w:rPr>
                <w:rFonts w:ascii="Times New Roman"/>
                <w:snapToGrid w:val="0"/>
                <w:kern w:val="21"/>
                <w:sz w:val="21"/>
                <w:szCs w:val="21"/>
              </w:rPr>
            </w:pPr>
          </w:p>
        </w:tc>
        <w:tc>
          <w:tcPr>
            <w:tcW w:w="2671" w:type="dxa"/>
            <w:shd w:val="clear" w:color="auto" w:fill="auto"/>
            <w:vAlign w:val="center"/>
          </w:tcPr>
          <w:p w14:paraId="58315EAC">
            <w:pPr>
              <w:pStyle w:val="44"/>
              <w:spacing w:before="24" w:after="24" w:line="240" w:lineRule="auto"/>
              <w:rPr>
                <w:rFonts w:ascii="Times New Roman" w:hAnsi="Times New Roman" w:eastAsia="仿宋" w:cs="Times New Roman"/>
                <w:snapToGrid w:val="0"/>
                <w:kern w:val="21"/>
                <w:sz w:val="21"/>
                <w:szCs w:val="21"/>
                <w:lang w:val="en-US" w:eastAsia="zh-CN" w:bidi="ar-SA"/>
              </w:rPr>
            </w:pPr>
            <w:r>
              <w:rPr>
                <w:rFonts w:hint="eastAsia" w:ascii="Times New Roman"/>
                <w:snapToGrid w:val="0"/>
                <w:kern w:val="21"/>
                <w:sz w:val="21"/>
                <w:szCs w:val="21"/>
                <w:lang w:val="en-US" w:eastAsia="zh-CN"/>
              </w:rPr>
              <w:t>NOx</w:t>
            </w:r>
            <w:r>
              <w:rPr>
                <w:rFonts w:ascii="Times New Roman"/>
                <w:snapToGrid w:val="0"/>
                <w:kern w:val="21"/>
                <w:sz w:val="21"/>
                <w:szCs w:val="21"/>
              </w:rPr>
              <w:t>（吨/年）</w:t>
            </w:r>
          </w:p>
        </w:tc>
        <w:tc>
          <w:tcPr>
            <w:tcW w:w="1350" w:type="dxa"/>
            <w:vAlign w:val="center"/>
          </w:tcPr>
          <w:p w14:paraId="4991AF54">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5FA45AAE">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381821B4">
            <w:pPr>
              <w:spacing w:line="240" w:lineRule="auto"/>
              <w:jc w:val="center"/>
              <w:rPr>
                <w:sz w:val="21"/>
                <w:szCs w:val="21"/>
              </w:rPr>
            </w:pPr>
            <w:r>
              <w:rPr>
                <w:sz w:val="21"/>
                <w:szCs w:val="21"/>
              </w:rPr>
              <w:t>0</w:t>
            </w:r>
          </w:p>
        </w:tc>
        <w:tc>
          <w:tcPr>
            <w:tcW w:w="1380" w:type="dxa"/>
            <w:vAlign w:val="center"/>
          </w:tcPr>
          <w:p w14:paraId="24D5BF2A">
            <w:pPr>
              <w:spacing w:line="240" w:lineRule="auto"/>
              <w:jc w:val="center"/>
              <w:rPr>
                <w:rFonts w:hint="eastAsia" w:cs="Times New Roman"/>
                <w:sz w:val="21"/>
                <w:szCs w:val="21"/>
                <w:lang w:val="en-US" w:eastAsia="zh-CN"/>
              </w:rPr>
            </w:pPr>
            <w:r>
              <w:rPr>
                <w:rFonts w:hint="default" w:cs="Times New Roman"/>
                <w:sz w:val="21"/>
                <w:szCs w:val="21"/>
                <w:lang w:val="en-US" w:eastAsia="zh-CN"/>
              </w:rPr>
              <w:t xml:space="preserve">0.374 </w:t>
            </w:r>
          </w:p>
        </w:tc>
        <w:tc>
          <w:tcPr>
            <w:tcW w:w="1335" w:type="dxa"/>
            <w:vAlign w:val="center"/>
          </w:tcPr>
          <w:p w14:paraId="47FD86D1">
            <w:pPr>
              <w:spacing w:line="240" w:lineRule="auto"/>
              <w:jc w:val="center"/>
              <w:rPr>
                <w:rFonts w:hint="eastAsia" w:eastAsia="仿宋"/>
                <w:sz w:val="21"/>
                <w:szCs w:val="21"/>
                <w:lang w:val="en-US" w:eastAsia="zh-CN"/>
              </w:rPr>
            </w:pPr>
            <w:r>
              <w:rPr>
                <w:rFonts w:hint="eastAsia"/>
                <w:sz w:val="21"/>
                <w:szCs w:val="21"/>
                <w:lang w:val="en-US" w:eastAsia="zh-CN"/>
              </w:rPr>
              <w:t>0</w:t>
            </w:r>
          </w:p>
        </w:tc>
        <w:tc>
          <w:tcPr>
            <w:tcW w:w="1560" w:type="dxa"/>
            <w:vAlign w:val="center"/>
          </w:tcPr>
          <w:p w14:paraId="54BD4157">
            <w:pPr>
              <w:spacing w:line="240" w:lineRule="auto"/>
              <w:jc w:val="center"/>
              <w:rPr>
                <w:rFonts w:hint="eastAsia" w:ascii="Times New Roman" w:hAnsi="Times New Roman" w:cs="Times New Roman"/>
                <w:sz w:val="21"/>
                <w:szCs w:val="21"/>
              </w:rPr>
            </w:pPr>
            <w:r>
              <w:rPr>
                <w:rFonts w:hint="default" w:cs="Times New Roman"/>
                <w:sz w:val="21"/>
                <w:szCs w:val="21"/>
                <w:lang w:val="en-US" w:eastAsia="zh-CN"/>
              </w:rPr>
              <w:t xml:space="preserve">0.374 </w:t>
            </w:r>
          </w:p>
        </w:tc>
        <w:tc>
          <w:tcPr>
            <w:tcW w:w="1168" w:type="dxa"/>
            <w:vAlign w:val="center"/>
          </w:tcPr>
          <w:p w14:paraId="2BF75D6C">
            <w:pPr>
              <w:spacing w:line="240" w:lineRule="auto"/>
              <w:jc w:val="center"/>
              <w:rPr>
                <w:rFonts w:hint="eastAsia" w:cs="Times New Roman"/>
                <w:sz w:val="21"/>
                <w:szCs w:val="21"/>
                <w:lang w:val="en-US" w:eastAsia="zh-CN"/>
              </w:rPr>
            </w:pPr>
            <w:r>
              <w:rPr>
                <w:rFonts w:hint="eastAsia" w:cs="Times New Roman"/>
                <w:sz w:val="21"/>
                <w:szCs w:val="21"/>
                <w:lang w:val="en-US" w:eastAsia="zh-CN"/>
              </w:rPr>
              <w:t>+</w:t>
            </w:r>
            <w:r>
              <w:rPr>
                <w:rFonts w:hint="default" w:cs="Times New Roman"/>
                <w:sz w:val="21"/>
                <w:szCs w:val="21"/>
                <w:lang w:val="en-US" w:eastAsia="zh-CN"/>
              </w:rPr>
              <w:t xml:space="preserve">0.374 </w:t>
            </w:r>
          </w:p>
        </w:tc>
      </w:tr>
      <w:tr w14:paraId="37860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restart"/>
            <w:vAlign w:val="center"/>
          </w:tcPr>
          <w:p w14:paraId="408FF6D8">
            <w:pPr>
              <w:pStyle w:val="44"/>
              <w:spacing w:before="24" w:after="24" w:line="240" w:lineRule="auto"/>
              <w:rPr>
                <w:rFonts w:ascii="Times New Roman"/>
                <w:snapToGrid w:val="0"/>
                <w:kern w:val="21"/>
                <w:sz w:val="21"/>
                <w:szCs w:val="21"/>
              </w:rPr>
            </w:pPr>
            <w:r>
              <w:rPr>
                <w:rFonts w:ascii="Times New Roman"/>
                <w:snapToGrid w:val="0"/>
                <w:kern w:val="21"/>
                <w:sz w:val="21"/>
                <w:szCs w:val="21"/>
              </w:rPr>
              <w:t>废水</w:t>
            </w:r>
          </w:p>
        </w:tc>
        <w:tc>
          <w:tcPr>
            <w:tcW w:w="2671" w:type="dxa"/>
            <w:vAlign w:val="center"/>
          </w:tcPr>
          <w:p w14:paraId="0253EF31">
            <w:pPr>
              <w:pStyle w:val="44"/>
              <w:spacing w:before="24" w:after="24" w:line="240" w:lineRule="auto"/>
              <w:rPr>
                <w:rFonts w:ascii="Times New Roman"/>
                <w:snapToGrid w:val="0"/>
                <w:kern w:val="21"/>
                <w:sz w:val="21"/>
                <w:szCs w:val="21"/>
              </w:rPr>
            </w:pPr>
            <w:r>
              <w:rPr>
                <w:rFonts w:ascii="Times New Roman"/>
                <w:snapToGrid w:val="0"/>
                <w:kern w:val="21"/>
                <w:sz w:val="21"/>
                <w:szCs w:val="21"/>
              </w:rPr>
              <w:t>废水量（万吨/年）</w:t>
            </w:r>
          </w:p>
        </w:tc>
        <w:tc>
          <w:tcPr>
            <w:tcW w:w="1350" w:type="dxa"/>
            <w:vAlign w:val="center"/>
          </w:tcPr>
          <w:p w14:paraId="07D5AF9F">
            <w:pPr>
              <w:spacing w:line="240" w:lineRule="auto"/>
              <w:jc w:val="center"/>
              <w:rPr>
                <w:rFonts w:hint="eastAsia" w:eastAsia="仿宋"/>
                <w:sz w:val="21"/>
                <w:szCs w:val="21"/>
                <w:lang w:eastAsia="zh-CN"/>
              </w:rPr>
            </w:pPr>
            <w:r>
              <w:rPr>
                <w:rFonts w:hint="eastAsia"/>
                <w:sz w:val="21"/>
                <w:szCs w:val="21"/>
                <w:lang w:val="en-US" w:eastAsia="zh-CN"/>
              </w:rPr>
              <w:t>0</w:t>
            </w:r>
          </w:p>
        </w:tc>
        <w:tc>
          <w:tcPr>
            <w:tcW w:w="1500" w:type="dxa"/>
            <w:vAlign w:val="center"/>
          </w:tcPr>
          <w:p w14:paraId="15912369">
            <w:pPr>
              <w:spacing w:line="240" w:lineRule="auto"/>
              <w:jc w:val="center"/>
              <w:rPr>
                <w:sz w:val="21"/>
                <w:szCs w:val="21"/>
              </w:rPr>
            </w:pPr>
            <w:r>
              <w:rPr>
                <w:rFonts w:hint="eastAsia"/>
                <w:sz w:val="21"/>
                <w:szCs w:val="21"/>
                <w:lang w:val="en-US" w:eastAsia="zh-CN"/>
              </w:rPr>
              <w:t>0</w:t>
            </w:r>
          </w:p>
        </w:tc>
        <w:tc>
          <w:tcPr>
            <w:tcW w:w="1575" w:type="dxa"/>
            <w:vAlign w:val="center"/>
          </w:tcPr>
          <w:p w14:paraId="16D1049C">
            <w:pPr>
              <w:spacing w:line="240" w:lineRule="auto"/>
              <w:jc w:val="center"/>
              <w:rPr>
                <w:sz w:val="21"/>
                <w:szCs w:val="21"/>
              </w:rPr>
            </w:pPr>
            <w:r>
              <w:rPr>
                <w:sz w:val="21"/>
                <w:szCs w:val="21"/>
              </w:rPr>
              <w:t>0</w:t>
            </w:r>
          </w:p>
        </w:tc>
        <w:tc>
          <w:tcPr>
            <w:tcW w:w="1380" w:type="dxa"/>
            <w:vAlign w:val="center"/>
          </w:tcPr>
          <w:p w14:paraId="3AEDA06C">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0.</w:t>
            </w:r>
            <w:r>
              <w:rPr>
                <w:rFonts w:hint="eastAsia" w:cs="Times New Roman"/>
                <w:sz w:val="21"/>
                <w:szCs w:val="21"/>
                <w:lang w:val="en-US" w:eastAsia="zh-CN"/>
              </w:rPr>
              <w:t>0672</w:t>
            </w:r>
          </w:p>
        </w:tc>
        <w:tc>
          <w:tcPr>
            <w:tcW w:w="1335" w:type="dxa"/>
            <w:vAlign w:val="center"/>
          </w:tcPr>
          <w:p w14:paraId="1755FFFD">
            <w:pPr>
              <w:spacing w:line="240" w:lineRule="auto"/>
              <w:jc w:val="center"/>
              <w:rPr>
                <w:sz w:val="21"/>
                <w:szCs w:val="21"/>
              </w:rPr>
            </w:pPr>
            <w:r>
              <w:rPr>
                <w:rFonts w:hint="eastAsia"/>
                <w:sz w:val="21"/>
                <w:szCs w:val="21"/>
              </w:rPr>
              <w:t>0</w:t>
            </w:r>
          </w:p>
        </w:tc>
        <w:tc>
          <w:tcPr>
            <w:tcW w:w="1560" w:type="dxa"/>
            <w:vAlign w:val="center"/>
          </w:tcPr>
          <w:p w14:paraId="2D59E2B2">
            <w:pPr>
              <w:spacing w:line="240" w:lineRule="auto"/>
              <w:jc w:val="center"/>
              <w:rPr>
                <w:sz w:val="21"/>
                <w:szCs w:val="21"/>
              </w:rPr>
            </w:pPr>
            <w:r>
              <w:rPr>
                <w:rFonts w:hint="eastAsia" w:ascii="Times New Roman" w:hAnsi="Times New Roman" w:cs="Times New Roman"/>
                <w:sz w:val="21"/>
                <w:szCs w:val="21"/>
              </w:rPr>
              <w:t>0.</w:t>
            </w:r>
            <w:r>
              <w:rPr>
                <w:rFonts w:hint="eastAsia" w:cs="Times New Roman"/>
                <w:sz w:val="21"/>
                <w:szCs w:val="21"/>
                <w:lang w:val="en-US" w:eastAsia="zh-CN"/>
              </w:rPr>
              <w:t>0672</w:t>
            </w:r>
          </w:p>
        </w:tc>
        <w:tc>
          <w:tcPr>
            <w:tcW w:w="1168" w:type="dxa"/>
            <w:vAlign w:val="center"/>
          </w:tcPr>
          <w:p w14:paraId="69708AFA">
            <w:pPr>
              <w:spacing w:line="240" w:lineRule="auto"/>
              <w:jc w:val="center"/>
              <w:rPr>
                <w:sz w:val="21"/>
                <w:szCs w:val="21"/>
              </w:rPr>
            </w:pPr>
            <w:r>
              <w:rPr>
                <w:rFonts w:hint="eastAsia" w:cs="Times New Roman"/>
                <w:sz w:val="21"/>
                <w:szCs w:val="21"/>
                <w:lang w:val="en-US" w:eastAsia="zh-CN"/>
              </w:rPr>
              <w:t>+</w:t>
            </w:r>
            <w:r>
              <w:rPr>
                <w:rFonts w:hint="eastAsia" w:ascii="Times New Roman" w:hAnsi="Times New Roman" w:cs="Times New Roman"/>
                <w:sz w:val="21"/>
                <w:szCs w:val="21"/>
              </w:rPr>
              <w:t>0.</w:t>
            </w:r>
            <w:r>
              <w:rPr>
                <w:rFonts w:hint="eastAsia" w:cs="Times New Roman"/>
                <w:sz w:val="21"/>
                <w:szCs w:val="21"/>
                <w:lang w:val="en-US" w:eastAsia="zh-CN"/>
              </w:rPr>
              <w:t>0672</w:t>
            </w:r>
          </w:p>
        </w:tc>
      </w:tr>
      <w:tr w14:paraId="6F27D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0A9248E4">
            <w:pPr>
              <w:pStyle w:val="44"/>
              <w:spacing w:before="24" w:after="24" w:line="240" w:lineRule="auto"/>
              <w:rPr>
                <w:rFonts w:ascii="Times New Roman"/>
                <w:snapToGrid w:val="0"/>
                <w:kern w:val="21"/>
                <w:sz w:val="21"/>
                <w:szCs w:val="21"/>
              </w:rPr>
            </w:pPr>
          </w:p>
        </w:tc>
        <w:tc>
          <w:tcPr>
            <w:tcW w:w="2671" w:type="dxa"/>
            <w:vAlign w:val="center"/>
          </w:tcPr>
          <w:p w14:paraId="29A25E8D">
            <w:pPr>
              <w:pStyle w:val="44"/>
              <w:spacing w:before="24" w:after="24" w:line="240" w:lineRule="auto"/>
              <w:rPr>
                <w:rFonts w:ascii="Times New Roman"/>
                <w:snapToGrid w:val="0"/>
                <w:kern w:val="21"/>
                <w:sz w:val="21"/>
                <w:szCs w:val="21"/>
              </w:rPr>
            </w:pPr>
            <w:r>
              <w:rPr>
                <w:rFonts w:ascii="Times New Roman"/>
                <w:snapToGrid w:val="0"/>
                <w:kern w:val="21"/>
                <w:sz w:val="21"/>
                <w:szCs w:val="21"/>
              </w:rPr>
              <w:t>COD（吨/年）</w:t>
            </w:r>
          </w:p>
        </w:tc>
        <w:tc>
          <w:tcPr>
            <w:tcW w:w="1350" w:type="dxa"/>
            <w:vAlign w:val="center"/>
          </w:tcPr>
          <w:p w14:paraId="5C743D7E">
            <w:pPr>
              <w:spacing w:line="240" w:lineRule="auto"/>
              <w:jc w:val="center"/>
              <w:rPr>
                <w:sz w:val="21"/>
                <w:szCs w:val="21"/>
              </w:rPr>
            </w:pPr>
            <w:r>
              <w:rPr>
                <w:rFonts w:hint="eastAsia"/>
                <w:sz w:val="21"/>
                <w:szCs w:val="21"/>
                <w:lang w:val="en-US" w:eastAsia="zh-CN"/>
              </w:rPr>
              <w:t>0</w:t>
            </w:r>
          </w:p>
        </w:tc>
        <w:tc>
          <w:tcPr>
            <w:tcW w:w="1500" w:type="dxa"/>
            <w:vAlign w:val="center"/>
          </w:tcPr>
          <w:p w14:paraId="77483603">
            <w:pPr>
              <w:spacing w:line="240" w:lineRule="auto"/>
              <w:jc w:val="center"/>
              <w:rPr>
                <w:sz w:val="21"/>
                <w:szCs w:val="21"/>
              </w:rPr>
            </w:pPr>
            <w:r>
              <w:rPr>
                <w:rFonts w:hint="eastAsia"/>
                <w:sz w:val="21"/>
                <w:szCs w:val="21"/>
                <w:lang w:val="en-US" w:eastAsia="zh-CN"/>
              </w:rPr>
              <w:t>0</w:t>
            </w:r>
          </w:p>
        </w:tc>
        <w:tc>
          <w:tcPr>
            <w:tcW w:w="1575" w:type="dxa"/>
            <w:vAlign w:val="center"/>
          </w:tcPr>
          <w:p w14:paraId="046E9064">
            <w:pPr>
              <w:spacing w:line="240" w:lineRule="auto"/>
              <w:jc w:val="center"/>
              <w:rPr>
                <w:sz w:val="21"/>
                <w:szCs w:val="21"/>
              </w:rPr>
            </w:pPr>
            <w:r>
              <w:rPr>
                <w:sz w:val="21"/>
                <w:szCs w:val="21"/>
              </w:rPr>
              <w:t>0</w:t>
            </w:r>
          </w:p>
        </w:tc>
        <w:tc>
          <w:tcPr>
            <w:tcW w:w="1380" w:type="dxa"/>
            <w:vAlign w:val="center"/>
          </w:tcPr>
          <w:p w14:paraId="483BF21B">
            <w:pPr>
              <w:spacing w:line="240" w:lineRule="auto"/>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 xml:space="preserve">0.269 </w:t>
            </w:r>
          </w:p>
        </w:tc>
        <w:tc>
          <w:tcPr>
            <w:tcW w:w="1335" w:type="dxa"/>
            <w:vAlign w:val="center"/>
          </w:tcPr>
          <w:p w14:paraId="13BE13B4">
            <w:pPr>
              <w:spacing w:line="240" w:lineRule="auto"/>
              <w:jc w:val="center"/>
              <w:rPr>
                <w:sz w:val="21"/>
                <w:szCs w:val="21"/>
              </w:rPr>
            </w:pPr>
            <w:r>
              <w:rPr>
                <w:rFonts w:hint="eastAsia"/>
                <w:sz w:val="21"/>
                <w:szCs w:val="21"/>
              </w:rPr>
              <w:t>0</w:t>
            </w:r>
          </w:p>
        </w:tc>
        <w:tc>
          <w:tcPr>
            <w:tcW w:w="1560" w:type="dxa"/>
            <w:vAlign w:val="center"/>
          </w:tcPr>
          <w:p w14:paraId="69E5F8D6">
            <w:pPr>
              <w:spacing w:line="240" w:lineRule="auto"/>
              <w:jc w:val="center"/>
              <w:rPr>
                <w:sz w:val="21"/>
                <w:szCs w:val="21"/>
              </w:rPr>
            </w:pPr>
            <w:r>
              <w:rPr>
                <w:rFonts w:hint="eastAsia" w:ascii="Times New Roman" w:hAnsi="Times New Roman" w:cs="Times New Roman"/>
                <w:sz w:val="21"/>
                <w:szCs w:val="21"/>
                <w:lang w:val="en-US" w:eastAsia="zh-CN"/>
              </w:rPr>
              <w:t xml:space="preserve">0.269 </w:t>
            </w:r>
          </w:p>
        </w:tc>
        <w:tc>
          <w:tcPr>
            <w:tcW w:w="1168" w:type="dxa"/>
            <w:vAlign w:val="center"/>
          </w:tcPr>
          <w:p w14:paraId="156D38EC">
            <w:pPr>
              <w:spacing w:line="240" w:lineRule="auto"/>
              <w:jc w:val="center"/>
              <w:rPr>
                <w:sz w:val="21"/>
                <w:szCs w:val="21"/>
              </w:rPr>
            </w:pPr>
            <w:r>
              <w:rPr>
                <w:rFonts w:hint="eastAsia" w:cs="Times New Roman"/>
                <w:sz w:val="21"/>
                <w:szCs w:val="21"/>
                <w:lang w:val="en-US" w:eastAsia="zh-CN"/>
              </w:rPr>
              <w:t>+</w:t>
            </w:r>
            <w:r>
              <w:rPr>
                <w:rFonts w:hint="eastAsia" w:ascii="Times New Roman" w:hAnsi="Times New Roman" w:cs="Times New Roman"/>
                <w:sz w:val="21"/>
                <w:szCs w:val="21"/>
                <w:lang w:val="en-US" w:eastAsia="zh-CN"/>
              </w:rPr>
              <w:t xml:space="preserve">0.269 </w:t>
            </w:r>
          </w:p>
        </w:tc>
      </w:tr>
      <w:tr w14:paraId="554BF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3619D30C">
            <w:pPr>
              <w:pStyle w:val="44"/>
              <w:spacing w:before="24" w:after="24" w:line="240" w:lineRule="auto"/>
              <w:rPr>
                <w:rFonts w:ascii="Times New Roman"/>
                <w:snapToGrid w:val="0"/>
                <w:kern w:val="21"/>
                <w:sz w:val="21"/>
                <w:szCs w:val="21"/>
              </w:rPr>
            </w:pPr>
          </w:p>
        </w:tc>
        <w:tc>
          <w:tcPr>
            <w:tcW w:w="2671" w:type="dxa"/>
            <w:vAlign w:val="center"/>
          </w:tcPr>
          <w:p w14:paraId="103B122B">
            <w:pPr>
              <w:pStyle w:val="44"/>
              <w:spacing w:before="24" w:after="24" w:line="240" w:lineRule="auto"/>
              <w:rPr>
                <w:rFonts w:ascii="Times New Roman"/>
                <w:snapToGrid w:val="0"/>
                <w:kern w:val="21"/>
                <w:sz w:val="21"/>
                <w:szCs w:val="21"/>
              </w:rPr>
            </w:pPr>
            <w:r>
              <w:rPr>
                <w:rFonts w:hint="eastAsia" w:ascii="Times New Roman"/>
                <w:snapToGrid w:val="0"/>
                <w:kern w:val="21"/>
                <w:sz w:val="21"/>
                <w:szCs w:val="21"/>
              </w:rPr>
              <w:t>SS</w:t>
            </w:r>
            <w:r>
              <w:rPr>
                <w:rFonts w:ascii="Times New Roman"/>
                <w:snapToGrid w:val="0"/>
                <w:kern w:val="21"/>
                <w:sz w:val="21"/>
                <w:szCs w:val="21"/>
              </w:rPr>
              <w:t>（吨/年）</w:t>
            </w:r>
          </w:p>
        </w:tc>
        <w:tc>
          <w:tcPr>
            <w:tcW w:w="1350" w:type="dxa"/>
            <w:vAlign w:val="center"/>
          </w:tcPr>
          <w:p w14:paraId="1C8DC073">
            <w:pPr>
              <w:spacing w:line="240" w:lineRule="auto"/>
              <w:jc w:val="center"/>
              <w:rPr>
                <w:sz w:val="21"/>
                <w:szCs w:val="21"/>
              </w:rPr>
            </w:pPr>
            <w:r>
              <w:rPr>
                <w:rFonts w:hint="eastAsia"/>
                <w:sz w:val="21"/>
                <w:szCs w:val="21"/>
                <w:lang w:val="en-US" w:eastAsia="zh-CN"/>
              </w:rPr>
              <w:t>0</w:t>
            </w:r>
          </w:p>
        </w:tc>
        <w:tc>
          <w:tcPr>
            <w:tcW w:w="1500" w:type="dxa"/>
            <w:vAlign w:val="center"/>
          </w:tcPr>
          <w:p w14:paraId="76D07EAD">
            <w:pPr>
              <w:spacing w:line="240" w:lineRule="auto"/>
              <w:jc w:val="center"/>
              <w:rPr>
                <w:sz w:val="21"/>
                <w:szCs w:val="21"/>
              </w:rPr>
            </w:pPr>
            <w:r>
              <w:rPr>
                <w:rFonts w:hint="eastAsia"/>
                <w:sz w:val="21"/>
                <w:szCs w:val="21"/>
                <w:lang w:val="en-US" w:eastAsia="zh-CN"/>
              </w:rPr>
              <w:t>0</w:t>
            </w:r>
          </w:p>
        </w:tc>
        <w:tc>
          <w:tcPr>
            <w:tcW w:w="1575" w:type="dxa"/>
            <w:vAlign w:val="center"/>
          </w:tcPr>
          <w:p w14:paraId="275E2C03">
            <w:pPr>
              <w:spacing w:line="240" w:lineRule="auto"/>
              <w:jc w:val="center"/>
              <w:rPr>
                <w:sz w:val="21"/>
                <w:szCs w:val="21"/>
              </w:rPr>
            </w:pPr>
            <w:r>
              <w:rPr>
                <w:rFonts w:hint="eastAsia"/>
                <w:sz w:val="21"/>
                <w:szCs w:val="21"/>
              </w:rPr>
              <w:t>0</w:t>
            </w:r>
          </w:p>
        </w:tc>
        <w:tc>
          <w:tcPr>
            <w:tcW w:w="1380" w:type="dxa"/>
            <w:vAlign w:val="center"/>
          </w:tcPr>
          <w:p w14:paraId="0C41EEC7">
            <w:pPr>
              <w:spacing w:line="240" w:lineRule="auto"/>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 xml:space="preserve">0.202 </w:t>
            </w:r>
          </w:p>
        </w:tc>
        <w:tc>
          <w:tcPr>
            <w:tcW w:w="1335" w:type="dxa"/>
            <w:vAlign w:val="center"/>
          </w:tcPr>
          <w:p w14:paraId="7EFE7F9D">
            <w:pPr>
              <w:spacing w:line="240" w:lineRule="auto"/>
              <w:jc w:val="center"/>
              <w:rPr>
                <w:sz w:val="21"/>
                <w:szCs w:val="21"/>
              </w:rPr>
            </w:pPr>
            <w:r>
              <w:rPr>
                <w:rFonts w:hint="eastAsia"/>
                <w:sz w:val="21"/>
                <w:szCs w:val="21"/>
              </w:rPr>
              <w:t>0</w:t>
            </w:r>
          </w:p>
        </w:tc>
        <w:tc>
          <w:tcPr>
            <w:tcW w:w="1560" w:type="dxa"/>
            <w:vAlign w:val="center"/>
          </w:tcPr>
          <w:p w14:paraId="4B37167A">
            <w:pPr>
              <w:spacing w:line="240" w:lineRule="auto"/>
              <w:jc w:val="center"/>
              <w:rPr>
                <w:sz w:val="21"/>
                <w:szCs w:val="21"/>
              </w:rPr>
            </w:pPr>
            <w:r>
              <w:rPr>
                <w:rFonts w:hint="eastAsia" w:ascii="Times New Roman" w:hAnsi="Times New Roman" w:cs="Times New Roman"/>
                <w:sz w:val="21"/>
                <w:szCs w:val="21"/>
                <w:lang w:val="en-US" w:eastAsia="zh-CN"/>
              </w:rPr>
              <w:t xml:space="preserve">0.202 </w:t>
            </w:r>
          </w:p>
        </w:tc>
        <w:tc>
          <w:tcPr>
            <w:tcW w:w="1168" w:type="dxa"/>
            <w:vAlign w:val="center"/>
          </w:tcPr>
          <w:p w14:paraId="23222702">
            <w:pPr>
              <w:spacing w:line="240" w:lineRule="auto"/>
              <w:jc w:val="center"/>
              <w:rPr>
                <w:sz w:val="21"/>
                <w:szCs w:val="21"/>
              </w:rPr>
            </w:pPr>
            <w:r>
              <w:rPr>
                <w:rFonts w:hint="eastAsia" w:cs="Times New Roman"/>
                <w:sz w:val="21"/>
                <w:szCs w:val="21"/>
                <w:lang w:val="en-US" w:eastAsia="zh-CN"/>
              </w:rPr>
              <w:t>+</w:t>
            </w:r>
            <w:r>
              <w:rPr>
                <w:rFonts w:hint="eastAsia" w:ascii="Times New Roman" w:hAnsi="Times New Roman" w:cs="Times New Roman"/>
                <w:sz w:val="21"/>
                <w:szCs w:val="21"/>
                <w:lang w:val="en-US" w:eastAsia="zh-CN"/>
              </w:rPr>
              <w:t xml:space="preserve">0.202 </w:t>
            </w:r>
          </w:p>
        </w:tc>
      </w:tr>
      <w:tr w14:paraId="5A18C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3A3DDB41">
            <w:pPr>
              <w:pStyle w:val="44"/>
              <w:spacing w:before="24" w:after="24" w:line="240" w:lineRule="auto"/>
              <w:rPr>
                <w:rFonts w:ascii="Times New Roman"/>
                <w:snapToGrid w:val="0"/>
                <w:kern w:val="21"/>
                <w:sz w:val="21"/>
                <w:szCs w:val="21"/>
              </w:rPr>
            </w:pPr>
          </w:p>
        </w:tc>
        <w:tc>
          <w:tcPr>
            <w:tcW w:w="2671" w:type="dxa"/>
            <w:vAlign w:val="center"/>
          </w:tcPr>
          <w:p w14:paraId="4AD43A30">
            <w:pPr>
              <w:pStyle w:val="44"/>
              <w:spacing w:before="24" w:after="24" w:line="240" w:lineRule="auto"/>
              <w:rPr>
                <w:rFonts w:ascii="Times New Roman"/>
                <w:snapToGrid w:val="0"/>
                <w:kern w:val="21"/>
                <w:sz w:val="21"/>
                <w:szCs w:val="21"/>
              </w:rPr>
            </w:pPr>
            <w:r>
              <w:rPr>
                <w:rFonts w:ascii="Times New Roman"/>
                <w:snapToGrid w:val="0"/>
                <w:kern w:val="21"/>
                <w:sz w:val="21"/>
                <w:szCs w:val="21"/>
              </w:rPr>
              <w:t>NH</w:t>
            </w:r>
            <w:r>
              <w:rPr>
                <w:rFonts w:ascii="Times New Roman"/>
                <w:snapToGrid w:val="0"/>
                <w:kern w:val="21"/>
                <w:sz w:val="21"/>
                <w:szCs w:val="21"/>
                <w:vertAlign w:val="subscript"/>
              </w:rPr>
              <w:t>3</w:t>
            </w:r>
            <w:r>
              <w:rPr>
                <w:rFonts w:ascii="Times New Roman"/>
                <w:snapToGrid w:val="0"/>
                <w:kern w:val="21"/>
                <w:sz w:val="21"/>
                <w:szCs w:val="21"/>
              </w:rPr>
              <w:t>-N（吨/年）</w:t>
            </w:r>
          </w:p>
        </w:tc>
        <w:tc>
          <w:tcPr>
            <w:tcW w:w="1350" w:type="dxa"/>
            <w:vAlign w:val="center"/>
          </w:tcPr>
          <w:p w14:paraId="44E0EA7B">
            <w:pPr>
              <w:spacing w:line="240" w:lineRule="auto"/>
              <w:jc w:val="center"/>
              <w:rPr>
                <w:sz w:val="21"/>
                <w:szCs w:val="21"/>
              </w:rPr>
            </w:pPr>
            <w:r>
              <w:rPr>
                <w:rFonts w:hint="eastAsia"/>
                <w:sz w:val="21"/>
                <w:szCs w:val="21"/>
                <w:lang w:val="en-US" w:eastAsia="zh-CN"/>
              </w:rPr>
              <w:t>0</w:t>
            </w:r>
          </w:p>
        </w:tc>
        <w:tc>
          <w:tcPr>
            <w:tcW w:w="1500" w:type="dxa"/>
            <w:vAlign w:val="center"/>
          </w:tcPr>
          <w:p w14:paraId="20CEF8A5">
            <w:pPr>
              <w:spacing w:line="240" w:lineRule="auto"/>
              <w:jc w:val="center"/>
              <w:rPr>
                <w:sz w:val="21"/>
                <w:szCs w:val="21"/>
              </w:rPr>
            </w:pPr>
            <w:r>
              <w:rPr>
                <w:rFonts w:hint="eastAsia"/>
                <w:sz w:val="21"/>
                <w:szCs w:val="21"/>
                <w:lang w:val="en-US" w:eastAsia="zh-CN"/>
              </w:rPr>
              <w:t>0</w:t>
            </w:r>
          </w:p>
        </w:tc>
        <w:tc>
          <w:tcPr>
            <w:tcW w:w="1575" w:type="dxa"/>
            <w:vAlign w:val="center"/>
          </w:tcPr>
          <w:p w14:paraId="3A2CC76A">
            <w:pPr>
              <w:spacing w:line="240" w:lineRule="auto"/>
              <w:jc w:val="center"/>
              <w:rPr>
                <w:sz w:val="21"/>
                <w:szCs w:val="21"/>
              </w:rPr>
            </w:pPr>
            <w:r>
              <w:rPr>
                <w:sz w:val="21"/>
                <w:szCs w:val="21"/>
              </w:rPr>
              <w:t>0</w:t>
            </w:r>
          </w:p>
        </w:tc>
        <w:tc>
          <w:tcPr>
            <w:tcW w:w="1380" w:type="dxa"/>
            <w:vAlign w:val="center"/>
          </w:tcPr>
          <w:p w14:paraId="078436F2">
            <w:pPr>
              <w:spacing w:line="240" w:lineRule="auto"/>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 xml:space="preserve">0.020 </w:t>
            </w:r>
          </w:p>
        </w:tc>
        <w:tc>
          <w:tcPr>
            <w:tcW w:w="1335" w:type="dxa"/>
            <w:vAlign w:val="center"/>
          </w:tcPr>
          <w:p w14:paraId="230AF612">
            <w:pPr>
              <w:spacing w:line="240" w:lineRule="auto"/>
              <w:jc w:val="center"/>
              <w:rPr>
                <w:sz w:val="21"/>
                <w:szCs w:val="21"/>
              </w:rPr>
            </w:pPr>
            <w:r>
              <w:rPr>
                <w:rFonts w:hint="eastAsia"/>
                <w:sz w:val="21"/>
                <w:szCs w:val="21"/>
              </w:rPr>
              <w:t>0</w:t>
            </w:r>
          </w:p>
        </w:tc>
        <w:tc>
          <w:tcPr>
            <w:tcW w:w="1560" w:type="dxa"/>
            <w:vAlign w:val="center"/>
          </w:tcPr>
          <w:p w14:paraId="05D29C39">
            <w:pPr>
              <w:spacing w:line="240" w:lineRule="auto"/>
              <w:jc w:val="center"/>
              <w:rPr>
                <w:sz w:val="21"/>
                <w:szCs w:val="21"/>
              </w:rPr>
            </w:pPr>
            <w:r>
              <w:rPr>
                <w:rFonts w:hint="eastAsia" w:ascii="Times New Roman" w:hAnsi="Times New Roman" w:cs="Times New Roman"/>
                <w:sz w:val="21"/>
                <w:szCs w:val="21"/>
                <w:lang w:val="en-US" w:eastAsia="zh-CN"/>
              </w:rPr>
              <w:t xml:space="preserve">0.020 </w:t>
            </w:r>
          </w:p>
        </w:tc>
        <w:tc>
          <w:tcPr>
            <w:tcW w:w="1168" w:type="dxa"/>
            <w:vAlign w:val="center"/>
          </w:tcPr>
          <w:p w14:paraId="411263D3">
            <w:pPr>
              <w:spacing w:line="240" w:lineRule="auto"/>
              <w:jc w:val="center"/>
              <w:rPr>
                <w:sz w:val="21"/>
                <w:szCs w:val="21"/>
              </w:rPr>
            </w:pPr>
            <w:r>
              <w:rPr>
                <w:rFonts w:hint="eastAsia" w:cs="Times New Roman"/>
                <w:sz w:val="21"/>
                <w:szCs w:val="21"/>
                <w:lang w:val="en-US" w:eastAsia="zh-CN"/>
              </w:rPr>
              <w:t>+</w:t>
            </w:r>
            <w:r>
              <w:rPr>
                <w:rFonts w:hint="eastAsia" w:ascii="Times New Roman" w:hAnsi="Times New Roman" w:cs="Times New Roman"/>
                <w:sz w:val="21"/>
                <w:szCs w:val="21"/>
                <w:lang w:val="en-US" w:eastAsia="zh-CN"/>
              </w:rPr>
              <w:t xml:space="preserve">0.020 </w:t>
            </w:r>
          </w:p>
        </w:tc>
      </w:tr>
      <w:tr w14:paraId="0A0BE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212BBAC0">
            <w:pPr>
              <w:pStyle w:val="44"/>
              <w:spacing w:before="24" w:after="24" w:line="240" w:lineRule="auto"/>
              <w:rPr>
                <w:rFonts w:ascii="Times New Roman"/>
                <w:snapToGrid w:val="0"/>
                <w:kern w:val="21"/>
                <w:sz w:val="21"/>
                <w:szCs w:val="21"/>
              </w:rPr>
            </w:pPr>
          </w:p>
        </w:tc>
        <w:tc>
          <w:tcPr>
            <w:tcW w:w="2671" w:type="dxa"/>
            <w:vAlign w:val="center"/>
          </w:tcPr>
          <w:p w14:paraId="7A08526F">
            <w:pPr>
              <w:pStyle w:val="44"/>
              <w:spacing w:before="24" w:after="24" w:line="240" w:lineRule="auto"/>
              <w:rPr>
                <w:rFonts w:ascii="Times New Roman"/>
                <w:snapToGrid w:val="0"/>
                <w:kern w:val="21"/>
                <w:sz w:val="21"/>
                <w:szCs w:val="21"/>
              </w:rPr>
            </w:pPr>
            <w:r>
              <w:rPr>
                <w:rFonts w:ascii="Times New Roman"/>
                <w:snapToGrid w:val="0"/>
                <w:kern w:val="21"/>
                <w:sz w:val="21"/>
                <w:szCs w:val="21"/>
              </w:rPr>
              <w:t>TN（吨/年）</w:t>
            </w:r>
          </w:p>
        </w:tc>
        <w:tc>
          <w:tcPr>
            <w:tcW w:w="1350" w:type="dxa"/>
            <w:vAlign w:val="center"/>
          </w:tcPr>
          <w:p w14:paraId="45140BD0">
            <w:pPr>
              <w:spacing w:line="240" w:lineRule="auto"/>
              <w:jc w:val="center"/>
              <w:rPr>
                <w:sz w:val="21"/>
                <w:szCs w:val="21"/>
              </w:rPr>
            </w:pPr>
            <w:r>
              <w:rPr>
                <w:rFonts w:hint="eastAsia"/>
                <w:sz w:val="21"/>
                <w:szCs w:val="21"/>
                <w:lang w:val="en-US" w:eastAsia="zh-CN"/>
              </w:rPr>
              <w:t>0</w:t>
            </w:r>
          </w:p>
        </w:tc>
        <w:tc>
          <w:tcPr>
            <w:tcW w:w="1500" w:type="dxa"/>
            <w:vAlign w:val="center"/>
          </w:tcPr>
          <w:p w14:paraId="164C0870">
            <w:pPr>
              <w:spacing w:line="240" w:lineRule="auto"/>
              <w:jc w:val="center"/>
              <w:rPr>
                <w:sz w:val="21"/>
                <w:szCs w:val="21"/>
              </w:rPr>
            </w:pPr>
            <w:r>
              <w:rPr>
                <w:rFonts w:hint="eastAsia"/>
                <w:sz w:val="21"/>
                <w:szCs w:val="21"/>
                <w:lang w:val="en-US" w:eastAsia="zh-CN"/>
              </w:rPr>
              <w:t>0</w:t>
            </w:r>
          </w:p>
        </w:tc>
        <w:tc>
          <w:tcPr>
            <w:tcW w:w="1575" w:type="dxa"/>
            <w:vAlign w:val="center"/>
          </w:tcPr>
          <w:p w14:paraId="61C49793">
            <w:pPr>
              <w:spacing w:line="240" w:lineRule="auto"/>
              <w:jc w:val="center"/>
              <w:rPr>
                <w:sz w:val="21"/>
                <w:szCs w:val="21"/>
              </w:rPr>
            </w:pPr>
            <w:r>
              <w:rPr>
                <w:sz w:val="21"/>
                <w:szCs w:val="21"/>
              </w:rPr>
              <w:t>0</w:t>
            </w:r>
          </w:p>
        </w:tc>
        <w:tc>
          <w:tcPr>
            <w:tcW w:w="1380" w:type="dxa"/>
            <w:vAlign w:val="center"/>
          </w:tcPr>
          <w:p w14:paraId="776F236C">
            <w:pPr>
              <w:spacing w:line="240" w:lineRule="auto"/>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 xml:space="preserve">0.034 </w:t>
            </w:r>
          </w:p>
        </w:tc>
        <w:tc>
          <w:tcPr>
            <w:tcW w:w="1335" w:type="dxa"/>
            <w:vAlign w:val="center"/>
          </w:tcPr>
          <w:p w14:paraId="674F6469">
            <w:pPr>
              <w:spacing w:line="240" w:lineRule="auto"/>
              <w:jc w:val="center"/>
              <w:rPr>
                <w:sz w:val="21"/>
                <w:szCs w:val="21"/>
              </w:rPr>
            </w:pPr>
            <w:r>
              <w:rPr>
                <w:rFonts w:hint="eastAsia"/>
                <w:sz w:val="21"/>
                <w:szCs w:val="21"/>
              </w:rPr>
              <w:t>0</w:t>
            </w:r>
          </w:p>
        </w:tc>
        <w:tc>
          <w:tcPr>
            <w:tcW w:w="1560" w:type="dxa"/>
            <w:vAlign w:val="center"/>
          </w:tcPr>
          <w:p w14:paraId="4FF976DE">
            <w:pPr>
              <w:spacing w:line="240" w:lineRule="auto"/>
              <w:jc w:val="center"/>
              <w:rPr>
                <w:sz w:val="21"/>
                <w:szCs w:val="21"/>
              </w:rPr>
            </w:pPr>
            <w:r>
              <w:rPr>
                <w:rFonts w:hint="eastAsia" w:ascii="Times New Roman" w:hAnsi="Times New Roman" w:cs="Times New Roman"/>
                <w:sz w:val="21"/>
                <w:szCs w:val="21"/>
                <w:lang w:val="en-US" w:eastAsia="zh-CN"/>
              </w:rPr>
              <w:t xml:space="preserve">0.034 </w:t>
            </w:r>
          </w:p>
        </w:tc>
        <w:tc>
          <w:tcPr>
            <w:tcW w:w="1168" w:type="dxa"/>
            <w:vAlign w:val="center"/>
          </w:tcPr>
          <w:p w14:paraId="039226F5">
            <w:pPr>
              <w:spacing w:line="240" w:lineRule="auto"/>
              <w:jc w:val="center"/>
              <w:rPr>
                <w:sz w:val="21"/>
                <w:szCs w:val="21"/>
              </w:rPr>
            </w:pPr>
            <w:r>
              <w:rPr>
                <w:rFonts w:hint="eastAsia" w:cs="Times New Roman"/>
                <w:sz w:val="21"/>
                <w:szCs w:val="21"/>
                <w:lang w:val="en-US" w:eastAsia="zh-CN"/>
              </w:rPr>
              <w:t>+</w:t>
            </w:r>
            <w:r>
              <w:rPr>
                <w:rFonts w:hint="eastAsia" w:ascii="Times New Roman" w:hAnsi="Times New Roman" w:cs="Times New Roman"/>
                <w:sz w:val="21"/>
                <w:szCs w:val="21"/>
                <w:lang w:val="en-US" w:eastAsia="zh-CN"/>
              </w:rPr>
              <w:t xml:space="preserve">0.034 </w:t>
            </w:r>
          </w:p>
        </w:tc>
      </w:tr>
      <w:tr w14:paraId="79883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2F0D2588">
            <w:pPr>
              <w:pStyle w:val="44"/>
              <w:spacing w:before="24" w:after="24" w:line="240" w:lineRule="auto"/>
              <w:rPr>
                <w:rFonts w:ascii="Times New Roman"/>
                <w:snapToGrid w:val="0"/>
                <w:kern w:val="21"/>
                <w:sz w:val="21"/>
                <w:szCs w:val="21"/>
              </w:rPr>
            </w:pPr>
          </w:p>
        </w:tc>
        <w:tc>
          <w:tcPr>
            <w:tcW w:w="2671" w:type="dxa"/>
            <w:vAlign w:val="center"/>
          </w:tcPr>
          <w:p w14:paraId="26839E0C">
            <w:pPr>
              <w:pStyle w:val="44"/>
              <w:spacing w:before="24" w:after="24" w:line="240" w:lineRule="auto"/>
              <w:rPr>
                <w:rFonts w:ascii="Times New Roman"/>
                <w:snapToGrid w:val="0"/>
                <w:kern w:val="21"/>
                <w:sz w:val="21"/>
                <w:szCs w:val="21"/>
              </w:rPr>
            </w:pPr>
            <w:r>
              <w:rPr>
                <w:rFonts w:ascii="Times New Roman"/>
                <w:snapToGrid w:val="0"/>
                <w:kern w:val="21"/>
                <w:sz w:val="21"/>
                <w:szCs w:val="21"/>
              </w:rPr>
              <w:t>TP（吨/年）</w:t>
            </w:r>
          </w:p>
        </w:tc>
        <w:tc>
          <w:tcPr>
            <w:tcW w:w="1350" w:type="dxa"/>
            <w:vAlign w:val="center"/>
          </w:tcPr>
          <w:p w14:paraId="3CFC988E">
            <w:pPr>
              <w:spacing w:line="240" w:lineRule="auto"/>
              <w:jc w:val="center"/>
              <w:rPr>
                <w:sz w:val="21"/>
                <w:szCs w:val="21"/>
              </w:rPr>
            </w:pPr>
            <w:r>
              <w:rPr>
                <w:rFonts w:hint="eastAsia"/>
                <w:sz w:val="21"/>
                <w:szCs w:val="21"/>
                <w:lang w:val="en-US" w:eastAsia="zh-CN"/>
              </w:rPr>
              <w:t>0</w:t>
            </w:r>
          </w:p>
        </w:tc>
        <w:tc>
          <w:tcPr>
            <w:tcW w:w="1500" w:type="dxa"/>
            <w:vAlign w:val="center"/>
          </w:tcPr>
          <w:p w14:paraId="700CD2A1">
            <w:pPr>
              <w:spacing w:line="240" w:lineRule="auto"/>
              <w:jc w:val="center"/>
              <w:rPr>
                <w:sz w:val="21"/>
                <w:szCs w:val="21"/>
              </w:rPr>
            </w:pPr>
            <w:r>
              <w:rPr>
                <w:rFonts w:hint="eastAsia"/>
                <w:sz w:val="21"/>
                <w:szCs w:val="21"/>
                <w:lang w:val="en-US" w:eastAsia="zh-CN"/>
              </w:rPr>
              <w:t>0</w:t>
            </w:r>
          </w:p>
        </w:tc>
        <w:tc>
          <w:tcPr>
            <w:tcW w:w="1575" w:type="dxa"/>
            <w:vAlign w:val="center"/>
          </w:tcPr>
          <w:p w14:paraId="46003F4A">
            <w:pPr>
              <w:spacing w:line="240" w:lineRule="auto"/>
              <w:jc w:val="center"/>
              <w:rPr>
                <w:sz w:val="21"/>
                <w:szCs w:val="21"/>
              </w:rPr>
            </w:pPr>
            <w:r>
              <w:rPr>
                <w:sz w:val="21"/>
                <w:szCs w:val="21"/>
              </w:rPr>
              <w:t>0</w:t>
            </w:r>
          </w:p>
        </w:tc>
        <w:tc>
          <w:tcPr>
            <w:tcW w:w="1380" w:type="dxa"/>
            <w:vAlign w:val="center"/>
          </w:tcPr>
          <w:p w14:paraId="6986E0D5">
            <w:pPr>
              <w:spacing w:line="240" w:lineRule="auto"/>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 xml:space="preserve">0.003 </w:t>
            </w:r>
          </w:p>
        </w:tc>
        <w:tc>
          <w:tcPr>
            <w:tcW w:w="1335" w:type="dxa"/>
            <w:vAlign w:val="center"/>
          </w:tcPr>
          <w:p w14:paraId="37E4E3C1">
            <w:pPr>
              <w:spacing w:line="240" w:lineRule="auto"/>
              <w:jc w:val="center"/>
              <w:rPr>
                <w:sz w:val="21"/>
                <w:szCs w:val="21"/>
              </w:rPr>
            </w:pPr>
            <w:r>
              <w:rPr>
                <w:rFonts w:hint="eastAsia"/>
                <w:sz w:val="21"/>
                <w:szCs w:val="21"/>
              </w:rPr>
              <w:t>0</w:t>
            </w:r>
          </w:p>
        </w:tc>
        <w:tc>
          <w:tcPr>
            <w:tcW w:w="1560" w:type="dxa"/>
            <w:vAlign w:val="center"/>
          </w:tcPr>
          <w:p w14:paraId="072E4B35">
            <w:pPr>
              <w:spacing w:line="240" w:lineRule="auto"/>
              <w:jc w:val="center"/>
              <w:rPr>
                <w:rFonts w:hint="default" w:eastAsia="仿宋"/>
                <w:sz w:val="21"/>
                <w:szCs w:val="21"/>
                <w:lang w:val="en-US" w:eastAsia="zh-CN"/>
              </w:rPr>
            </w:pPr>
            <w:r>
              <w:rPr>
                <w:rFonts w:hint="eastAsia" w:ascii="Times New Roman" w:hAnsi="Times New Roman" w:cs="Times New Roman"/>
                <w:sz w:val="21"/>
                <w:szCs w:val="21"/>
                <w:lang w:val="en-US" w:eastAsia="zh-CN"/>
              </w:rPr>
              <w:t xml:space="preserve">0.003 </w:t>
            </w:r>
          </w:p>
        </w:tc>
        <w:tc>
          <w:tcPr>
            <w:tcW w:w="1168" w:type="dxa"/>
            <w:vAlign w:val="center"/>
          </w:tcPr>
          <w:p w14:paraId="1ECF30BA">
            <w:pPr>
              <w:spacing w:line="240" w:lineRule="auto"/>
              <w:jc w:val="center"/>
              <w:rPr>
                <w:sz w:val="21"/>
                <w:szCs w:val="21"/>
              </w:rPr>
            </w:pPr>
            <w:r>
              <w:rPr>
                <w:rFonts w:hint="eastAsia" w:cs="Times New Roman"/>
                <w:sz w:val="21"/>
                <w:szCs w:val="21"/>
                <w:lang w:val="en-US" w:eastAsia="zh-CN"/>
              </w:rPr>
              <w:t>+</w:t>
            </w:r>
            <w:r>
              <w:rPr>
                <w:rFonts w:hint="eastAsia" w:ascii="Times New Roman" w:hAnsi="Times New Roman" w:cs="Times New Roman"/>
                <w:sz w:val="21"/>
                <w:szCs w:val="21"/>
                <w:lang w:val="en-US" w:eastAsia="zh-CN"/>
              </w:rPr>
              <w:t xml:space="preserve">0.003 </w:t>
            </w:r>
          </w:p>
        </w:tc>
      </w:tr>
      <w:tr w14:paraId="187E2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restart"/>
            <w:vAlign w:val="center"/>
          </w:tcPr>
          <w:p w14:paraId="4F762C22">
            <w:pPr>
              <w:pStyle w:val="44"/>
              <w:spacing w:before="24" w:after="24" w:line="240" w:lineRule="auto"/>
              <w:rPr>
                <w:rFonts w:ascii="Times New Roman"/>
                <w:snapToGrid w:val="0"/>
                <w:kern w:val="21"/>
                <w:sz w:val="21"/>
                <w:szCs w:val="21"/>
              </w:rPr>
            </w:pPr>
            <w:r>
              <w:rPr>
                <w:rFonts w:ascii="Times New Roman"/>
                <w:snapToGrid w:val="0"/>
                <w:kern w:val="21"/>
                <w:sz w:val="21"/>
                <w:szCs w:val="21"/>
              </w:rPr>
              <w:t>一般工业固体废物</w:t>
            </w:r>
          </w:p>
        </w:tc>
        <w:tc>
          <w:tcPr>
            <w:tcW w:w="2671" w:type="dxa"/>
            <w:vAlign w:val="center"/>
          </w:tcPr>
          <w:p w14:paraId="6CACAA3D">
            <w:pPr>
              <w:pStyle w:val="44"/>
              <w:spacing w:before="24" w:after="24" w:line="240" w:lineRule="auto"/>
              <w:rPr>
                <w:rFonts w:ascii="Times New Roman"/>
                <w:snapToGrid w:val="0"/>
                <w:kern w:val="21"/>
                <w:sz w:val="21"/>
                <w:szCs w:val="21"/>
              </w:rPr>
            </w:pPr>
            <w:r>
              <w:rPr>
                <w:rFonts w:hint="eastAsia" w:ascii="Times New Roman"/>
                <w:snapToGrid w:val="0"/>
                <w:kern w:val="21"/>
                <w:sz w:val="21"/>
                <w:szCs w:val="21"/>
                <w:lang w:val="en-US" w:eastAsia="zh-CN"/>
              </w:rPr>
              <w:t>边角料</w:t>
            </w:r>
            <w:r>
              <w:rPr>
                <w:rFonts w:ascii="Times New Roman"/>
                <w:snapToGrid w:val="0"/>
                <w:kern w:val="21"/>
                <w:sz w:val="21"/>
                <w:szCs w:val="21"/>
              </w:rPr>
              <w:t>（吨/年）</w:t>
            </w:r>
          </w:p>
        </w:tc>
        <w:tc>
          <w:tcPr>
            <w:tcW w:w="1350" w:type="dxa"/>
            <w:vAlign w:val="center"/>
          </w:tcPr>
          <w:p w14:paraId="26D542B0">
            <w:pPr>
              <w:spacing w:line="240" w:lineRule="auto"/>
              <w:jc w:val="center"/>
              <w:rPr>
                <w:sz w:val="21"/>
                <w:szCs w:val="21"/>
              </w:rPr>
            </w:pPr>
            <w:r>
              <w:rPr>
                <w:rFonts w:hint="eastAsia"/>
                <w:sz w:val="21"/>
                <w:szCs w:val="21"/>
                <w:lang w:val="en-US" w:eastAsia="zh-CN"/>
              </w:rPr>
              <w:t>0</w:t>
            </w:r>
          </w:p>
        </w:tc>
        <w:tc>
          <w:tcPr>
            <w:tcW w:w="1500" w:type="dxa"/>
            <w:vAlign w:val="center"/>
          </w:tcPr>
          <w:p w14:paraId="1C9C8F74">
            <w:pPr>
              <w:spacing w:line="240" w:lineRule="auto"/>
              <w:jc w:val="center"/>
              <w:rPr>
                <w:sz w:val="21"/>
                <w:szCs w:val="21"/>
              </w:rPr>
            </w:pPr>
            <w:r>
              <w:rPr>
                <w:rFonts w:hint="eastAsia"/>
                <w:sz w:val="21"/>
                <w:szCs w:val="21"/>
                <w:lang w:val="en-US" w:eastAsia="zh-CN"/>
              </w:rPr>
              <w:t>0</w:t>
            </w:r>
          </w:p>
        </w:tc>
        <w:tc>
          <w:tcPr>
            <w:tcW w:w="1575" w:type="dxa"/>
            <w:vAlign w:val="center"/>
          </w:tcPr>
          <w:p w14:paraId="2E001169">
            <w:pPr>
              <w:spacing w:line="240" w:lineRule="auto"/>
              <w:jc w:val="center"/>
              <w:rPr>
                <w:sz w:val="21"/>
                <w:szCs w:val="21"/>
              </w:rPr>
            </w:pPr>
            <w:r>
              <w:rPr>
                <w:sz w:val="21"/>
                <w:szCs w:val="21"/>
              </w:rPr>
              <w:t>0</w:t>
            </w:r>
          </w:p>
        </w:tc>
        <w:tc>
          <w:tcPr>
            <w:tcW w:w="1380" w:type="dxa"/>
            <w:vAlign w:val="center"/>
          </w:tcPr>
          <w:p w14:paraId="5161D22B">
            <w:pPr>
              <w:spacing w:line="240" w:lineRule="auto"/>
              <w:jc w:val="center"/>
              <w:rPr>
                <w:rFonts w:hint="default"/>
                <w:sz w:val="21"/>
                <w:szCs w:val="21"/>
                <w:lang w:val="en-US"/>
              </w:rPr>
            </w:pPr>
            <w:r>
              <w:rPr>
                <w:rFonts w:hint="eastAsia"/>
                <w:sz w:val="21"/>
                <w:szCs w:val="21"/>
                <w:lang w:val="en-US" w:eastAsia="zh-CN"/>
              </w:rPr>
              <w:t>50</w:t>
            </w:r>
          </w:p>
        </w:tc>
        <w:tc>
          <w:tcPr>
            <w:tcW w:w="1335" w:type="dxa"/>
            <w:vAlign w:val="center"/>
          </w:tcPr>
          <w:p w14:paraId="10872624">
            <w:pPr>
              <w:spacing w:line="240" w:lineRule="auto"/>
              <w:jc w:val="center"/>
              <w:rPr>
                <w:sz w:val="21"/>
                <w:szCs w:val="21"/>
              </w:rPr>
            </w:pPr>
            <w:r>
              <w:rPr>
                <w:rFonts w:hint="eastAsia"/>
                <w:sz w:val="21"/>
                <w:szCs w:val="21"/>
              </w:rPr>
              <w:t>0</w:t>
            </w:r>
          </w:p>
        </w:tc>
        <w:tc>
          <w:tcPr>
            <w:tcW w:w="1560" w:type="dxa"/>
            <w:shd w:val="clear" w:color="auto" w:fill="auto"/>
            <w:vAlign w:val="center"/>
          </w:tcPr>
          <w:p w14:paraId="1D59F5FB">
            <w:pPr>
              <w:spacing w:line="240" w:lineRule="auto"/>
              <w:jc w:val="center"/>
              <w:rPr>
                <w:rFonts w:ascii="Times New Roman" w:hAnsi="Times New Roman" w:eastAsia="仿宋" w:cs="Times New Roman"/>
                <w:kern w:val="2"/>
                <w:sz w:val="21"/>
                <w:szCs w:val="21"/>
                <w:lang w:val="en-US" w:eastAsia="zh-CN" w:bidi="ar-SA"/>
              </w:rPr>
            </w:pPr>
            <w:r>
              <w:rPr>
                <w:rFonts w:hint="eastAsia"/>
                <w:sz w:val="21"/>
                <w:szCs w:val="21"/>
                <w:lang w:val="en-US" w:eastAsia="zh-CN"/>
              </w:rPr>
              <w:t>50</w:t>
            </w:r>
          </w:p>
        </w:tc>
        <w:tc>
          <w:tcPr>
            <w:tcW w:w="1168" w:type="dxa"/>
            <w:shd w:val="clear" w:color="auto" w:fill="auto"/>
            <w:vAlign w:val="center"/>
          </w:tcPr>
          <w:p w14:paraId="644464E3">
            <w:pPr>
              <w:spacing w:line="240" w:lineRule="auto"/>
              <w:jc w:val="center"/>
              <w:rPr>
                <w:rFonts w:ascii="Times New Roman" w:hAnsi="Times New Roman" w:eastAsia="仿宋" w:cs="Times New Roman"/>
                <w:kern w:val="2"/>
                <w:sz w:val="21"/>
                <w:szCs w:val="21"/>
                <w:lang w:val="en-US" w:eastAsia="zh-CN" w:bidi="ar-SA"/>
              </w:rPr>
            </w:pPr>
            <w:r>
              <w:rPr>
                <w:rFonts w:hint="eastAsia"/>
                <w:sz w:val="21"/>
                <w:szCs w:val="21"/>
                <w:lang w:val="en-US" w:eastAsia="zh-CN"/>
              </w:rPr>
              <w:t>+50</w:t>
            </w:r>
          </w:p>
        </w:tc>
      </w:tr>
      <w:tr w14:paraId="26059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60D23CA8">
            <w:pPr>
              <w:pStyle w:val="44"/>
              <w:spacing w:before="24" w:after="24" w:line="240" w:lineRule="auto"/>
              <w:rPr>
                <w:rFonts w:ascii="Times New Roman"/>
                <w:snapToGrid w:val="0"/>
                <w:kern w:val="21"/>
                <w:sz w:val="21"/>
                <w:szCs w:val="21"/>
              </w:rPr>
            </w:pPr>
          </w:p>
        </w:tc>
        <w:tc>
          <w:tcPr>
            <w:tcW w:w="2671" w:type="dxa"/>
            <w:shd w:val="clear" w:color="auto" w:fill="auto"/>
            <w:vAlign w:val="center"/>
          </w:tcPr>
          <w:p w14:paraId="406EC2E7">
            <w:pPr>
              <w:pStyle w:val="44"/>
              <w:spacing w:before="24" w:after="24" w:line="240" w:lineRule="auto"/>
              <w:rPr>
                <w:rFonts w:hint="eastAsia" w:ascii="Times New Roman" w:hAnsi="Times New Roman" w:eastAsia="仿宋" w:cs="Times New Roman"/>
                <w:snapToGrid w:val="0"/>
                <w:kern w:val="21"/>
                <w:sz w:val="21"/>
                <w:szCs w:val="21"/>
                <w:lang w:val="en-US" w:eastAsia="zh-CN" w:bidi="ar-SA"/>
              </w:rPr>
            </w:pPr>
            <w:r>
              <w:rPr>
                <w:rFonts w:hint="eastAsia" w:ascii="Times New Roman"/>
                <w:snapToGrid w:val="0"/>
                <w:kern w:val="21"/>
                <w:sz w:val="21"/>
                <w:szCs w:val="21"/>
                <w:lang w:val="en-US" w:eastAsia="zh-CN"/>
              </w:rPr>
              <w:t>不合格品</w:t>
            </w:r>
            <w:r>
              <w:rPr>
                <w:rFonts w:ascii="Times New Roman"/>
                <w:snapToGrid w:val="0"/>
                <w:kern w:val="21"/>
                <w:sz w:val="21"/>
                <w:szCs w:val="21"/>
              </w:rPr>
              <w:t>（吨/年）</w:t>
            </w:r>
          </w:p>
        </w:tc>
        <w:tc>
          <w:tcPr>
            <w:tcW w:w="1350" w:type="dxa"/>
            <w:vAlign w:val="center"/>
          </w:tcPr>
          <w:p w14:paraId="5BFBFC05">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0B2379C1">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49C5B0D3">
            <w:pPr>
              <w:spacing w:line="240" w:lineRule="auto"/>
              <w:jc w:val="center"/>
              <w:rPr>
                <w:sz w:val="21"/>
                <w:szCs w:val="21"/>
              </w:rPr>
            </w:pPr>
            <w:r>
              <w:rPr>
                <w:sz w:val="21"/>
                <w:szCs w:val="21"/>
              </w:rPr>
              <w:t>0</w:t>
            </w:r>
          </w:p>
        </w:tc>
        <w:tc>
          <w:tcPr>
            <w:tcW w:w="1380" w:type="dxa"/>
            <w:vAlign w:val="center"/>
          </w:tcPr>
          <w:p w14:paraId="1DD630F7">
            <w:pPr>
              <w:spacing w:line="240" w:lineRule="auto"/>
              <w:jc w:val="center"/>
              <w:rPr>
                <w:rFonts w:hint="default" w:eastAsia="仿宋"/>
                <w:sz w:val="21"/>
                <w:szCs w:val="21"/>
                <w:lang w:val="en-US" w:eastAsia="zh-CN"/>
              </w:rPr>
            </w:pPr>
            <w:r>
              <w:rPr>
                <w:rFonts w:hint="eastAsia"/>
                <w:sz w:val="21"/>
                <w:szCs w:val="21"/>
                <w:lang w:val="en-US" w:eastAsia="zh-CN"/>
              </w:rPr>
              <w:t>10</w:t>
            </w:r>
          </w:p>
        </w:tc>
        <w:tc>
          <w:tcPr>
            <w:tcW w:w="1335" w:type="dxa"/>
            <w:vAlign w:val="center"/>
          </w:tcPr>
          <w:p w14:paraId="7101D5DE">
            <w:pPr>
              <w:spacing w:line="240" w:lineRule="auto"/>
              <w:jc w:val="center"/>
              <w:rPr>
                <w:rFonts w:hint="eastAsia"/>
                <w:sz w:val="21"/>
                <w:szCs w:val="21"/>
              </w:rPr>
            </w:pPr>
            <w:r>
              <w:rPr>
                <w:rFonts w:hint="eastAsia"/>
                <w:sz w:val="21"/>
                <w:szCs w:val="21"/>
              </w:rPr>
              <w:t>0</w:t>
            </w:r>
          </w:p>
        </w:tc>
        <w:tc>
          <w:tcPr>
            <w:tcW w:w="1560" w:type="dxa"/>
            <w:shd w:val="clear" w:color="auto" w:fill="auto"/>
            <w:vAlign w:val="center"/>
          </w:tcPr>
          <w:p w14:paraId="57093D29">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10</w:t>
            </w:r>
          </w:p>
        </w:tc>
        <w:tc>
          <w:tcPr>
            <w:tcW w:w="1168" w:type="dxa"/>
            <w:shd w:val="clear" w:color="auto" w:fill="auto"/>
            <w:vAlign w:val="center"/>
          </w:tcPr>
          <w:p w14:paraId="09360A39">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+10</w:t>
            </w:r>
          </w:p>
        </w:tc>
      </w:tr>
      <w:tr w14:paraId="2D333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restart"/>
            <w:vAlign w:val="center"/>
          </w:tcPr>
          <w:p w14:paraId="3CA06F51">
            <w:pPr>
              <w:pStyle w:val="44"/>
              <w:spacing w:before="24" w:after="24" w:line="240" w:lineRule="auto"/>
              <w:rPr>
                <w:rFonts w:ascii="Times New Roman"/>
                <w:snapToGrid w:val="0"/>
                <w:kern w:val="21"/>
                <w:sz w:val="21"/>
                <w:szCs w:val="21"/>
              </w:rPr>
            </w:pPr>
            <w:r>
              <w:rPr>
                <w:rFonts w:ascii="Times New Roman"/>
                <w:sz w:val="21"/>
                <w:szCs w:val="21"/>
                <w:lang w:bidi="ar"/>
              </w:rPr>
              <w:t>危险废物</w:t>
            </w:r>
          </w:p>
        </w:tc>
        <w:tc>
          <w:tcPr>
            <w:tcW w:w="2671" w:type="dxa"/>
            <w:vAlign w:val="center"/>
          </w:tcPr>
          <w:p w14:paraId="78035B29">
            <w:pPr>
              <w:pStyle w:val="44"/>
              <w:spacing w:before="24" w:after="24" w:line="240" w:lineRule="auto"/>
              <w:rPr>
                <w:rFonts w:hint="eastAsia" w:ascii="Times New Roman"/>
                <w:snapToGrid w:val="0"/>
                <w:kern w:val="21"/>
                <w:sz w:val="21"/>
                <w:szCs w:val="21"/>
                <w:lang w:val="en-US" w:eastAsia="zh-CN"/>
              </w:rPr>
            </w:pPr>
            <w:r>
              <w:rPr>
                <w:rFonts w:hint="eastAsia" w:ascii="Times New Roman"/>
                <w:snapToGrid w:val="0"/>
                <w:kern w:val="21"/>
                <w:sz w:val="21"/>
                <w:szCs w:val="21"/>
                <w:lang w:val="en-US" w:eastAsia="zh-CN"/>
              </w:rPr>
              <w:t>炉渣</w:t>
            </w:r>
            <w:r>
              <w:rPr>
                <w:rFonts w:ascii="Times New Roman"/>
                <w:snapToGrid w:val="0"/>
                <w:kern w:val="21"/>
                <w:sz w:val="21"/>
                <w:szCs w:val="21"/>
              </w:rPr>
              <w:t>（吨/年）</w:t>
            </w:r>
          </w:p>
        </w:tc>
        <w:tc>
          <w:tcPr>
            <w:tcW w:w="1350" w:type="dxa"/>
            <w:vAlign w:val="center"/>
          </w:tcPr>
          <w:p w14:paraId="0885505D">
            <w:pPr>
              <w:spacing w:line="240" w:lineRule="auto"/>
              <w:jc w:val="center"/>
              <w:rPr>
                <w:rFonts w:ascii="Times New Roman"/>
                <w:snapToGrid w:val="0"/>
                <w:kern w:val="21"/>
                <w:sz w:val="21"/>
                <w:szCs w:val="21"/>
              </w:rPr>
            </w:pPr>
            <w:r>
              <w:rPr>
                <w:rFonts w:hint="eastAsia"/>
                <w:sz w:val="21"/>
                <w:szCs w:val="21"/>
                <w:lang w:val="en-US" w:eastAsia="zh-CN"/>
              </w:rPr>
              <w:t>0</w:t>
            </w:r>
          </w:p>
        </w:tc>
        <w:tc>
          <w:tcPr>
            <w:tcW w:w="1500" w:type="dxa"/>
            <w:vAlign w:val="center"/>
          </w:tcPr>
          <w:p w14:paraId="1732CB28">
            <w:pPr>
              <w:spacing w:line="240" w:lineRule="auto"/>
              <w:jc w:val="center"/>
              <w:rPr>
                <w:rFonts w:ascii="Times New Roman"/>
                <w:snapToGrid w:val="0"/>
                <w:kern w:val="21"/>
                <w:sz w:val="21"/>
                <w:szCs w:val="21"/>
              </w:rPr>
            </w:pPr>
            <w:r>
              <w:rPr>
                <w:rFonts w:hint="eastAsia"/>
                <w:sz w:val="21"/>
                <w:szCs w:val="21"/>
                <w:lang w:val="en-US" w:eastAsia="zh-CN"/>
              </w:rPr>
              <w:t>0</w:t>
            </w:r>
          </w:p>
        </w:tc>
        <w:tc>
          <w:tcPr>
            <w:tcW w:w="1575" w:type="dxa"/>
            <w:vAlign w:val="center"/>
          </w:tcPr>
          <w:p w14:paraId="14DC7DDF">
            <w:pPr>
              <w:spacing w:line="240" w:lineRule="auto"/>
              <w:jc w:val="center"/>
              <w:rPr>
                <w:sz w:val="21"/>
                <w:szCs w:val="21"/>
              </w:rPr>
            </w:pPr>
            <w:r>
              <w:rPr>
                <w:sz w:val="21"/>
                <w:szCs w:val="21"/>
              </w:rPr>
              <w:t>0</w:t>
            </w:r>
          </w:p>
        </w:tc>
        <w:tc>
          <w:tcPr>
            <w:tcW w:w="1380" w:type="dxa"/>
            <w:vAlign w:val="center"/>
          </w:tcPr>
          <w:p w14:paraId="1348E9FE">
            <w:pPr>
              <w:spacing w:line="240" w:lineRule="auto"/>
              <w:jc w:val="center"/>
              <w:rPr>
                <w:rFonts w:hint="eastAsia"/>
                <w:sz w:val="21"/>
                <w:szCs w:val="21"/>
                <w:lang w:val="en-US" w:eastAsia="zh-CN"/>
              </w:rPr>
            </w:pPr>
            <w:r>
              <w:rPr>
                <w:rFonts w:hint="default"/>
                <w:sz w:val="21"/>
                <w:szCs w:val="21"/>
                <w:lang w:val="en-US" w:eastAsia="zh-CN"/>
              </w:rPr>
              <w:t>30</w:t>
            </w:r>
          </w:p>
        </w:tc>
        <w:tc>
          <w:tcPr>
            <w:tcW w:w="1335" w:type="dxa"/>
            <w:vAlign w:val="center"/>
          </w:tcPr>
          <w:p w14:paraId="20B775AB">
            <w:pPr>
              <w:spacing w:line="240" w:lineRule="auto"/>
              <w:jc w:val="center"/>
              <w:rPr>
                <w:sz w:val="21"/>
                <w:szCs w:val="21"/>
              </w:rPr>
            </w:pPr>
            <w:r>
              <w:rPr>
                <w:rFonts w:hint="eastAsia"/>
                <w:sz w:val="21"/>
                <w:szCs w:val="21"/>
              </w:rPr>
              <w:t>0</w:t>
            </w:r>
          </w:p>
        </w:tc>
        <w:tc>
          <w:tcPr>
            <w:tcW w:w="1560" w:type="dxa"/>
            <w:shd w:val="clear" w:color="auto" w:fill="auto"/>
            <w:vAlign w:val="center"/>
          </w:tcPr>
          <w:p w14:paraId="5718B944">
            <w:pPr>
              <w:spacing w:line="240" w:lineRule="auto"/>
              <w:jc w:val="center"/>
              <w:rPr>
                <w:rFonts w:ascii="Times New Roman" w:hAnsi="Times New Roman" w:eastAsia="仿宋" w:cs="Times New Roman"/>
                <w:kern w:val="2"/>
                <w:sz w:val="21"/>
                <w:szCs w:val="21"/>
                <w:lang w:val="en-US" w:eastAsia="zh-CN" w:bidi="ar-SA"/>
              </w:rPr>
            </w:pPr>
            <w:r>
              <w:rPr>
                <w:rFonts w:hint="default"/>
                <w:sz w:val="21"/>
                <w:szCs w:val="21"/>
                <w:lang w:val="en-US" w:eastAsia="zh-CN"/>
              </w:rPr>
              <w:t>30</w:t>
            </w:r>
          </w:p>
        </w:tc>
        <w:tc>
          <w:tcPr>
            <w:tcW w:w="1168" w:type="dxa"/>
            <w:shd w:val="clear" w:color="auto" w:fill="auto"/>
            <w:vAlign w:val="center"/>
          </w:tcPr>
          <w:p w14:paraId="2DEF8A33">
            <w:pPr>
              <w:spacing w:line="240" w:lineRule="auto"/>
              <w:jc w:val="center"/>
              <w:rPr>
                <w:rFonts w:ascii="Times New Roman" w:hAnsi="Times New Roman" w:eastAsia="仿宋" w:cs="Times New Roman"/>
                <w:kern w:val="2"/>
                <w:sz w:val="21"/>
                <w:szCs w:val="21"/>
                <w:lang w:val="en-US" w:eastAsia="zh-CN" w:bidi="ar-SA"/>
              </w:rPr>
            </w:pPr>
            <w:r>
              <w:rPr>
                <w:rFonts w:hint="eastAsia"/>
                <w:sz w:val="21"/>
                <w:szCs w:val="21"/>
                <w:lang w:val="en-US" w:eastAsia="zh-CN"/>
              </w:rPr>
              <w:t>+</w:t>
            </w:r>
            <w:r>
              <w:rPr>
                <w:rFonts w:hint="default"/>
                <w:sz w:val="21"/>
                <w:szCs w:val="21"/>
                <w:lang w:val="en-US" w:eastAsia="zh-CN"/>
              </w:rPr>
              <w:t>30</w:t>
            </w:r>
          </w:p>
        </w:tc>
      </w:tr>
      <w:tr w14:paraId="45322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6B38ADD2">
            <w:pPr>
              <w:pStyle w:val="44"/>
              <w:spacing w:before="24" w:after="24" w:line="240" w:lineRule="auto"/>
              <w:rPr>
                <w:rFonts w:ascii="Times New Roman"/>
                <w:sz w:val="21"/>
                <w:szCs w:val="21"/>
                <w:lang w:bidi="ar"/>
              </w:rPr>
            </w:pPr>
          </w:p>
        </w:tc>
        <w:tc>
          <w:tcPr>
            <w:tcW w:w="2671" w:type="dxa"/>
            <w:vAlign w:val="center"/>
          </w:tcPr>
          <w:p w14:paraId="523C71CF">
            <w:pPr>
              <w:pStyle w:val="44"/>
              <w:spacing w:before="24" w:after="24" w:line="240" w:lineRule="auto"/>
              <w:rPr>
                <w:rFonts w:hint="default" w:ascii="Times New Roman"/>
                <w:snapToGrid w:val="0"/>
                <w:kern w:val="21"/>
                <w:sz w:val="21"/>
                <w:szCs w:val="21"/>
                <w:lang w:val="en-US" w:eastAsia="zh-CN"/>
              </w:rPr>
            </w:pPr>
            <w:r>
              <w:rPr>
                <w:rFonts w:hint="eastAsia" w:ascii="Times New Roman"/>
                <w:snapToGrid w:val="0"/>
                <w:kern w:val="21"/>
                <w:sz w:val="21"/>
                <w:szCs w:val="21"/>
                <w:lang w:val="en-US" w:eastAsia="zh-CN"/>
              </w:rPr>
              <w:t>废过滤材料（吨/年）</w:t>
            </w:r>
          </w:p>
        </w:tc>
        <w:tc>
          <w:tcPr>
            <w:tcW w:w="1350" w:type="dxa"/>
            <w:shd w:val="clear" w:color="auto" w:fill="auto"/>
            <w:vAlign w:val="center"/>
          </w:tcPr>
          <w:p w14:paraId="0BEF2CB0">
            <w:pPr>
              <w:spacing w:line="240" w:lineRule="auto"/>
              <w:jc w:val="center"/>
              <w:rPr>
                <w:rFonts w:hint="eastAsia" w:ascii="Times New Roman" w:hAnsi="Times New Roman" w:eastAsia="仿宋" w:cs="Times New Roman"/>
                <w:snapToGrid w:val="0"/>
                <w:kern w:val="21"/>
                <w:sz w:val="21"/>
                <w:szCs w:val="21"/>
                <w:lang w:val="en-US" w:eastAsia="zh-CN" w:bidi="ar-SA"/>
              </w:rPr>
            </w:pPr>
            <w:r>
              <w:rPr>
                <w:rFonts w:hint="eastAsia"/>
                <w:sz w:val="21"/>
                <w:szCs w:val="21"/>
                <w:lang w:val="en-US" w:eastAsia="zh-CN"/>
              </w:rPr>
              <w:t>0</w:t>
            </w:r>
          </w:p>
        </w:tc>
        <w:tc>
          <w:tcPr>
            <w:tcW w:w="1500" w:type="dxa"/>
            <w:shd w:val="clear" w:color="auto" w:fill="auto"/>
            <w:vAlign w:val="center"/>
          </w:tcPr>
          <w:p w14:paraId="088ADECC">
            <w:pPr>
              <w:spacing w:line="240" w:lineRule="auto"/>
              <w:jc w:val="center"/>
              <w:rPr>
                <w:rFonts w:hint="eastAsia" w:ascii="Times New Roman" w:hAnsi="Times New Roman" w:eastAsia="仿宋" w:cs="Times New Roman"/>
                <w:snapToGrid w:val="0"/>
                <w:kern w:val="21"/>
                <w:sz w:val="21"/>
                <w:szCs w:val="21"/>
                <w:lang w:val="en-US" w:eastAsia="zh-CN" w:bidi="ar-SA"/>
              </w:rPr>
            </w:pPr>
            <w:r>
              <w:rPr>
                <w:rFonts w:hint="eastAsia"/>
                <w:sz w:val="21"/>
                <w:szCs w:val="21"/>
                <w:lang w:val="en-US" w:eastAsia="zh-CN"/>
              </w:rPr>
              <w:t>0</w:t>
            </w:r>
          </w:p>
        </w:tc>
        <w:tc>
          <w:tcPr>
            <w:tcW w:w="1575" w:type="dxa"/>
            <w:shd w:val="clear" w:color="auto" w:fill="auto"/>
            <w:vAlign w:val="center"/>
          </w:tcPr>
          <w:p w14:paraId="40909DB4">
            <w:pPr>
              <w:spacing w:line="240" w:lineRule="auto"/>
              <w:jc w:val="center"/>
              <w:rPr>
                <w:rFonts w:ascii="Times New Roman" w:hAnsi="Times New Roman" w:eastAsia="仿宋" w:cs="Times New Roman"/>
                <w:kern w:val="2"/>
                <w:sz w:val="21"/>
                <w:szCs w:val="21"/>
                <w:lang w:val="en-US" w:eastAsia="zh-CN" w:bidi="ar-SA"/>
              </w:rPr>
            </w:pPr>
            <w:r>
              <w:rPr>
                <w:sz w:val="21"/>
                <w:szCs w:val="21"/>
              </w:rPr>
              <w:t>0</w:t>
            </w:r>
          </w:p>
        </w:tc>
        <w:tc>
          <w:tcPr>
            <w:tcW w:w="1380" w:type="dxa"/>
            <w:shd w:val="clear" w:color="auto" w:fill="auto"/>
            <w:vAlign w:val="center"/>
          </w:tcPr>
          <w:p w14:paraId="5F69F11D">
            <w:pPr>
              <w:spacing w:line="240" w:lineRule="auto"/>
              <w:jc w:val="center"/>
              <w:rPr>
                <w:rFonts w:hint="default" w:ascii="Times New Roman" w:hAnsi="Times New Roman" w:eastAsia="仿宋" w:cs="Times New Roman"/>
                <w:kern w:val="2"/>
                <w:sz w:val="21"/>
                <w:szCs w:val="21"/>
                <w:lang w:val="en-US" w:eastAsia="zh-CN" w:bidi="ar-SA"/>
              </w:rPr>
            </w:pPr>
            <w:r>
              <w:rPr>
                <w:rFonts w:hint="default"/>
                <w:sz w:val="21"/>
                <w:szCs w:val="21"/>
                <w:lang w:val="en-US" w:eastAsia="zh-CN"/>
              </w:rPr>
              <w:t>0.</w:t>
            </w:r>
            <w:r>
              <w:rPr>
                <w:rFonts w:hint="eastAsia"/>
                <w:sz w:val="21"/>
                <w:szCs w:val="21"/>
                <w:lang w:val="en-US" w:eastAsia="zh-CN"/>
              </w:rPr>
              <w:t>1</w:t>
            </w:r>
          </w:p>
        </w:tc>
        <w:tc>
          <w:tcPr>
            <w:tcW w:w="1335" w:type="dxa"/>
            <w:shd w:val="clear" w:color="auto" w:fill="auto"/>
            <w:vAlign w:val="center"/>
          </w:tcPr>
          <w:p w14:paraId="3DBBD560">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rPr>
              <w:t>0</w:t>
            </w:r>
          </w:p>
        </w:tc>
        <w:tc>
          <w:tcPr>
            <w:tcW w:w="1560" w:type="dxa"/>
            <w:shd w:val="clear" w:color="auto" w:fill="auto"/>
            <w:vAlign w:val="center"/>
          </w:tcPr>
          <w:p w14:paraId="2C6388F5">
            <w:pPr>
              <w:spacing w:line="240" w:lineRule="auto"/>
              <w:jc w:val="center"/>
              <w:rPr>
                <w:rFonts w:hint="default" w:ascii="Times New Roman" w:hAnsi="Times New Roman" w:eastAsia="仿宋" w:cs="Times New Roman"/>
                <w:kern w:val="2"/>
                <w:sz w:val="21"/>
                <w:szCs w:val="21"/>
                <w:lang w:val="en-US" w:eastAsia="zh-CN" w:bidi="ar-SA"/>
              </w:rPr>
            </w:pPr>
            <w:r>
              <w:rPr>
                <w:rFonts w:hint="default"/>
                <w:sz w:val="21"/>
                <w:szCs w:val="21"/>
                <w:lang w:val="en-US" w:eastAsia="zh-CN"/>
              </w:rPr>
              <w:t>0.</w:t>
            </w:r>
            <w:r>
              <w:rPr>
                <w:rFonts w:hint="eastAsia"/>
                <w:sz w:val="21"/>
                <w:szCs w:val="21"/>
                <w:lang w:val="en-US" w:eastAsia="zh-CN"/>
              </w:rPr>
              <w:t>1</w:t>
            </w:r>
          </w:p>
        </w:tc>
        <w:tc>
          <w:tcPr>
            <w:tcW w:w="1168" w:type="dxa"/>
            <w:shd w:val="clear" w:color="auto" w:fill="auto"/>
            <w:vAlign w:val="center"/>
          </w:tcPr>
          <w:p w14:paraId="223EB1A4">
            <w:pPr>
              <w:spacing w:line="240" w:lineRule="auto"/>
              <w:jc w:val="center"/>
              <w:rPr>
                <w:rFonts w:hint="default" w:ascii="Times New Roman" w:hAnsi="Times New Roman" w:eastAsia="仿宋" w:cs="Times New Roman"/>
                <w:kern w:val="2"/>
                <w:sz w:val="21"/>
                <w:szCs w:val="21"/>
                <w:lang w:val="en-US" w:eastAsia="zh-CN" w:bidi="ar-SA"/>
              </w:rPr>
            </w:pPr>
            <w:r>
              <w:rPr>
                <w:rFonts w:hint="eastAsia"/>
                <w:sz w:val="21"/>
                <w:szCs w:val="21"/>
                <w:lang w:val="en-US" w:eastAsia="zh-CN"/>
              </w:rPr>
              <w:t>+</w:t>
            </w:r>
            <w:r>
              <w:rPr>
                <w:rFonts w:hint="default"/>
                <w:sz w:val="21"/>
                <w:szCs w:val="21"/>
                <w:lang w:val="en-US" w:eastAsia="zh-CN"/>
              </w:rPr>
              <w:t>0.</w:t>
            </w:r>
            <w:r>
              <w:rPr>
                <w:rFonts w:hint="eastAsia"/>
                <w:sz w:val="21"/>
                <w:szCs w:val="21"/>
                <w:lang w:val="en-US" w:eastAsia="zh-CN"/>
              </w:rPr>
              <w:t>1</w:t>
            </w:r>
          </w:p>
        </w:tc>
      </w:tr>
      <w:tr w14:paraId="73D77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3C86AAFC">
            <w:pPr>
              <w:pStyle w:val="44"/>
              <w:spacing w:before="24" w:after="24" w:line="240" w:lineRule="auto"/>
              <w:rPr>
                <w:rFonts w:ascii="Times New Roman"/>
                <w:snapToGrid w:val="0"/>
                <w:kern w:val="21"/>
                <w:sz w:val="21"/>
                <w:szCs w:val="21"/>
              </w:rPr>
            </w:pPr>
          </w:p>
        </w:tc>
        <w:tc>
          <w:tcPr>
            <w:tcW w:w="2671" w:type="dxa"/>
            <w:vAlign w:val="center"/>
          </w:tcPr>
          <w:p w14:paraId="027FD995">
            <w:pPr>
              <w:pStyle w:val="44"/>
              <w:spacing w:before="24" w:after="24" w:line="240" w:lineRule="auto"/>
              <w:rPr>
                <w:rFonts w:hint="eastAsia" w:ascii="Times New Roman"/>
                <w:snapToGrid w:val="0"/>
                <w:kern w:val="21"/>
                <w:sz w:val="21"/>
                <w:szCs w:val="21"/>
                <w:lang w:val="en-US" w:eastAsia="zh-CN"/>
              </w:rPr>
            </w:pPr>
            <w:r>
              <w:rPr>
                <w:rFonts w:hint="eastAsia" w:ascii="Times New Roman"/>
                <w:snapToGrid w:val="0"/>
                <w:kern w:val="21"/>
                <w:sz w:val="21"/>
                <w:szCs w:val="21"/>
                <w:lang w:val="en-US" w:eastAsia="zh-CN"/>
              </w:rPr>
              <w:t>废包装桶</w:t>
            </w:r>
            <w:r>
              <w:rPr>
                <w:rFonts w:ascii="Times New Roman"/>
                <w:snapToGrid w:val="0"/>
                <w:kern w:val="21"/>
                <w:sz w:val="21"/>
                <w:szCs w:val="21"/>
              </w:rPr>
              <w:t>（吨/年）</w:t>
            </w:r>
          </w:p>
        </w:tc>
        <w:tc>
          <w:tcPr>
            <w:tcW w:w="1350" w:type="dxa"/>
            <w:vAlign w:val="center"/>
          </w:tcPr>
          <w:p w14:paraId="0B5073DC">
            <w:pPr>
              <w:spacing w:line="240" w:lineRule="auto"/>
              <w:jc w:val="center"/>
              <w:rPr>
                <w:rFonts w:ascii="Times New Roman"/>
                <w:snapToGrid w:val="0"/>
                <w:kern w:val="21"/>
                <w:sz w:val="21"/>
                <w:szCs w:val="21"/>
              </w:rPr>
            </w:pPr>
            <w:r>
              <w:rPr>
                <w:rFonts w:hint="eastAsia"/>
                <w:sz w:val="21"/>
                <w:szCs w:val="21"/>
                <w:lang w:val="en-US" w:eastAsia="zh-CN"/>
              </w:rPr>
              <w:t>0</w:t>
            </w:r>
          </w:p>
        </w:tc>
        <w:tc>
          <w:tcPr>
            <w:tcW w:w="1500" w:type="dxa"/>
            <w:vAlign w:val="center"/>
          </w:tcPr>
          <w:p w14:paraId="0FA360AD">
            <w:pPr>
              <w:spacing w:line="240" w:lineRule="auto"/>
              <w:jc w:val="center"/>
              <w:rPr>
                <w:rFonts w:ascii="Times New Roman"/>
                <w:snapToGrid w:val="0"/>
                <w:kern w:val="21"/>
                <w:sz w:val="21"/>
                <w:szCs w:val="21"/>
              </w:rPr>
            </w:pPr>
            <w:r>
              <w:rPr>
                <w:rFonts w:hint="eastAsia"/>
                <w:sz w:val="21"/>
                <w:szCs w:val="21"/>
                <w:lang w:val="en-US" w:eastAsia="zh-CN"/>
              </w:rPr>
              <w:t>0</w:t>
            </w:r>
          </w:p>
        </w:tc>
        <w:tc>
          <w:tcPr>
            <w:tcW w:w="1575" w:type="dxa"/>
            <w:vAlign w:val="center"/>
          </w:tcPr>
          <w:p w14:paraId="6B73B986">
            <w:pPr>
              <w:spacing w:line="240" w:lineRule="auto"/>
              <w:jc w:val="center"/>
              <w:rPr>
                <w:sz w:val="21"/>
                <w:szCs w:val="21"/>
              </w:rPr>
            </w:pPr>
            <w:r>
              <w:rPr>
                <w:sz w:val="21"/>
                <w:szCs w:val="21"/>
              </w:rPr>
              <w:t>0</w:t>
            </w:r>
          </w:p>
        </w:tc>
        <w:tc>
          <w:tcPr>
            <w:tcW w:w="1380" w:type="dxa"/>
            <w:vAlign w:val="center"/>
          </w:tcPr>
          <w:p w14:paraId="3C1871DC">
            <w:pPr>
              <w:spacing w:line="240" w:lineRule="auto"/>
              <w:jc w:val="center"/>
              <w:rPr>
                <w:rFonts w:hint="eastAsia"/>
                <w:sz w:val="21"/>
                <w:szCs w:val="21"/>
                <w:lang w:val="en-US" w:eastAsia="zh-CN"/>
              </w:rPr>
            </w:pPr>
            <w:r>
              <w:rPr>
                <w:rFonts w:hint="default"/>
                <w:sz w:val="21"/>
                <w:szCs w:val="21"/>
                <w:lang w:val="en-US" w:eastAsia="zh-CN"/>
              </w:rPr>
              <w:t>0.</w:t>
            </w:r>
            <w:r>
              <w:rPr>
                <w:rFonts w:hint="eastAsia"/>
                <w:sz w:val="21"/>
                <w:szCs w:val="21"/>
                <w:lang w:val="en-US" w:eastAsia="zh-CN"/>
              </w:rPr>
              <w:t>2</w:t>
            </w:r>
            <w:r>
              <w:rPr>
                <w:rFonts w:hint="default"/>
                <w:sz w:val="21"/>
                <w:szCs w:val="21"/>
                <w:lang w:val="en-US" w:eastAsia="zh-CN"/>
              </w:rPr>
              <w:t>5</w:t>
            </w:r>
          </w:p>
        </w:tc>
        <w:tc>
          <w:tcPr>
            <w:tcW w:w="1335" w:type="dxa"/>
            <w:vAlign w:val="center"/>
          </w:tcPr>
          <w:p w14:paraId="4F44F8D4">
            <w:pPr>
              <w:spacing w:line="240" w:lineRule="auto"/>
              <w:jc w:val="center"/>
              <w:rPr>
                <w:sz w:val="21"/>
                <w:szCs w:val="21"/>
              </w:rPr>
            </w:pPr>
            <w:r>
              <w:rPr>
                <w:rFonts w:hint="eastAsia"/>
                <w:sz w:val="21"/>
                <w:szCs w:val="21"/>
              </w:rPr>
              <w:t>0</w:t>
            </w:r>
          </w:p>
        </w:tc>
        <w:tc>
          <w:tcPr>
            <w:tcW w:w="1560" w:type="dxa"/>
            <w:shd w:val="clear" w:color="auto" w:fill="auto"/>
            <w:vAlign w:val="center"/>
          </w:tcPr>
          <w:p w14:paraId="3F41C9C1">
            <w:pPr>
              <w:spacing w:line="240" w:lineRule="auto"/>
              <w:jc w:val="center"/>
              <w:rPr>
                <w:rFonts w:ascii="Times New Roman" w:hAnsi="Times New Roman" w:eastAsia="仿宋" w:cs="Times New Roman"/>
                <w:kern w:val="2"/>
                <w:sz w:val="21"/>
                <w:szCs w:val="21"/>
                <w:lang w:val="en-US" w:eastAsia="zh-CN" w:bidi="ar-SA"/>
              </w:rPr>
            </w:pPr>
            <w:r>
              <w:rPr>
                <w:rFonts w:hint="default"/>
                <w:sz w:val="21"/>
                <w:szCs w:val="21"/>
                <w:lang w:val="en-US" w:eastAsia="zh-CN"/>
              </w:rPr>
              <w:t>0</w:t>
            </w:r>
            <w:r>
              <w:rPr>
                <w:rFonts w:hint="eastAsia"/>
                <w:sz w:val="21"/>
                <w:szCs w:val="21"/>
                <w:lang w:val="en-US" w:eastAsia="zh-CN"/>
              </w:rPr>
              <w:t>.2</w:t>
            </w:r>
            <w:r>
              <w:rPr>
                <w:rFonts w:hint="default"/>
                <w:sz w:val="21"/>
                <w:szCs w:val="21"/>
                <w:lang w:val="en-US" w:eastAsia="zh-CN"/>
              </w:rPr>
              <w:t>5</w:t>
            </w:r>
          </w:p>
        </w:tc>
        <w:tc>
          <w:tcPr>
            <w:tcW w:w="1168" w:type="dxa"/>
            <w:shd w:val="clear" w:color="auto" w:fill="auto"/>
            <w:vAlign w:val="center"/>
          </w:tcPr>
          <w:p w14:paraId="3E5BCC59">
            <w:pPr>
              <w:spacing w:line="240" w:lineRule="auto"/>
              <w:jc w:val="center"/>
              <w:rPr>
                <w:rFonts w:ascii="Times New Roman" w:hAnsi="Times New Roman" w:eastAsia="仿宋" w:cs="Times New Roman"/>
                <w:kern w:val="2"/>
                <w:sz w:val="21"/>
                <w:szCs w:val="21"/>
                <w:lang w:val="en-US" w:eastAsia="zh-CN" w:bidi="ar-SA"/>
              </w:rPr>
            </w:pPr>
            <w:r>
              <w:rPr>
                <w:rFonts w:hint="eastAsia"/>
                <w:sz w:val="21"/>
                <w:szCs w:val="21"/>
                <w:lang w:val="en-US" w:eastAsia="zh-CN"/>
              </w:rPr>
              <w:t>+</w:t>
            </w:r>
            <w:r>
              <w:rPr>
                <w:rFonts w:hint="default"/>
                <w:sz w:val="21"/>
                <w:szCs w:val="21"/>
                <w:lang w:val="en-US" w:eastAsia="zh-CN"/>
              </w:rPr>
              <w:t>0.</w:t>
            </w:r>
            <w:r>
              <w:rPr>
                <w:rFonts w:hint="eastAsia"/>
                <w:sz w:val="21"/>
                <w:szCs w:val="21"/>
                <w:lang w:val="en-US" w:eastAsia="zh-CN"/>
              </w:rPr>
              <w:t>2</w:t>
            </w:r>
            <w:r>
              <w:rPr>
                <w:rFonts w:hint="default"/>
                <w:sz w:val="21"/>
                <w:szCs w:val="21"/>
                <w:lang w:val="en-US" w:eastAsia="zh-CN"/>
              </w:rPr>
              <w:t>5</w:t>
            </w:r>
          </w:p>
        </w:tc>
      </w:tr>
      <w:tr w14:paraId="32832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5EDB5F42">
            <w:pPr>
              <w:pStyle w:val="44"/>
              <w:spacing w:before="24" w:after="24" w:line="240" w:lineRule="auto"/>
              <w:rPr>
                <w:rFonts w:ascii="Times New Roman"/>
                <w:snapToGrid w:val="0"/>
                <w:kern w:val="21"/>
                <w:sz w:val="21"/>
                <w:szCs w:val="21"/>
              </w:rPr>
            </w:pPr>
          </w:p>
        </w:tc>
        <w:tc>
          <w:tcPr>
            <w:tcW w:w="2671" w:type="dxa"/>
            <w:vAlign w:val="center"/>
          </w:tcPr>
          <w:p w14:paraId="40FC0222">
            <w:pPr>
              <w:pStyle w:val="44"/>
              <w:spacing w:before="24" w:after="24" w:line="240" w:lineRule="auto"/>
              <w:rPr>
                <w:rFonts w:hint="eastAsia" w:ascii="Times New Roman"/>
                <w:snapToGrid w:val="0"/>
                <w:kern w:val="21"/>
                <w:sz w:val="21"/>
                <w:szCs w:val="21"/>
                <w:lang w:val="en-US" w:eastAsia="zh-CN"/>
              </w:rPr>
            </w:pPr>
            <w:r>
              <w:rPr>
                <w:rFonts w:hint="eastAsia" w:ascii="Times New Roman"/>
                <w:snapToGrid w:val="0"/>
                <w:kern w:val="21"/>
                <w:sz w:val="21"/>
                <w:szCs w:val="21"/>
                <w:lang w:val="en-US" w:eastAsia="zh-CN"/>
              </w:rPr>
              <w:t>废活性炭</w:t>
            </w:r>
            <w:r>
              <w:rPr>
                <w:rFonts w:ascii="Times New Roman"/>
                <w:snapToGrid w:val="0"/>
                <w:kern w:val="21"/>
                <w:sz w:val="21"/>
                <w:szCs w:val="21"/>
              </w:rPr>
              <w:t>（吨/年）</w:t>
            </w:r>
          </w:p>
        </w:tc>
        <w:tc>
          <w:tcPr>
            <w:tcW w:w="1350" w:type="dxa"/>
            <w:vAlign w:val="center"/>
          </w:tcPr>
          <w:p w14:paraId="1BC526C1">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749DE994">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7BC6A698">
            <w:pPr>
              <w:spacing w:line="240" w:lineRule="auto"/>
              <w:jc w:val="center"/>
              <w:rPr>
                <w:sz w:val="21"/>
                <w:szCs w:val="21"/>
              </w:rPr>
            </w:pPr>
            <w:r>
              <w:rPr>
                <w:rFonts w:hint="eastAsia"/>
                <w:sz w:val="21"/>
                <w:szCs w:val="21"/>
                <w:lang w:val="en-US" w:eastAsia="zh-CN"/>
              </w:rPr>
              <w:t>0</w:t>
            </w:r>
          </w:p>
        </w:tc>
        <w:tc>
          <w:tcPr>
            <w:tcW w:w="1380" w:type="dxa"/>
            <w:vAlign w:val="center"/>
          </w:tcPr>
          <w:p w14:paraId="3838831D">
            <w:pPr>
              <w:spacing w:line="240" w:lineRule="auto"/>
              <w:jc w:val="center"/>
              <w:rPr>
                <w:rFonts w:hint="eastAsia"/>
                <w:sz w:val="21"/>
                <w:szCs w:val="21"/>
                <w:lang w:val="en-US" w:eastAsia="zh-CN"/>
              </w:rPr>
            </w:pPr>
            <w:r>
              <w:rPr>
                <w:rFonts w:hint="eastAsia"/>
                <w:sz w:val="21"/>
                <w:szCs w:val="21"/>
                <w:lang w:val="en-US" w:eastAsia="zh-CN"/>
              </w:rPr>
              <w:t>14.93</w:t>
            </w:r>
          </w:p>
        </w:tc>
        <w:tc>
          <w:tcPr>
            <w:tcW w:w="1335" w:type="dxa"/>
            <w:vAlign w:val="center"/>
          </w:tcPr>
          <w:p w14:paraId="353E1C45">
            <w:pPr>
              <w:spacing w:line="240" w:lineRule="auto"/>
              <w:jc w:val="center"/>
              <w:rPr>
                <w:rFonts w:hint="eastAsia"/>
                <w:sz w:val="21"/>
                <w:szCs w:val="21"/>
              </w:rPr>
            </w:pPr>
            <w:r>
              <w:rPr>
                <w:rFonts w:hint="eastAsia"/>
                <w:sz w:val="21"/>
                <w:szCs w:val="21"/>
              </w:rPr>
              <w:t>0</w:t>
            </w:r>
          </w:p>
        </w:tc>
        <w:tc>
          <w:tcPr>
            <w:tcW w:w="1560" w:type="dxa"/>
            <w:shd w:val="clear" w:color="auto" w:fill="auto"/>
            <w:vAlign w:val="center"/>
          </w:tcPr>
          <w:p w14:paraId="764C7999">
            <w:pPr>
              <w:spacing w:line="240" w:lineRule="auto"/>
              <w:jc w:val="center"/>
              <w:rPr>
                <w:rFonts w:hint="eastAsia"/>
                <w:sz w:val="21"/>
                <w:szCs w:val="21"/>
                <w:lang w:val="en-US" w:eastAsia="zh-CN"/>
              </w:rPr>
            </w:pPr>
            <w:r>
              <w:rPr>
                <w:rFonts w:hint="eastAsia"/>
                <w:sz w:val="21"/>
                <w:szCs w:val="21"/>
                <w:lang w:val="en-US" w:eastAsia="zh-CN"/>
              </w:rPr>
              <w:t>14.93</w:t>
            </w:r>
          </w:p>
        </w:tc>
        <w:tc>
          <w:tcPr>
            <w:tcW w:w="1168" w:type="dxa"/>
            <w:shd w:val="clear" w:color="auto" w:fill="auto"/>
            <w:vAlign w:val="center"/>
          </w:tcPr>
          <w:p w14:paraId="033B37A3">
            <w:pPr>
              <w:spacing w:line="240" w:lineRule="auto"/>
              <w:jc w:val="center"/>
              <w:rPr>
                <w:rFonts w:hint="eastAsia" w:ascii="Times New Roman" w:hAnsi="Times New Roman" w:cs="Times New Roman"/>
                <w:sz w:val="21"/>
                <w:szCs w:val="21"/>
                <w:lang w:val="en-US" w:eastAsia="zh-CN"/>
              </w:rPr>
            </w:pPr>
            <w:r>
              <w:rPr>
                <w:rFonts w:hint="eastAsia"/>
                <w:sz w:val="21"/>
                <w:szCs w:val="21"/>
                <w:lang w:val="en-US" w:eastAsia="zh-CN"/>
              </w:rPr>
              <w:t>+14.93</w:t>
            </w:r>
          </w:p>
        </w:tc>
      </w:tr>
      <w:tr w14:paraId="48F4F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00D795AC">
            <w:pPr>
              <w:pStyle w:val="44"/>
              <w:spacing w:before="24" w:after="24" w:line="240" w:lineRule="auto"/>
              <w:rPr>
                <w:rFonts w:ascii="Times New Roman"/>
                <w:snapToGrid w:val="0"/>
                <w:kern w:val="21"/>
                <w:sz w:val="21"/>
                <w:szCs w:val="21"/>
              </w:rPr>
            </w:pPr>
          </w:p>
        </w:tc>
        <w:tc>
          <w:tcPr>
            <w:tcW w:w="2671" w:type="dxa"/>
            <w:vAlign w:val="center"/>
          </w:tcPr>
          <w:p w14:paraId="3DF4D950">
            <w:pPr>
              <w:pStyle w:val="44"/>
              <w:spacing w:before="24" w:after="24" w:line="240" w:lineRule="auto"/>
              <w:rPr>
                <w:rFonts w:hint="default" w:ascii="Times New Roman"/>
                <w:snapToGrid w:val="0"/>
                <w:kern w:val="21"/>
                <w:sz w:val="21"/>
                <w:szCs w:val="21"/>
                <w:lang w:val="en-US" w:eastAsia="zh-CN"/>
              </w:rPr>
            </w:pPr>
            <w:r>
              <w:rPr>
                <w:rFonts w:hint="eastAsia" w:ascii="Times New Roman"/>
                <w:snapToGrid w:val="0"/>
                <w:kern w:val="21"/>
                <w:sz w:val="21"/>
                <w:szCs w:val="21"/>
                <w:lang w:val="en-US" w:eastAsia="zh-CN"/>
              </w:rPr>
              <w:t>废脱模剂（</w:t>
            </w:r>
            <w:r>
              <w:rPr>
                <w:rFonts w:ascii="Times New Roman"/>
                <w:snapToGrid w:val="0"/>
                <w:kern w:val="21"/>
                <w:sz w:val="21"/>
                <w:szCs w:val="21"/>
              </w:rPr>
              <w:t>吨/年</w:t>
            </w:r>
            <w:r>
              <w:rPr>
                <w:rFonts w:hint="eastAsia" w:ascii="Times New Roman"/>
                <w:snapToGrid w:val="0"/>
                <w:kern w:val="21"/>
                <w:sz w:val="21"/>
                <w:szCs w:val="21"/>
                <w:lang w:val="en-US" w:eastAsia="zh-CN"/>
              </w:rPr>
              <w:t>）</w:t>
            </w:r>
          </w:p>
        </w:tc>
        <w:tc>
          <w:tcPr>
            <w:tcW w:w="1350" w:type="dxa"/>
            <w:shd w:val="clear" w:color="auto" w:fill="auto"/>
            <w:vAlign w:val="center"/>
          </w:tcPr>
          <w:p w14:paraId="3E4313AC">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w:t>
            </w:r>
          </w:p>
        </w:tc>
        <w:tc>
          <w:tcPr>
            <w:tcW w:w="1500" w:type="dxa"/>
            <w:shd w:val="clear" w:color="auto" w:fill="auto"/>
            <w:vAlign w:val="center"/>
          </w:tcPr>
          <w:p w14:paraId="5D3C1638">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w:t>
            </w:r>
          </w:p>
        </w:tc>
        <w:tc>
          <w:tcPr>
            <w:tcW w:w="1575" w:type="dxa"/>
            <w:shd w:val="clear" w:color="auto" w:fill="auto"/>
            <w:vAlign w:val="center"/>
          </w:tcPr>
          <w:p w14:paraId="5F7B6E6E">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0</w:t>
            </w:r>
          </w:p>
        </w:tc>
        <w:tc>
          <w:tcPr>
            <w:tcW w:w="1380" w:type="dxa"/>
            <w:vAlign w:val="center"/>
          </w:tcPr>
          <w:p w14:paraId="46269627">
            <w:pPr>
              <w:spacing w:line="240" w:lineRule="auto"/>
              <w:jc w:val="center"/>
              <w:rPr>
                <w:rFonts w:hint="default"/>
                <w:sz w:val="21"/>
                <w:szCs w:val="21"/>
                <w:lang w:val="en-US" w:eastAsia="zh-CN"/>
              </w:rPr>
            </w:pPr>
            <w:r>
              <w:rPr>
                <w:rFonts w:hint="eastAsia"/>
                <w:sz w:val="21"/>
                <w:szCs w:val="21"/>
                <w:lang w:val="en-US" w:eastAsia="zh-CN"/>
              </w:rPr>
              <w:t>0.3</w:t>
            </w:r>
          </w:p>
        </w:tc>
        <w:tc>
          <w:tcPr>
            <w:tcW w:w="1335" w:type="dxa"/>
            <w:vAlign w:val="center"/>
          </w:tcPr>
          <w:p w14:paraId="251EB816">
            <w:pPr>
              <w:spacing w:line="240" w:lineRule="auto"/>
              <w:jc w:val="center"/>
              <w:rPr>
                <w:rFonts w:hint="eastAsia"/>
                <w:sz w:val="21"/>
                <w:szCs w:val="21"/>
              </w:rPr>
            </w:pPr>
            <w:r>
              <w:rPr>
                <w:rFonts w:hint="eastAsia"/>
                <w:sz w:val="21"/>
                <w:szCs w:val="21"/>
              </w:rPr>
              <w:t>0</w:t>
            </w:r>
          </w:p>
        </w:tc>
        <w:tc>
          <w:tcPr>
            <w:tcW w:w="1560" w:type="dxa"/>
            <w:shd w:val="clear" w:color="auto" w:fill="auto"/>
            <w:vAlign w:val="center"/>
          </w:tcPr>
          <w:p w14:paraId="7BC72C51">
            <w:pPr>
              <w:spacing w:line="240" w:lineRule="auto"/>
              <w:jc w:val="center"/>
              <w:rPr>
                <w:rFonts w:hint="eastAsia"/>
                <w:sz w:val="21"/>
                <w:szCs w:val="21"/>
                <w:lang w:val="en-US" w:eastAsia="zh-CN"/>
              </w:rPr>
            </w:pPr>
            <w:r>
              <w:rPr>
                <w:rFonts w:hint="eastAsia"/>
                <w:sz w:val="21"/>
                <w:szCs w:val="21"/>
                <w:lang w:val="en-US" w:eastAsia="zh-CN"/>
              </w:rPr>
              <w:t>0.3</w:t>
            </w:r>
          </w:p>
        </w:tc>
        <w:tc>
          <w:tcPr>
            <w:tcW w:w="1168" w:type="dxa"/>
            <w:shd w:val="clear" w:color="auto" w:fill="auto"/>
            <w:vAlign w:val="center"/>
          </w:tcPr>
          <w:p w14:paraId="06DB027D">
            <w:pPr>
              <w:spacing w:line="240" w:lineRule="auto"/>
              <w:jc w:val="center"/>
              <w:rPr>
                <w:rFonts w:hint="eastAsia"/>
                <w:sz w:val="21"/>
                <w:szCs w:val="21"/>
                <w:lang w:val="en-US" w:eastAsia="zh-CN"/>
              </w:rPr>
            </w:pPr>
            <w:r>
              <w:rPr>
                <w:rFonts w:hint="eastAsia"/>
                <w:sz w:val="21"/>
                <w:szCs w:val="21"/>
                <w:lang w:val="en-US" w:eastAsia="zh-CN"/>
              </w:rPr>
              <w:t>+0.3</w:t>
            </w:r>
          </w:p>
        </w:tc>
      </w:tr>
      <w:tr w14:paraId="4E816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501FE8F2">
            <w:pPr>
              <w:pStyle w:val="44"/>
              <w:spacing w:before="24" w:after="24" w:line="240" w:lineRule="auto"/>
              <w:rPr>
                <w:rFonts w:ascii="Times New Roman"/>
                <w:snapToGrid w:val="0"/>
                <w:kern w:val="21"/>
                <w:sz w:val="21"/>
                <w:szCs w:val="21"/>
              </w:rPr>
            </w:pPr>
          </w:p>
        </w:tc>
        <w:tc>
          <w:tcPr>
            <w:tcW w:w="2671" w:type="dxa"/>
            <w:vAlign w:val="center"/>
          </w:tcPr>
          <w:p w14:paraId="28689623">
            <w:pPr>
              <w:pStyle w:val="44"/>
              <w:spacing w:before="24" w:after="24" w:line="240" w:lineRule="auto"/>
              <w:rPr>
                <w:rFonts w:hint="eastAsia" w:ascii="Times New Roman"/>
                <w:snapToGrid w:val="0"/>
                <w:kern w:val="21"/>
                <w:sz w:val="21"/>
                <w:szCs w:val="21"/>
                <w:lang w:val="en-US" w:eastAsia="zh-CN"/>
              </w:rPr>
            </w:pPr>
            <w:r>
              <w:rPr>
                <w:rFonts w:hint="eastAsia" w:ascii="Times New Roman"/>
                <w:snapToGrid w:val="0"/>
                <w:kern w:val="21"/>
                <w:sz w:val="21"/>
                <w:szCs w:val="21"/>
                <w:lang w:val="en-US" w:eastAsia="zh-CN"/>
              </w:rPr>
              <w:t>喷淋废液</w:t>
            </w:r>
            <w:r>
              <w:rPr>
                <w:rFonts w:ascii="Times New Roman"/>
                <w:snapToGrid w:val="0"/>
                <w:kern w:val="21"/>
                <w:sz w:val="21"/>
                <w:szCs w:val="21"/>
              </w:rPr>
              <w:t>（吨/年）</w:t>
            </w:r>
          </w:p>
        </w:tc>
        <w:tc>
          <w:tcPr>
            <w:tcW w:w="1350" w:type="dxa"/>
            <w:vAlign w:val="center"/>
          </w:tcPr>
          <w:p w14:paraId="6CF94D8D">
            <w:pPr>
              <w:spacing w:line="240" w:lineRule="auto"/>
              <w:jc w:val="center"/>
              <w:rPr>
                <w:rFonts w:ascii="Times New Roman"/>
                <w:snapToGrid w:val="0"/>
                <w:kern w:val="21"/>
                <w:sz w:val="21"/>
                <w:szCs w:val="21"/>
              </w:rPr>
            </w:pPr>
            <w:r>
              <w:rPr>
                <w:rFonts w:hint="eastAsia"/>
                <w:sz w:val="21"/>
                <w:szCs w:val="21"/>
                <w:lang w:val="en-US" w:eastAsia="zh-CN"/>
              </w:rPr>
              <w:t>0</w:t>
            </w:r>
          </w:p>
        </w:tc>
        <w:tc>
          <w:tcPr>
            <w:tcW w:w="1500" w:type="dxa"/>
            <w:vAlign w:val="center"/>
          </w:tcPr>
          <w:p w14:paraId="6795FECD">
            <w:pPr>
              <w:spacing w:line="240" w:lineRule="auto"/>
              <w:jc w:val="center"/>
              <w:rPr>
                <w:rFonts w:ascii="Times New Roman"/>
                <w:snapToGrid w:val="0"/>
                <w:kern w:val="21"/>
                <w:sz w:val="21"/>
                <w:szCs w:val="21"/>
              </w:rPr>
            </w:pPr>
            <w:r>
              <w:rPr>
                <w:rFonts w:hint="eastAsia"/>
                <w:sz w:val="21"/>
                <w:szCs w:val="21"/>
                <w:lang w:val="en-US" w:eastAsia="zh-CN"/>
              </w:rPr>
              <w:t>0</w:t>
            </w:r>
          </w:p>
        </w:tc>
        <w:tc>
          <w:tcPr>
            <w:tcW w:w="1575" w:type="dxa"/>
            <w:vAlign w:val="center"/>
          </w:tcPr>
          <w:p w14:paraId="7BC80A22">
            <w:pPr>
              <w:spacing w:line="240" w:lineRule="auto"/>
              <w:jc w:val="center"/>
              <w:rPr>
                <w:sz w:val="21"/>
                <w:szCs w:val="21"/>
              </w:rPr>
            </w:pPr>
            <w:r>
              <w:rPr>
                <w:sz w:val="21"/>
                <w:szCs w:val="21"/>
              </w:rPr>
              <w:t>0</w:t>
            </w:r>
          </w:p>
        </w:tc>
        <w:tc>
          <w:tcPr>
            <w:tcW w:w="1380" w:type="dxa"/>
            <w:vAlign w:val="center"/>
          </w:tcPr>
          <w:p w14:paraId="716A1BE5">
            <w:pPr>
              <w:spacing w:line="240" w:lineRule="auto"/>
              <w:jc w:val="center"/>
              <w:rPr>
                <w:rFonts w:hint="eastAsia"/>
                <w:sz w:val="21"/>
                <w:szCs w:val="21"/>
                <w:lang w:val="en-US" w:eastAsia="zh-CN"/>
              </w:rPr>
            </w:pPr>
            <w:r>
              <w:rPr>
                <w:rFonts w:hint="eastAsia"/>
                <w:sz w:val="21"/>
                <w:szCs w:val="21"/>
                <w:lang w:val="en-US" w:eastAsia="zh-CN"/>
              </w:rPr>
              <w:t>2</w:t>
            </w:r>
          </w:p>
        </w:tc>
        <w:tc>
          <w:tcPr>
            <w:tcW w:w="1335" w:type="dxa"/>
            <w:vAlign w:val="center"/>
          </w:tcPr>
          <w:p w14:paraId="55F1FDAC">
            <w:pPr>
              <w:spacing w:line="240" w:lineRule="auto"/>
              <w:jc w:val="center"/>
              <w:rPr>
                <w:sz w:val="21"/>
                <w:szCs w:val="21"/>
              </w:rPr>
            </w:pPr>
            <w:r>
              <w:rPr>
                <w:rFonts w:hint="eastAsia"/>
                <w:sz w:val="21"/>
                <w:szCs w:val="21"/>
              </w:rPr>
              <w:t>0</w:t>
            </w:r>
          </w:p>
        </w:tc>
        <w:tc>
          <w:tcPr>
            <w:tcW w:w="1560" w:type="dxa"/>
            <w:shd w:val="clear" w:color="auto" w:fill="auto"/>
            <w:vAlign w:val="center"/>
          </w:tcPr>
          <w:p w14:paraId="187AA242">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2</w:t>
            </w:r>
          </w:p>
        </w:tc>
        <w:tc>
          <w:tcPr>
            <w:tcW w:w="1168" w:type="dxa"/>
            <w:shd w:val="clear" w:color="auto" w:fill="auto"/>
            <w:vAlign w:val="center"/>
          </w:tcPr>
          <w:p w14:paraId="112B317E">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lang w:val="en-US" w:eastAsia="zh-CN"/>
              </w:rPr>
              <w:t>+2</w:t>
            </w:r>
          </w:p>
        </w:tc>
      </w:tr>
      <w:tr w14:paraId="22C81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2AFC1E07">
            <w:pPr>
              <w:pStyle w:val="44"/>
              <w:spacing w:before="24" w:after="24" w:line="240" w:lineRule="auto"/>
              <w:rPr>
                <w:rFonts w:ascii="Times New Roman"/>
                <w:snapToGrid w:val="0"/>
                <w:kern w:val="21"/>
                <w:sz w:val="21"/>
                <w:szCs w:val="21"/>
              </w:rPr>
            </w:pPr>
          </w:p>
        </w:tc>
        <w:tc>
          <w:tcPr>
            <w:tcW w:w="2671" w:type="dxa"/>
            <w:vAlign w:val="center"/>
          </w:tcPr>
          <w:p w14:paraId="1C7913B8">
            <w:pPr>
              <w:pStyle w:val="44"/>
              <w:spacing w:before="24" w:after="24" w:line="240" w:lineRule="auto"/>
              <w:rPr>
                <w:rFonts w:hint="eastAsia" w:ascii="Times New Roman"/>
                <w:snapToGrid w:val="0"/>
                <w:kern w:val="21"/>
                <w:sz w:val="21"/>
                <w:szCs w:val="21"/>
                <w:lang w:val="en-US" w:eastAsia="zh-CN"/>
              </w:rPr>
            </w:pPr>
            <w:r>
              <w:rPr>
                <w:rFonts w:hint="eastAsia" w:ascii="Times New Roman"/>
                <w:snapToGrid w:val="0"/>
                <w:kern w:val="21"/>
                <w:sz w:val="21"/>
                <w:szCs w:val="21"/>
                <w:lang w:val="en-US" w:eastAsia="zh-CN"/>
              </w:rPr>
              <w:t>废机油</w:t>
            </w:r>
            <w:r>
              <w:rPr>
                <w:rFonts w:ascii="Times New Roman"/>
                <w:snapToGrid w:val="0"/>
                <w:kern w:val="21"/>
                <w:sz w:val="21"/>
                <w:szCs w:val="21"/>
              </w:rPr>
              <w:t>（吨/年）</w:t>
            </w:r>
          </w:p>
        </w:tc>
        <w:tc>
          <w:tcPr>
            <w:tcW w:w="1350" w:type="dxa"/>
            <w:vAlign w:val="center"/>
          </w:tcPr>
          <w:p w14:paraId="291B19E9">
            <w:pPr>
              <w:spacing w:line="240" w:lineRule="auto"/>
              <w:jc w:val="center"/>
              <w:rPr>
                <w:rFonts w:hint="eastAsia"/>
                <w:sz w:val="21"/>
                <w:szCs w:val="21"/>
                <w:lang w:val="en-US" w:eastAsia="zh-CN"/>
              </w:rPr>
            </w:pPr>
            <w:r>
              <w:rPr>
                <w:rFonts w:hint="eastAsia"/>
                <w:sz w:val="21"/>
                <w:szCs w:val="21"/>
                <w:lang w:val="en-US" w:eastAsia="zh-CN"/>
              </w:rPr>
              <w:t>0</w:t>
            </w:r>
          </w:p>
        </w:tc>
        <w:tc>
          <w:tcPr>
            <w:tcW w:w="1500" w:type="dxa"/>
            <w:vAlign w:val="center"/>
          </w:tcPr>
          <w:p w14:paraId="5E5D924B">
            <w:pPr>
              <w:spacing w:line="240" w:lineRule="auto"/>
              <w:jc w:val="center"/>
              <w:rPr>
                <w:rFonts w:hint="eastAsia"/>
                <w:sz w:val="21"/>
                <w:szCs w:val="21"/>
                <w:lang w:val="en-US" w:eastAsia="zh-CN"/>
              </w:rPr>
            </w:pPr>
            <w:r>
              <w:rPr>
                <w:rFonts w:hint="eastAsia"/>
                <w:sz w:val="21"/>
                <w:szCs w:val="21"/>
                <w:lang w:val="en-US" w:eastAsia="zh-CN"/>
              </w:rPr>
              <w:t>0</w:t>
            </w:r>
          </w:p>
        </w:tc>
        <w:tc>
          <w:tcPr>
            <w:tcW w:w="1575" w:type="dxa"/>
            <w:vAlign w:val="center"/>
          </w:tcPr>
          <w:p w14:paraId="3F4AD9A6">
            <w:pPr>
              <w:spacing w:line="240" w:lineRule="auto"/>
              <w:jc w:val="center"/>
              <w:rPr>
                <w:sz w:val="21"/>
                <w:szCs w:val="21"/>
              </w:rPr>
            </w:pPr>
            <w:r>
              <w:rPr>
                <w:rFonts w:hint="eastAsia"/>
                <w:sz w:val="21"/>
                <w:szCs w:val="21"/>
                <w:lang w:val="en-US" w:eastAsia="zh-CN"/>
              </w:rPr>
              <w:t>0</w:t>
            </w:r>
          </w:p>
        </w:tc>
        <w:tc>
          <w:tcPr>
            <w:tcW w:w="1380" w:type="dxa"/>
            <w:vAlign w:val="center"/>
          </w:tcPr>
          <w:p w14:paraId="41FE6F8B">
            <w:pPr>
              <w:spacing w:line="240" w:lineRule="auto"/>
              <w:jc w:val="center"/>
              <w:rPr>
                <w:rFonts w:hint="eastAsia"/>
                <w:sz w:val="21"/>
                <w:szCs w:val="21"/>
                <w:lang w:val="en-US" w:eastAsia="zh-CN"/>
              </w:rPr>
            </w:pPr>
            <w:r>
              <w:rPr>
                <w:rFonts w:hint="default"/>
                <w:sz w:val="21"/>
                <w:szCs w:val="21"/>
                <w:lang w:val="en-US" w:eastAsia="zh-CN"/>
              </w:rPr>
              <w:t>0.5</w:t>
            </w:r>
          </w:p>
        </w:tc>
        <w:tc>
          <w:tcPr>
            <w:tcW w:w="1335" w:type="dxa"/>
            <w:vAlign w:val="center"/>
          </w:tcPr>
          <w:p w14:paraId="651F7737">
            <w:pPr>
              <w:spacing w:line="240" w:lineRule="auto"/>
              <w:jc w:val="center"/>
              <w:rPr>
                <w:rFonts w:hint="eastAsia"/>
                <w:sz w:val="21"/>
                <w:szCs w:val="21"/>
              </w:rPr>
            </w:pPr>
            <w:r>
              <w:rPr>
                <w:rFonts w:hint="eastAsia"/>
                <w:sz w:val="21"/>
                <w:szCs w:val="21"/>
              </w:rPr>
              <w:t>0</w:t>
            </w:r>
          </w:p>
        </w:tc>
        <w:tc>
          <w:tcPr>
            <w:tcW w:w="1560" w:type="dxa"/>
            <w:shd w:val="clear" w:color="auto" w:fill="auto"/>
            <w:vAlign w:val="center"/>
          </w:tcPr>
          <w:p w14:paraId="7C4F874A">
            <w:pPr>
              <w:spacing w:line="240" w:lineRule="auto"/>
              <w:jc w:val="center"/>
              <w:rPr>
                <w:rFonts w:hint="eastAsia"/>
                <w:sz w:val="21"/>
                <w:szCs w:val="21"/>
                <w:lang w:val="en-US" w:eastAsia="zh-CN"/>
              </w:rPr>
            </w:pPr>
            <w:r>
              <w:rPr>
                <w:rFonts w:hint="default"/>
                <w:sz w:val="21"/>
                <w:szCs w:val="21"/>
                <w:lang w:val="en-US" w:eastAsia="zh-CN"/>
              </w:rPr>
              <w:t>0.5</w:t>
            </w:r>
          </w:p>
        </w:tc>
        <w:tc>
          <w:tcPr>
            <w:tcW w:w="1168" w:type="dxa"/>
            <w:shd w:val="clear" w:color="auto" w:fill="auto"/>
            <w:vAlign w:val="center"/>
          </w:tcPr>
          <w:p w14:paraId="1F80D440">
            <w:pPr>
              <w:spacing w:line="240" w:lineRule="auto"/>
              <w:jc w:val="center"/>
              <w:rPr>
                <w:rFonts w:hint="eastAsia" w:ascii="Times New Roman" w:hAnsi="Times New Roman" w:cs="Times New Roman"/>
                <w:sz w:val="21"/>
                <w:szCs w:val="21"/>
                <w:lang w:val="en-US" w:eastAsia="zh-CN"/>
              </w:rPr>
            </w:pPr>
            <w:r>
              <w:rPr>
                <w:rFonts w:hint="eastAsia"/>
                <w:sz w:val="21"/>
                <w:szCs w:val="21"/>
                <w:lang w:val="en-US" w:eastAsia="zh-CN"/>
              </w:rPr>
              <w:t>+</w:t>
            </w:r>
            <w:r>
              <w:rPr>
                <w:rFonts w:hint="default"/>
                <w:sz w:val="21"/>
                <w:szCs w:val="21"/>
                <w:lang w:val="en-US" w:eastAsia="zh-CN"/>
              </w:rPr>
              <w:t>0.5</w:t>
            </w:r>
          </w:p>
        </w:tc>
      </w:tr>
      <w:tr w14:paraId="0EA5D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9" w:type="dxa"/>
            <w:vMerge w:val="continue"/>
            <w:vAlign w:val="center"/>
          </w:tcPr>
          <w:p w14:paraId="35BE3D04">
            <w:pPr>
              <w:pStyle w:val="44"/>
              <w:spacing w:before="24" w:after="24" w:line="240" w:lineRule="auto"/>
              <w:rPr>
                <w:rFonts w:ascii="Times New Roman"/>
                <w:snapToGrid w:val="0"/>
                <w:kern w:val="21"/>
                <w:sz w:val="21"/>
                <w:szCs w:val="21"/>
              </w:rPr>
            </w:pPr>
          </w:p>
        </w:tc>
        <w:tc>
          <w:tcPr>
            <w:tcW w:w="2671" w:type="dxa"/>
            <w:vAlign w:val="center"/>
          </w:tcPr>
          <w:p w14:paraId="0F664334">
            <w:pPr>
              <w:pStyle w:val="44"/>
              <w:spacing w:before="24" w:after="24" w:line="240" w:lineRule="auto"/>
              <w:rPr>
                <w:rFonts w:ascii="Times New Roman"/>
                <w:snapToGrid w:val="0"/>
                <w:kern w:val="21"/>
                <w:sz w:val="21"/>
                <w:szCs w:val="21"/>
              </w:rPr>
            </w:pPr>
            <w:r>
              <w:rPr>
                <w:rFonts w:ascii="Times New Roman"/>
                <w:snapToGrid w:val="0"/>
                <w:kern w:val="21"/>
                <w:sz w:val="21"/>
                <w:szCs w:val="21"/>
              </w:rPr>
              <w:t>废弃的含油抹布、劳保用品（吨/年）</w:t>
            </w:r>
          </w:p>
        </w:tc>
        <w:tc>
          <w:tcPr>
            <w:tcW w:w="1350" w:type="dxa"/>
            <w:vAlign w:val="center"/>
          </w:tcPr>
          <w:p w14:paraId="39FD32AC">
            <w:pPr>
              <w:spacing w:line="240" w:lineRule="auto"/>
              <w:jc w:val="center"/>
              <w:rPr>
                <w:rFonts w:ascii="Times New Roman"/>
                <w:snapToGrid w:val="0"/>
                <w:kern w:val="21"/>
                <w:sz w:val="21"/>
                <w:szCs w:val="21"/>
              </w:rPr>
            </w:pPr>
            <w:r>
              <w:rPr>
                <w:rFonts w:hint="eastAsia"/>
                <w:sz w:val="21"/>
                <w:szCs w:val="21"/>
                <w:lang w:val="en-US" w:eastAsia="zh-CN"/>
              </w:rPr>
              <w:t>0</w:t>
            </w:r>
          </w:p>
        </w:tc>
        <w:tc>
          <w:tcPr>
            <w:tcW w:w="1500" w:type="dxa"/>
            <w:vAlign w:val="center"/>
          </w:tcPr>
          <w:p w14:paraId="148AD971">
            <w:pPr>
              <w:spacing w:line="240" w:lineRule="auto"/>
              <w:jc w:val="center"/>
              <w:rPr>
                <w:rFonts w:ascii="Times New Roman"/>
                <w:snapToGrid w:val="0"/>
                <w:kern w:val="21"/>
                <w:sz w:val="21"/>
                <w:szCs w:val="21"/>
              </w:rPr>
            </w:pPr>
            <w:r>
              <w:rPr>
                <w:rFonts w:hint="eastAsia"/>
                <w:sz w:val="21"/>
                <w:szCs w:val="21"/>
                <w:lang w:val="en-US" w:eastAsia="zh-CN"/>
              </w:rPr>
              <w:t>0</w:t>
            </w:r>
          </w:p>
        </w:tc>
        <w:tc>
          <w:tcPr>
            <w:tcW w:w="1575" w:type="dxa"/>
            <w:vAlign w:val="center"/>
          </w:tcPr>
          <w:p w14:paraId="7E6D87BE">
            <w:pPr>
              <w:spacing w:line="240" w:lineRule="auto"/>
              <w:jc w:val="center"/>
              <w:rPr>
                <w:sz w:val="21"/>
                <w:szCs w:val="21"/>
              </w:rPr>
            </w:pPr>
            <w:r>
              <w:rPr>
                <w:sz w:val="21"/>
                <w:szCs w:val="21"/>
              </w:rPr>
              <w:t>0</w:t>
            </w:r>
          </w:p>
        </w:tc>
        <w:tc>
          <w:tcPr>
            <w:tcW w:w="1380" w:type="dxa"/>
            <w:vAlign w:val="center"/>
          </w:tcPr>
          <w:p w14:paraId="79A548DD">
            <w:pPr>
              <w:spacing w:line="240" w:lineRule="auto"/>
              <w:jc w:val="center"/>
              <w:rPr>
                <w:rFonts w:hint="eastAsia" w:eastAsia="仿宋"/>
                <w:sz w:val="21"/>
                <w:szCs w:val="21"/>
                <w:lang w:eastAsia="zh-CN"/>
              </w:rPr>
            </w:pPr>
            <w:r>
              <w:rPr>
                <w:rFonts w:hint="eastAsia"/>
                <w:sz w:val="21"/>
                <w:szCs w:val="21"/>
              </w:rPr>
              <w:t>0.</w:t>
            </w:r>
            <w:r>
              <w:rPr>
                <w:rFonts w:hint="eastAsia"/>
                <w:sz w:val="21"/>
                <w:szCs w:val="21"/>
                <w:lang w:val="en-US" w:eastAsia="zh-CN"/>
              </w:rPr>
              <w:t>1</w:t>
            </w:r>
          </w:p>
        </w:tc>
        <w:tc>
          <w:tcPr>
            <w:tcW w:w="1335" w:type="dxa"/>
            <w:vAlign w:val="center"/>
          </w:tcPr>
          <w:p w14:paraId="24D21A63">
            <w:pPr>
              <w:spacing w:line="240" w:lineRule="auto"/>
              <w:jc w:val="center"/>
              <w:rPr>
                <w:sz w:val="21"/>
                <w:szCs w:val="21"/>
              </w:rPr>
            </w:pPr>
            <w:r>
              <w:rPr>
                <w:rFonts w:hint="eastAsia"/>
                <w:sz w:val="21"/>
                <w:szCs w:val="21"/>
              </w:rPr>
              <w:t>0</w:t>
            </w:r>
          </w:p>
        </w:tc>
        <w:tc>
          <w:tcPr>
            <w:tcW w:w="1560" w:type="dxa"/>
            <w:shd w:val="clear" w:color="auto" w:fill="auto"/>
            <w:vAlign w:val="center"/>
          </w:tcPr>
          <w:p w14:paraId="4F0F4795">
            <w:pPr>
              <w:spacing w:line="240" w:lineRule="auto"/>
              <w:jc w:val="center"/>
              <w:rPr>
                <w:rFonts w:hint="eastAsia" w:ascii="Times New Roman" w:hAnsi="Times New Roman" w:eastAsia="仿宋" w:cs="Times New Roman"/>
                <w:kern w:val="2"/>
                <w:sz w:val="21"/>
                <w:szCs w:val="21"/>
                <w:lang w:val="en-US" w:eastAsia="zh-CN" w:bidi="ar-SA"/>
              </w:rPr>
            </w:pPr>
            <w:r>
              <w:rPr>
                <w:rFonts w:hint="eastAsia"/>
                <w:sz w:val="21"/>
                <w:szCs w:val="21"/>
              </w:rPr>
              <w:t>0.</w:t>
            </w:r>
            <w:r>
              <w:rPr>
                <w:rFonts w:hint="eastAsia"/>
                <w:sz w:val="21"/>
                <w:szCs w:val="21"/>
                <w:lang w:val="en-US" w:eastAsia="zh-CN"/>
              </w:rPr>
              <w:t>1</w:t>
            </w:r>
          </w:p>
        </w:tc>
        <w:tc>
          <w:tcPr>
            <w:tcW w:w="1168" w:type="dxa"/>
            <w:shd w:val="clear" w:color="auto" w:fill="auto"/>
            <w:vAlign w:val="center"/>
          </w:tcPr>
          <w:p w14:paraId="689778AE">
            <w:pPr>
              <w:spacing w:line="240" w:lineRule="auto"/>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cs="Times New Roman"/>
                <w:sz w:val="21"/>
                <w:szCs w:val="21"/>
                <w:lang w:val="en-US" w:eastAsia="zh-CN"/>
              </w:rPr>
              <w:t>+</w:t>
            </w:r>
            <w:r>
              <w:rPr>
                <w:rFonts w:hint="eastAsia"/>
                <w:sz w:val="21"/>
                <w:szCs w:val="21"/>
              </w:rPr>
              <w:t>0.</w:t>
            </w:r>
            <w:r>
              <w:rPr>
                <w:rFonts w:hint="eastAsia"/>
                <w:sz w:val="21"/>
                <w:szCs w:val="21"/>
                <w:lang w:val="en-US" w:eastAsia="zh-CN"/>
              </w:rPr>
              <w:t>1</w:t>
            </w:r>
          </w:p>
        </w:tc>
      </w:tr>
    </w:tbl>
    <w:p w14:paraId="176A2440">
      <w:pPr>
        <w:pStyle w:val="44"/>
        <w:spacing w:beforeLines="0" w:afterLines="0" w:line="240" w:lineRule="auto"/>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8" w:type="default"/>
      <w:pgSz w:w="16838" w:h="11906" w:orient="landscape"/>
      <w:pgMar w:top="1361" w:right="1701" w:bottom="136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A5C26">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14337">
    <w:pPr>
      <w:pStyle w:val="13"/>
      <w:framePr w:wrap="around" w:vAnchor="text" w:hAnchor="margin" w:xAlign="center" w:y="1"/>
      <w:rPr>
        <w:rStyle w:val="24"/>
      </w:rPr>
    </w:pPr>
    <w:r>
      <w:fldChar w:fldCharType="begin"/>
    </w:r>
    <w:r>
      <w:rPr>
        <w:rStyle w:val="24"/>
      </w:rPr>
      <w:instrText xml:space="preserve">PAGE  </w:instrText>
    </w:r>
    <w:r>
      <w:fldChar w:fldCharType="end"/>
    </w:r>
  </w:p>
  <w:p w14:paraId="57D76F34">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C7F9">
    <w:pPr>
      <w:pStyle w:val="13"/>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7A6C28">
                          <w:pPr>
                            <w:pStyle w:val="13"/>
                          </w:pPr>
                          <w:r>
                            <w:t>—</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75</w:t>
                          </w:r>
                          <w:r>
                            <w:rPr>
                              <w:sz w:val="21"/>
                              <w:szCs w:val="21"/>
                            </w:rPr>
                            <w:fldChar w:fldCharType="end"/>
                          </w:r>
                          <w:r>
                            <w:rPr>
                              <w:sz w:val="21"/>
                              <w:szCs w:val="21"/>
                            </w:rPr>
                            <w:t xml:space="preserve"> </w:t>
                          </w:r>
                          <w:r>
                            <w:t>—</w:t>
                          </w:r>
                        </w:p>
                      </w:txbxContent>
                    </wps:txbx>
                    <wps:bodyPr vert="horz" wrap="none" lIns="0" tIns="0" rIns="0" bIns="0" anchor="t" anchorCtr="0">
                      <a:spAutoFit/>
                    </wps:bodyPr>
                  </wps:wsp>
                </a:graphicData>
              </a:graphic>
            </wp:anchor>
          </w:drawing>
        </mc:Choice>
        <mc:Fallback>
          <w:pict>
            <v:shape id="文本框 205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HfskvzaAQAAtgMAAA4AAAAAAAAAAQAg&#10;AAAAHgEAAGRycy9lMm9Eb2MueG1sUEsFBgAAAAAGAAYAWQEAAGoFAAAAAA==&#10;">
              <v:fill on="f" focussize="0,0"/>
              <v:stroke on="f"/>
              <v:imagedata o:title=""/>
              <o:lock v:ext="edit" aspectratio="f"/>
              <v:textbox inset="0mm,0mm,0mm,0mm" style="mso-fit-shape-to-text:t;">
                <w:txbxContent>
                  <w:p w14:paraId="5D7A6C28">
                    <w:pPr>
                      <w:pStyle w:val="13"/>
                    </w:pPr>
                    <w:r>
                      <w:t>—</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75</w:t>
                    </w:r>
                    <w:r>
                      <w:rPr>
                        <w:sz w:val="21"/>
                        <w:szCs w:val="21"/>
                      </w:rPr>
                      <w:fldChar w:fldCharType="end"/>
                    </w:r>
                    <w:r>
                      <w:rPr>
                        <w:sz w:val="21"/>
                        <w:szCs w:val="21"/>
                      </w:rPr>
                      <w:t xml:space="preserve"> </w:t>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9901F">
    <w:pPr>
      <w:pStyle w:val="13"/>
      <w:ind w:right="360"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FD5383">
                          <w:pPr>
                            <w:pStyle w:val="13"/>
                          </w:pPr>
                          <w:r>
                            <w:t xml:space="preserve">— </w:t>
                          </w:r>
                          <w:r>
                            <w:fldChar w:fldCharType="begin"/>
                          </w:r>
                          <w:r>
                            <w:instrText xml:space="preserve"> PAGE  \* MERGEFORMAT </w:instrText>
                          </w:r>
                          <w:r>
                            <w:fldChar w:fldCharType="separate"/>
                          </w:r>
                          <w:r>
                            <w:t>100</w:t>
                          </w:r>
                          <w:r>
                            <w:fldChar w:fldCharType="end"/>
                          </w:r>
                          <w:r>
                            <w:t xml:space="preserve"> —</w:t>
                          </w:r>
                        </w:p>
                      </w:txbxContent>
                    </wps:txbx>
                    <wps:bodyPr vert="horz" wrap="none" lIns="0" tIns="0" rIns="0" bIns="0" anchor="t" anchorCtr="0">
                      <a:spAutoFit/>
                    </wps:bodyPr>
                  </wps:wsp>
                </a:graphicData>
              </a:graphic>
            </wp:anchor>
          </w:drawing>
        </mc:Choice>
        <mc:Fallback>
          <w:pict>
            <v:shape id="文本框 205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OM4UHLaAQAAtgMAAA4AAAAAAAAAAQAg&#10;AAAAHgEAAGRycy9lMm9Eb2MueG1sUEsFBgAAAAAGAAYAWQEAAGoFAAAAAA==&#10;">
              <v:fill on="f" focussize="0,0"/>
              <v:stroke on="f"/>
              <v:imagedata o:title=""/>
              <o:lock v:ext="edit" aspectratio="f"/>
              <v:textbox inset="0mm,0mm,0mm,0mm" style="mso-fit-shape-to-text:t;">
                <w:txbxContent>
                  <w:p w14:paraId="7AFD5383">
                    <w:pPr>
                      <w:pStyle w:val="13"/>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9F641"/>
    <w:multiLevelType w:val="singleLevel"/>
    <w:tmpl w:val="8559F641"/>
    <w:lvl w:ilvl="0" w:tentative="0">
      <w:start w:val="7"/>
      <w:numFmt w:val="decimal"/>
      <w:suff w:val="nothing"/>
      <w:lvlText w:val="%1、"/>
      <w:lvlJc w:val="left"/>
    </w:lvl>
  </w:abstractNum>
  <w:abstractNum w:abstractNumId="1">
    <w:nsid w:val="9B75C86F"/>
    <w:multiLevelType w:val="singleLevel"/>
    <w:tmpl w:val="9B75C86F"/>
    <w:lvl w:ilvl="0" w:tentative="0">
      <w:start w:val="1"/>
      <w:numFmt w:val="decimal"/>
      <w:suff w:val="nothing"/>
      <w:lvlText w:val="%1、"/>
      <w:lvlJc w:val="left"/>
    </w:lvl>
  </w:abstractNum>
  <w:abstractNum w:abstractNumId="2">
    <w:nsid w:val="A3385E0F"/>
    <w:multiLevelType w:val="singleLevel"/>
    <w:tmpl w:val="A3385E0F"/>
    <w:lvl w:ilvl="0" w:tentative="0">
      <w:start w:val="5"/>
      <w:numFmt w:val="decimal"/>
      <w:suff w:val="nothing"/>
      <w:lvlText w:val="%1、"/>
      <w:lvlJc w:val="left"/>
    </w:lvl>
  </w:abstractNum>
  <w:abstractNum w:abstractNumId="3">
    <w:nsid w:val="AA6A408B"/>
    <w:multiLevelType w:val="singleLevel"/>
    <w:tmpl w:val="AA6A408B"/>
    <w:lvl w:ilvl="0" w:tentative="0">
      <w:start w:val="1"/>
      <w:numFmt w:val="decimal"/>
      <w:suff w:val="nothing"/>
      <w:lvlText w:val="%1、"/>
      <w:lvlJc w:val="left"/>
    </w:lvl>
  </w:abstractNum>
  <w:abstractNum w:abstractNumId="4">
    <w:nsid w:val="E59DE677"/>
    <w:multiLevelType w:val="singleLevel"/>
    <w:tmpl w:val="E59DE677"/>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5">
    <w:nsid w:val="EE9604E9"/>
    <w:multiLevelType w:val="singleLevel"/>
    <w:tmpl w:val="EE9604E9"/>
    <w:lvl w:ilvl="0" w:tentative="0">
      <w:start w:val="1"/>
      <w:numFmt w:val="decimal"/>
      <w:suff w:val="nothing"/>
      <w:lvlText w:val="%1、"/>
      <w:lvlJc w:val="left"/>
    </w:lvl>
  </w:abstractNum>
  <w:abstractNum w:abstractNumId="6">
    <w:nsid w:val="097EA194"/>
    <w:multiLevelType w:val="singleLevel"/>
    <w:tmpl w:val="097EA194"/>
    <w:lvl w:ilvl="0" w:tentative="0">
      <w:start w:val="1"/>
      <w:numFmt w:val="decimal"/>
      <w:suff w:val="nothing"/>
      <w:lvlText w:val="%1、"/>
      <w:lvlJc w:val="left"/>
    </w:lvl>
  </w:abstractNum>
  <w:abstractNum w:abstractNumId="7">
    <w:nsid w:val="0F5FE782"/>
    <w:multiLevelType w:val="singleLevel"/>
    <w:tmpl w:val="0F5FE782"/>
    <w:lvl w:ilvl="0" w:tentative="0">
      <w:start w:val="1"/>
      <w:numFmt w:val="decimal"/>
      <w:lvlText w:val="%1."/>
      <w:lvlJc w:val="left"/>
      <w:pPr>
        <w:tabs>
          <w:tab w:val="left" w:pos="312"/>
        </w:tabs>
      </w:pPr>
    </w:lvl>
  </w:abstractNum>
  <w:abstractNum w:abstractNumId="8">
    <w:nsid w:val="12DDA442"/>
    <w:multiLevelType w:val="singleLevel"/>
    <w:tmpl w:val="12DDA442"/>
    <w:lvl w:ilvl="0" w:tentative="0">
      <w:start w:val="1"/>
      <w:numFmt w:val="decimal"/>
      <w:suff w:val="nothing"/>
      <w:lvlText w:val="%1、"/>
      <w:lvlJc w:val="left"/>
    </w:lvl>
  </w:abstractNum>
  <w:abstractNum w:abstractNumId="9">
    <w:nsid w:val="1F36E43E"/>
    <w:multiLevelType w:val="singleLevel"/>
    <w:tmpl w:val="1F36E43E"/>
    <w:lvl w:ilvl="0" w:tentative="0">
      <w:start w:val="1"/>
      <w:numFmt w:val="decimal"/>
      <w:suff w:val="nothing"/>
      <w:lvlText w:val="（%1）"/>
      <w:lvlJc w:val="left"/>
    </w:lvl>
  </w:abstractNum>
  <w:abstractNum w:abstractNumId="10">
    <w:nsid w:val="2BF1DE95"/>
    <w:multiLevelType w:val="singleLevel"/>
    <w:tmpl w:val="2BF1DE95"/>
    <w:lvl w:ilvl="0" w:tentative="0">
      <w:start w:val="1"/>
      <w:numFmt w:val="decimal"/>
      <w:suff w:val="nothing"/>
      <w:lvlText w:val="%1、"/>
      <w:lvlJc w:val="left"/>
    </w:lvl>
  </w:abstractNum>
  <w:abstractNum w:abstractNumId="11">
    <w:nsid w:val="32274EA6"/>
    <w:multiLevelType w:val="singleLevel"/>
    <w:tmpl w:val="32274EA6"/>
    <w:lvl w:ilvl="0" w:tentative="0">
      <w:start w:val="1"/>
      <w:numFmt w:val="decimal"/>
      <w:suff w:val="nothing"/>
      <w:lvlText w:val="%1、"/>
      <w:lvlJc w:val="left"/>
    </w:lvl>
  </w:abstractNum>
  <w:abstractNum w:abstractNumId="12">
    <w:nsid w:val="3543F53A"/>
    <w:multiLevelType w:val="singleLevel"/>
    <w:tmpl w:val="3543F53A"/>
    <w:lvl w:ilvl="0" w:tentative="0">
      <w:start w:val="1"/>
      <w:numFmt w:val="decimal"/>
      <w:suff w:val="nothing"/>
      <w:lvlText w:val="%1、"/>
      <w:lvlJc w:val="left"/>
    </w:lvl>
  </w:abstractNum>
  <w:abstractNum w:abstractNumId="13">
    <w:nsid w:val="36D379C7"/>
    <w:multiLevelType w:val="singleLevel"/>
    <w:tmpl w:val="36D379C7"/>
    <w:lvl w:ilvl="0" w:tentative="0">
      <w:start w:val="1"/>
      <w:numFmt w:val="decimal"/>
      <w:lvlText w:val="%1."/>
      <w:lvlJc w:val="left"/>
      <w:pPr>
        <w:tabs>
          <w:tab w:val="left" w:pos="312"/>
        </w:tabs>
      </w:pPr>
    </w:lvl>
  </w:abstractNum>
  <w:abstractNum w:abstractNumId="14">
    <w:nsid w:val="381E9EA7"/>
    <w:multiLevelType w:val="singleLevel"/>
    <w:tmpl w:val="381E9EA7"/>
    <w:lvl w:ilvl="0" w:tentative="0">
      <w:start w:val="2"/>
      <w:numFmt w:val="decimal"/>
      <w:suff w:val="nothing"/>
      <w:lvlText w:val="（%1）"/>
      <w:lvlJc w:val="left"/>
    </w:lvl>
  </w:abstractNum>
  <w:abstractNum w:abstractNumId="15">
    <w:nsid w:val="389F7F9F"/>
    <w:multiLevelType w:val="singleLevel"/>
    <w:tmpl w:val="389F7F9F"/>
    <w:lvl w:ilvl="0" w:tentative="0">
      <w:start w:val="2"/>
      <w:numFmt w:val="decimal"/>
      <w:suff w:val="nothing"/>
      <w:lvlText w:val="%1、"/>
      <w:lvlJc w:val="left"/>
    </w:lvl>
  </w:abstractNum>
  <w:abstractNum w:abstractNumId="16">
    <w:nsid w:val="63765ACD"/>
    <w:multiLevelType w:val="singleLevel"/>
    <w:tmpl w:val="63765ACD"/>
    <w:lvl w:ilvl="0" w:tentative="0">
      <w:start w:val="9"/>
      <w:numFmt w:val="chineseCounting"/>
      <w:suff w:val="nothing"/>
      <w:lvlText w:val="（%1）"/>
      <w:lvlJc w:val="left"/>
      <w:rPr>
        <w:rFonts w:hint="eastAsia"/>
      </w:rPr>
    </w:lvl>
  </w:abstractNum>
  <w:abstractNum w:abstractNumId="17">
    <w:nsid w:val="718C0F3F"/>
    <w:multiLevelType w:val="singleLevel"/>
    <w:tmpl w:val="718C0F3F"/>
    <w:lvl w:ilvl="0" w:tentative="0">
      <w:start w:val="5"/>
      <w:numFmt w:val="decimal"/>
      <w:suff w:val="nothing"/>
      <w:lvlText w:val="%1、"/>
      <w:lvlJc w:val="left"/>
    </w:lvl>
  </w:abstractNum>
  <w:num w:numId="1">
    <w:abstractNumId w:val="4"/>
  </w:num>
  <w:num w:numId="2">
    <w:abstractNumId w:val="13"/>
  </w:num>
  <w:num w:numId="3">
    <w:abstractNumId w:val="7"/>
  </w:num>
  <w:num w:numId="4">
    <w:abstractNumId w:val="17"/>
  </w:num>
  <w:num w:numId="5">
    <w:abstractNumId w:val="11"/>
  </w:num>
  <w:num w:numId="6">
    <w:abstractNumId w:val="5"/>
  </w:num>
  <w:num w:numId="7">
    <w:abstractNumId w:val="8"/>
  </w:num>
  <w:num w:numId="8">
    <w:abstractNumId w:val="1"/>
  </w:num>
  <w:num w:numId="9">
    <w:abstractNumId w:val="6"/>
  </w:num>
  <w:num w:numId="10">
    <w:abstractNumId w:val="12"/>
  </w:num>
  <w:num w:numId="11">
    <w:abstractNumId w:val="3"/>
  </w:num>
  <w:num w:numId="12">
    <w:abstractNumId w:val="0"/>
  </w:num>
  <w:num w:numId="13">
    <w:abstractNumId w:val="16"/>
  </w:num>
  <w:num w:numId="14">
    <w:abstractNumId w:val="2"/>
  </w:num>
  <w:num w:numId="15">
    <w:abstractNumId w:val="15"/>
  </w:num>
  <w:num w:numId="16">
    <w:abstractNumId w:val="10"/>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mQ4MDIzODk2NWQ2NTI0ZGEwZWNhNWQwZjk4Njg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506E"/>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3DBE"/>
    <w:rsid w:val="001C69B3"/>
    <w:rsid w:val="001D5595"/>
    <w:rsid w:val="001D7874"/>
    <w:rsid w:val="001D7F22"/>
    <w:rsid w:val="001F0F17"/>
    <w:rsid w:val="001F3347"/>
    <w:rsid w:val="001F69E4"/>
    <w:rsid w:val="00211546"/>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355E"/>
    <w:rsid w:val="00406F01"/>
    <w:rsid w:val="00416D50"/>
    <w:rsid w:val="00416FD5"/>
    <w:rsid w:val="00417772"/>
    <w:rsid w:val="00420E6A"/>
    <w:rsid w:val="00425A9E"/>
    <w:rsid w:val="00426D6B"/>
    <w:rsid w:val="00431E6C"/>
    <w:rsid w:val="00433CE7"/>
    <w:rsid w:val="00452738"/>
    <w:rsid w:val="00456091"/>
    <w:rsid w:val="00466321"/>
    <w:rsid w:val="00467713"/>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1600"/>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63E3"/>
    <w:rsid w:val="007B72B8"/>
    <w:rsid w:val="007B7A58"/>
    <w:rsid w:val="007C21B5"/>
    <w:rsid w:val="007E4BD2"/>
    <w:rsid w:val="00801393"/>
    <w:rsid w:val="00802F88"/>
    <w:rsid w:val="0081293E"/>
    <w:rsid w:val="00815465"/>
    <w:rsid w:val="00817E9A"/>
    <w:rsid w:val="008306BD"/>
    <w:rsid w:val="00831A80"/>
    <w:rsid w:val="00833743"/>
    <w:rsid w:val="008340A4"/>
    <w:rsid w:val="00852262"/>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4C36"/>
    <w:rsid w:val="0091736D"/>
    <w:rsid w:val="0093037A"/>
    <w:rsid w:val="0094154D"/>
    <w:rsid w:val="0095155F"/>
    <w:rsid w:val="00954429"/>
    <w:rsid w:val="009563CE"/>
    <w:rsid w:val="00976328"/>
    <w:rsid w:val="0097680D"/>
    <w:rsid w:val="00980D82"/>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36FF1"/>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272B0"/>
    <w:rsid w:val="00E412D0"/>
    <w:rsid w:val="00E46F91"/>
    <w:rsid w:val="00E56322"/>
    <w:rsid w:val="00E60982"/>
    <w:rsid w:val="00E62C62"/>
    <w:rsid w:val="00E654C1"/>
    <w:rsid w:val="00E65D97"/>
    <w:rsid w:val="00E72A5A"/>
    <w:rsid w:val="00E73354"/>
    <w:rsid w:val="00E9242D"/>
    <w:rsid w:val="00EB5255"/>
    <w:rsid w:val="00EB5C47"/>
    <w:rsid w:val="00ED0639"/>
    <w:rsid w:val="00EE602B"/>
    <w:rsid w:val="00EF4755"/>
    <w:rsid w:val="00EF7135"/>
    <w:rsid w:val="00F027DB"/>
    <w:rsid w:val="00F14A7A"/>
    <w:rsid w:val="00F150F8"/>
    <w:rsid w:val="00F22985"/>
    <w:rsid w:val="00F3383E"/>
    <w:rsid w:val="00F465A7"/>
    <w:rsid w:val="00F50B7C"/>
    <w:rsid w:val="00F550E6"/>
    <w:rsid w:val="00F567BB"/>
    <w:rsid w:val="00F74345"/>
    <w:rsid w:val="00F80A0A"/>
    <w:rsid w:val="00F82B19"/>
    <w:rsid w:val="00F9212D"/>
    <w:rsid w:val="00F965DA"/>
    <w:rsid w:val="00FA406A"/>
    <w:rsid w:val="00FB503A"/>
    <w:rsid w:val="00FB516C"/>
    <w:rsid w:val="00FD0236"/>
    <w:rsid w:val="00FD18F4"/>
    <w:rsid w:val="00FD54DB"/>
    <w:rsid w:val="00FD619F"/>
    <w:rsid w:val="01225367"/>
    <w:rsid w:val="01290F7E"/>
    <w:rsid w:val="012B620E"/>
    <w:rsid w:val="01363C7C"/>
    <w:rsid w:val="01531444"/>
    <w:rsid w:val="015D1E09"/>
    <w:rsid w:val="018D57C3"/>
    <w:rsid w:val="01F72716"/>
    <w:rsid w:val="01FB592A"/>
    <w:rsid w:val="02697903"/>
    <w:rsid w:val="028E18DE"/>
    <w:rsid w:val="02B00BD9"/>
    <w:rsid w:val="02B364B9"/>
    <w:rsid w:val="02CA5281"/>
    <w:rsid w:val="02F02D0F"/>
    <w:rsid w:val="02F96569"/>
    <w:rsid w:val="030E7081"/>
    <w:rsid w:val="0311088E"/>
    <w:rsid w:val="037F218E"/>
    <w:rsid w:val="03A11ED6"/>
    <w:rsid w:val="03AF7CD7"/>
    <w:rsid w:val="03EA7B21"/>
    <w:rsid w:val="04110888"/>
    <w:rsid w:val="04112DF3"/>
    <w:rsid w:val="041F76BF"/>
    <w:rsid w:val="044D46E0"/>
    <w:rsid w:val="044E7BC6"/>
    <w:rsid w:val="04710684"/>
    <w:rsid w:val="049520C3"/>
    <w:rsid w:val="049679E7"/>
    <w:rsid w:val="04A86A3F"/>
    <w:rsid w:val="04BC45D4"/>
    <w:rsid w:val="04BC712A"/>
    <w:rsid w:val="04E27AB6"/>
    <w:rsid w:val="05245955"/>
    <w:rsid w:val="052626E2"/>
    <w:rsid w:val="055F21EA"/>
    <w:rsid w:val="05607C3D"/>
    <w:rsid w:val="057A7B3D"/>
    <w:rsid w:val="05C0172F"/>
    <w:rsid w:val="05F83EAE"/>
    <w:rsid w:val="060B2FDC"/>
    <w:rsid w:val="06114EB9"/>
    <w:rsid w:val="062C6E9A"/>
    <w:rsid w:val="063E7D85"/>
    <w:rsid w:val="067E3453"/>
    <w:rsid w:val="06921EB4"/>
    <w:rsid w:val="06C4083B"/>
    <w:rsid w:val="06E97AD0"/>
    <w:rsid w:val="07040FB8"/>
    <w:rsid w:val="070E285A"/>
    <w:rsid w:val="07291E9E"/>
    <w:rsid w:val="07293586"/>
    <w:rsid w:val="07295285"/>
    <w:rsid w:val="073B6B94"/>
    <w:rsid w:val="07636392"/>
    <w:rsid w:val="076B15A6"/>
    <w:rsid w:val="076C2D70"/>
    <w:rsid w:val="07770C56"/>
    <w:rsid w:val="07D74773"/>
    <w:rsid w:val="07E01DA1"/>
    <w:rsid w:val="07E6744D"/>
    <w:rsid w:val="080B0FD0"/>
    <w:rsid w:val="080C13E3"/>
    <w:rsid w:val="08252517"/>
    <w:rsid w:val="0828680F"/>
    <w:rsid w:val="08325B6D"/>
    <w:rsid w:val="084465F7"/>
    <w:rsid w:val="08550171"/>
    <w:rsid w:val="085A6D53"/>
    <w:rsid w:val="085B3E12"/>
    <w:rsid w:val="085E33B4"/>
    <w:rsid w:val="0869348D"/>
    <w:rsid w:val="086E7DF7"/>
    <w:rsid w:val="088E0DC5"/>
    <w:rsid w:val="08A313F7"/>
    <w:rsid w:val="08AF0C0E"/>
    <w:rsid w:val="08BB2CE7"/>
    <w:rsid w:val="08CA6A98"/>
    <w:rsid w:val="08D243B9"/>
    <w:rsid w:val="08D54B2A"/>
    <w:rsid w:val="08D73EF6"/>
    <w:rsid w:val="09106156"/>
    <w:rsid w:val="092217DD"/>
    <w:rsid w:val="0929471D"/>
    <w:rsid w:val="09370E8D"/>
    <w:rsid w:val="093A7294"/>
    <w:rsid w:val="093C74B4"/>
    <w:rsid w:val="098741C9"/>
    <w:rsid w:val="09974422"/>
    <w:rsid w:val="09992C29"/>
    <w:rsid w:val="09A605FC"/>
    <w:rsid w:val="09BE171B"/>
    <w:rsid w:val="0A256DAC"/>
    <w:rsid w:val="0A263993"/>
    <w:rsid w:val="0A2D3AC2"/>
    <w:rsid w:val="0A3F3C5F"/>
    <w:rsid w:val="0A534C37"/>
    <w:rsid w:val="0A551D21"/>
    <w:rsid w:val="0A6754A5"/>
    <w:rsid w:val="0A681B9A"/>
    <w:rsid w:val="0A9E4071"/>
    <w:rsid w:val="0AA755DF"/>
    <w:rsid w:val="0AC22385"/>
    <w:rsid w:val="0B0B540F"/>
    <w:rsid w:val="0B120D44"/>
    <w:rsid w:val="0B430409"/>
    <w:rsid w:val="0BD27BF6"/>
    <w:rsid w:val="0C1C459C"/>
    <w:rsid w:val="0C3B3C7D"/>
    <w:rsid w:val="0CAB2EAE"/>
    <w:rsid w:val="0CBD00EF"/>
    <w:rsid w:val="0CED37EB"/>
    <w:rsid w:val="0D090EA0"/>
    <w:rsid w:val="0D621C7D"/>
    <w:rsid w:val="0D7E47E1"/>
    <w:rsid w:val="0D91394F"/>
    <w:rsid w:val="0D9755F8"/>
    <w:rsid w:val="0E0B7D30"/>
    <w:rsid w:val="0E370E7F"/>
    <w:rsid w:val="0E424737"/>
    <w:rsid w:val="0E7276C6"/>
    <w:rsid w:val="0E73034D"/>
    <w:rsid w:val="0EAA2832"/>
    <w:rsid w:val="0EC47563"/>
    <w:rsid w:val="0EC76C58"/>
    <w:rsid w:val="0F13775A"/>
    <w:rsid w:val="0F2D4CB6"/>
    <w:rsid w:val="0F5F3534"/>
    <w:rsid w:val="0F5F45FE"/>
    <w:rsid w:val="0F6236FB"/>
    <w:rsid w:val="0F7A3781"/>
    <w:rsid w:val="0F7F6D2B"/>
    <w:rsid w:val="0F8861A5"/>
    <w:rsid w:val="0F9A112B"/>
    <w:rsid w:val="0FC86314"/>
    <w:rsid w:val="0FCE0B27"/>
    <w:rsid w:val="1024480B"/>
    <w:rsid w:val="102E4D30"/>
    <w:rsid w:val="10445513"/>
    <w:rsid w:val="105C50A3"/>
    <w:rsid w:val="106D2F64"/>
    <w:rsid w:val="109203E9"/>
    <w:rsid w:val="10B06777"/>
    <w:rsid w:val="10B63710"/>
    <w:rsid w:val="10C03673"/>
    <w:rsid w:val="10F10820"/>
    <w:rsid w:val="110C4477"/>
    <w:rsid w:val="11111C5D"/>
    <w:rsid w:val="111C2F7A"/>
    <w:rsid w:val="1131782A"/>
    <w:rsid w:val="11362C4B"/>
    <w:rsid w:val="11565CBE"/>
    <w:rsid w:val="11593459"/>
    <w:rsid w:val="11665CA1"/>
    <w:rsid w:val="11D4169E"/>
    <w:rsid w:val="11F70AA6"/>
    <w:rsid w:val="1240470A"/>
    <w:rsid w:val="129450B3"/>
    <w:rsid w:val="12BC3D71"/>
    <w:rsid w:val="12CF1390"/>
    <w:rsid w:val="12D8011B"/>
    <w:rsid w:val="12D83B72"/>
    <w:rsid w:val="12E5248F"/>
    <w:rsid w:val="12F64D28"/>
    <w:rsid w:val="12FB59BD"/>
    <w:rsid w:val="12FF4F35"/>
    <w:rsid w:val="133844E2"/>
    <w:rsid w:val="13672460"/>
    <w:rsid w:val="136D7BBA"/>
    <w:rsid w:val="13951726"/>
    <w:rsid w:val="13974921"/>
    <w:rsid w:val="13E5521D"/>
    <w:rsid w:val="13FD43D6"/>
    <w:rsid w:val="14184FB8"/>
    <w:rsid w:val="141D78E7"/>
    <w:rsid w:val="142132D8"/>
    <w:rsid w:val="14247998"/>
    <w:rsid w:val="14371574"/>
    <w:rsid w:val="14396509"/>
    <w:rsid w:val="14865F0C"/>
    <w:rsid w:val="14895986"/>
    <w:rsid w:val="14DD2C3C"/>
    <w:rsid w:val="14F11E01"/>
    <w:rsid w:val="15427B32"/>
    <w:rsid w:val="155D6D2A"/>
    <w:rsid w:val="158C54EC"/>
    <w:rsid w:val="16021D4A"/>
    <w:rsid w:val="16087E1D"/>
    <w:rsid w:val="164B53F6"/>
    <w:rsid w:val="165528C5"/>
    <w:rsid w:val="16785BBD"/>
    <w:rsid w:val="16AD537D"/>
    <w:rsid w:val="16C35742"/>
    <w:rsid w:val="16D95BB1"/>
    <w:rsid w:val="16EA197F"/>
    <w:rsid w:val="16F3627D"/>
    <w:rsid w:val="170F769D"/>
    <w:rsid w:val="172A4DE7"/>
    <w:rsid w:val="172C18BA"/>
    <w:rsid w:val="172C5389"/>
    <w:rsid w:val="176538A8"/>
    <w:rsid w:val="17701D14"/>
    <w:rsid w:val="17735226"/>
    <w:rsid w:val="17830958"/>
    <w:rsid w:val="17C14EC5"/>
    <w:rsid w:val="17C52D61"/>
    <w:rsid w:val="17C60095"/>
    <w:rsid w:val="17D43D98"/>
    <w:rsid w:val="17DD3698"/>
    <w:rsid w:val="18037A01"/>
    <w:rsid w:val="18286985"/>
    <w:rsid w:val="18550E75"/>
    <w:rsid w:val="18934C0E"/>
    <w:rsid w:val="18983538"/>
    <w:rsid w:val="189F624C"/>
    <w:rsid w:val="18A529B9"/>
    <w:rsid w:val="18BB14B0"/>
    <w:rsid w:val="18BF5D76"/>
    <w:rsid w:val="18E04FDB"/>
    <w:rsid w:val="192D5224"/>
    <w:rsid w:val="196D45BD"/>
    <w:rsid w:val="1974405A"/>
    <w:rsid w:val="19915CB3"/>
    <w:rsid w:val="19F56003"/>
    <w:rsid w:val="19F62AB3"/>
    <w:rsid w:val="19FE255B"/>
    <w:rsid w:val="1A1C66C0"/>
    <w:rsid w:val="1A1F6249"/>
    <w:rsid w:val="1A2833A9"/>
    <w:rsid w:val="1A42393B"/>
    <w:rsid w:val="1AAD45DE"/>
    <w:rsid w:val="1B046F80"/>
    <w:rsid w:val="1B1631A1"/>
    <w:rsid w:val="1B3267B5"/>
    <w:rsid w:val="1B40161D"/>
    <w:rsid w:val="1B425334"/>
    <w:rsid w:val="1B441859"/>
    <w:rsid w:val="1B4B69D3"/>
    <w:rsid w:val="1B4C4767"/>
    <w:rsid w:val="1B6606B1"/>
    <w:rsid w:val="1B6A61A2"/>
    <w:rsid w:val="1B9F782E"/>
    <w:rsid w:val="1BA4669B"/>
    <w:rsid w:val="1BCA5671"/>
    <w:rsid w:val="1BCD79A9"/>
    <w:rsid w:val="1BDE75E5"/>
    <w:rsid w:val="1BFB7CDA"/>
    <w:rsid w:val="1C0119C5"/>
    <w:rsid w:val="1C247962"/>
    <w:rsid w:val="1C5E7925"/>
    <w:rsid w:val="1C8E1703"/>
    <w:rsid w:val="1CE36F8D"/>
    <w:rsid w:val="1CFD070F"/>
    <w:rsid w:val="1CFE6024"/>
    <w:rsid w:val="1D0109BB"/>
    <w:rsid w:val="1D333716"/>
    <w:rsid w:val="1D5F6196"/>
    <w:rsid w:val="1D6132A5"/>
    <w:rsid w:val="1D6E0372"/>
    <w:rsid w:val="1D747527"/>
    <w:rsid w:val="1D8E56D5"/>
    <w:rsid w:val="1DA71361"/>
    <w:rsid w:val="1DA80511"/>
    <w:rsid w:val="1DC435AC"/>
    <w:rsid w:val="1DC52EE5"/>
    <w:rsid w:val="1DE5685A"/>
    <w:rsid w:val="1E230FED"/>
    <w:rsid w:val="1E2B69E4"/>
    <w:rsid w:val="1E7A43DA"/>
    <w:rsid w:val="1E891A87"/>
    <w:rsid w:val="1ED7172E"/>
    <w:rsid w:val="1ED93B78"/>
    <w:rsid w:val="1EF7222F"/>
    <w:rsid w:val="1EF84B5A"/>
    <w:rsid w:val="1F0E7B32"/>
    <w:rsid w:val="1F49520F"/>
    <w:rsid w:val="1F6D7396"/>
    <w:rsid w:val="1F965E04"/>
    <w:rsid w:val="1FCA5A52"/>
    <w:rsid w:val="1FE7539E"/>
    <w:rsid w:val="1FEF02CA"/>
    <w:rsid w:val="200308CB"/>
    <w:rsid w:val="205179B4"/>
    <w:rsid w:val="2061155A"/>
    <w:rsid w:val="20671BE0"/>
    <w:rsid w:val="206F425A"/>
    <w:rsid w:val="208F4CA2"/>
    <w:rsid w:val="20963CB8"/>
    <w:rsid w:val="20A81A1B"/>
    <w:rsid w:val="20B07FB6"/>
    <w:rsid w:val="20B322F1"/>
    <w:rsid w:val="20B44F8A"/>
    <w:rsid w:val="20B646FB"/>
    <w:rsid w:val="20E744F1"/>
    <w:rsid w:val="21112245"/>
    <w:rsid w:val="212A4122"/>
    <w:rsid w:val="213B74B1"/>
    <w:rsid w:val="215A2310"/>
    <w:rsid w:val="218D13FD"/>
    <w:rsid w:val="219C22DF"/>
    <w:rsid w:val="21DE318A"/>
    <w:rsid w:val="21E962AB"/>
    <w:rsid w:val="21EF5B80"/>
    <w:rsid w:val="220F06F3"/>
    <w:rsid w:val="223D278D"/>
    <w:rsid w:val="22456F79"/>
    <w:rsid w:val="22576990"/>
    <w:rsid w:val="228B0CF1"/>
    <w:rsid w:val="22951B02"/>
    <w:rsid w:val="22A061FB"/>
    <w:rsid w:val="22F47480"/>
    <w:rsid w:val="22FD77A7"/>
    <w:rsid w:val="234D4E08"/>
    <w:rsid w:val="23532915"/>
    <w:rsid w:val="237B3F2C"/>
    <w:rsid w:val="23A360FD"/>
    <w:rsid w:val="23CB2AA4"/>
    <w:rsid w:val="23DE1C48"/>
    <w:rsid w:val="240210CD"/>
    <w:rsid w:val="242F27C8"/>
    <w:rsid w:val="24534C97"/>
    <w:rsid w:val="24AD54D5"/>
    <w:rsid w:val="24BF09F7"/>
    <w:rsid w:val="252D53FE"/>
    <w:rsid w:val="25356D0C"/>
    <w:rsid w:val="25495F8E"/>
    <w:rsid w:val="25744DF9"/>
    <w:rsid w:val="257B4EA0"/>
    <w:rsid w:val="2590114F"/>
    <w:rsid w:val="25C3089D"/>
    <w:rsid w:val="25D07BBD"/>
    <w:rsid w:val="25E55E42"/>
    <w:rsid w:val="25E72643"/>
    <w:rsid w:val="25EB4C0C"/>
    <w:rsid w:val="25EC2D81"/>
    <w:rsid w:val="25F149B8"/>
    <w:rsid w:val="26195094"/>
    <w:rsid w:val="261C1824"/>
    <w:rsid w:val="262F3333"/>
    <w:rsid w:val="269650CF"/>
    <w:rsid w:val="26C94A27"/>
    <w:rsid w:val="26CC00D1"/>
    <w:rsid w:val="26D125C1"/>
    <w:rsid w:val="26D24C9D"/>
    <w:rsid w:val="26EB7AF2"/>
    <w:rsid w:val="27047199"/>
    <w:rsid w:val="27121925"/>
    <w:rsid w:val="27536279"/>
    <w:rsid w:val="277057A2"/>
    <w:rsid w:val="27DE50AF"/>
    <w:rsid w:val="27F74F93"/>
    <w:rsid w:val="28006AEE"/>
    <w:rsid w:val="280931FF"/>
    <w:rsid w:val="282D0BBA"/>
    <w:rsid w:val="28716514"/>
    <w:rsid w:val="28793B7D"/>
    <w:rsid w:val="289519DA"/>
    <w:rsid w:val="28A66EBB"/>
    <w:rsid w:val="28AE5882"/>
    <w:rsid w:val="28F26DC1"/>
    <w:rsid w:val="2918065D"/>
    <w:rsid w:val="291A7A4A"/>
    <w:rsid w:val="29206EB8"/>
    <w:rsid w:val="293B024B"/>
    <w:rsid w:val="293D4937"/>
    <w:rsid w:val="293F7DBB"/>
    <w:rsid w:val="294E2063"/>
    <w:rsid w:val="29595666"/>
    <w:rsid w:val="296D2221"/>
    <w:rsid w:val="29757C7D"/>
    <w:rsid w:val="29792F5E"/>
    <w:rsid w:val="29874881"/>
    <w:rsid w:val="2995080A"/>
    <w:rsid w:val="29B41AFF"/>
    <w:rsid w:val="29E325E0"/>
    <w:rsid w:val="2A3B48C5"/>
    <w:rsid w:val="2A452503"/>
    <w:rsid w:val="2A50066B"/>
    <w:rsid w:val="2A6A0E5D"/>
    <w:rsid w:val="2A802454"/>
    <w:rsid w:val="2A820E6A"/>
    <w:rsid w:val="2A952A4C"/>
    <w:rsid w:val="2AE0119A"/>
    <w:rsid w:val="2AF90557"/>
    <w:rsid w:val="2B2725D4"/>
    <w:rsid w:val="2B2F3611"/>
    <w:rsid w:val="2B554126"/>
    <w:rsid w:val="2B726B45"/>
    <w:rsid w:val="2B7B528F"/>
    <w:rsid w:val="2BA936A8"/>
    <w:rsid w:val="2BFD1D0D"/>
    <w:rsid w:val="2C14525F"/>
    <w:rsid w:val="2C315A5A"/>
    <w:rsid w:val="2C39669E"/>
    <w:rsid w:val="2C4B1C25"/>
    <w:rsid w:val="2C582D3A"/>
    <w:rsid w:val="2C830CC7"/>
    <w:rsid w:val="2CE5342A"/>
    <w:rsid w:val="2D3529D0"/>
    <w:rsid w:val="2D366201"/>
    <w:rsid w:val="2D416443"/>
    <w:rsid w:val="2D9B6960"/>
    <w:rsid w:val="2D9E56F5"/>
    <w:rsid w:val="2DBB6980"/>
    <w:rsid w:val="2DCB1A6A"/>
    <w:rsid w:val="2E035544"/>
    <w:rsid w:val="2E281E74"/>
    <w:rsid w:val="2E46232F"/>
    <w:rsid w:val="2E667F96"/>
    <w:rsid w:val="2E8226AB"/>
    <w:rsid w:val="2E936BAE"/>
    <w:rsid w:val="2EA34AFD"/>
    <w:rsid w:val="2EA623B6"/>
    <w:rsid w:val="2EFB54DE"/>
    <w:rsid w:val="2F017273"/>
    <w:rsid w:val="2F1A4189"/>
    <w:rsid w:val="2F205A33"/>
    <w:rsid w:val="2F3B6F69"/>
    <w:rsid w:val="2F3D0D88"/>
    <w:rsid w:val="2F5A02F5"/>
    <w:rsid w:val="2F5D7D3B"/>
    <w:rsid w:val="2F7A66D5"/>
    <w:rsid w:val="2FD065E6"/>
    <w:rsid w:val="2FD96870"/>
    <w:rsid w:val="300527CE"/>
    <w:rsid w:val="30247779"/>
    <w:rsid w:val="3027100A"/>
    <w:rsid w:val="30357B6B"/>
    <w:rsid w:val="30580BC9"/>
    <w:rsid w:val="306004B7"/>
    <w:rsid w:val="30A12166"/>
    <w:rsid w:val="30C617D8"/>
    <w:rsid w:val="30DC03BB"/>
    <w:rsid w:val="30EA15C5"/>
    <w:rsid w:val="311E2ED7"/>
    <w:rsid w:val="3120143A"/>
    <w:rsid w:val="312907A9"/>
    <w:rsid w:val="315619EE"/>
    <w:rsid w:val="315C449C"/>
    <w:rsid w:val="317D7E40"/>
    <w:rsid w:val="319F6AA4"/>
    <w:rsid w:val="31B82709"/>
    <w:rsid w:val="31C079CA"/>
    <w:rsid w:val="31D05482"/>
    <w:rsid w:val="31D86D26"/>
    <w:rsid w:val="31EA239D"/>
    <w:rsid w:val="32265CB3"/>
    <w:rsid w:val="322A1F85"/>
    <w:rsid w:val="323C2996"/>
    <w:rsid w:val="32400B34"/>
    <w:rsid w:val="32476D3D"/>
    <w:rsid w:val="327303CE"/>
    <w:rsid w:val="329E6876"/>
    <w:rsid w:val="32AA179E"/>
    <w:rsid w:val="32B75AC8"/>
    <w:rsid w:val="32D92DE6"/>
    <w:rsid w:val="32FC2C44"/>
    <w:rsid w:val="33066283"/>
    <w:rsid w:val="333015F2"/>
    <w:rsid w:val="334B6320"/>
    <w:rsid w:val="33945A38"/>
    <w:rsid w:val="339F74DE"/>
    <w:rsid w:val="33D934D4"/>
    <w:rsid w:val="33E62CF8"/>
    <w:rsid w:val="33F944D2"/>
    <w:rsid w:val="33FE2F6A"/>
    <w:rsid w:val="340E07E5"/>
    <w:rsid w:val="340E3E0A"/>
    <w:rsid w:val="341D0CB1"/>
    <w:rsid w:val="34235BF7"/>
    <w:rsid w:val="34394185"/>
    <w:rsid w:val="347B6477"/>
    <w:rsid w:val="348745AD"/>
    <w:rsid w:val="349D776C"/>
    <w:rsid w:val="34E1124B"/>
    <w:rsid w:val="351A5376"/>
    <w:rsid w:val="358C5FA8"/>
    <w:rsid w:val="35B67FC1"/>
    <w:rsid w:val="35BD03A6"/>
    <w:rsid w:val="35C15DF1"/>
    <w:rsid w:val="35DA043B"/>
    <w:rsid w:val="35DD7F40"/>
    <w:rsid w:val="35E32D6F"/>
    <w:rsid w:val="35FA1AEA"/>
    <w:rsid w:val="36074A7F"/>
    <w:rsid w:val="36232D06"/>
    <w:rsid w:val="36654B4E"/>
    <w:rsid w:val="366B7294"/>
    <w:rsid w:val="366E37FB"/>
    <w:rsid w:val="369025A1"/>
    <w:rsid w:val="36923549"/>
    <w:rsid w:val="36AC280E"/>
    <w:rsid w:val="36B75FBF"/>
    <w:rsid w:val="36B92C9A"/>
    <w:rsid w:val="36BD0C45"/>
    <w:rsid w:val="36E50760"/>
    <w:rsid w:val="371D706D"/>
    <w:rsid w:val="3726400D"/>
    <w:rsid w:val="378566CE"/>
    <w:rsid w:val="37AE4B75"/>
    <w:rsid w:val="37C20649"/>
    <w:rsid w:val="37E00298"/>
    <w:rsid w:val="37EE0977"/>
    <w:rsid w:val="38577EF5"/>
    <w:rsid w:val="388C37BF"/>
    <w:rsid w:val="388D334A"/>
    <w:rsid w:val="38B302F9"/>
    <w:rsid w:val="38E14339"/>
    <w:rsid w:val="38F12CD3"/>
    <w:rsid w:val="38F94775"/>
    <w:rsid w:val="38FB588C"/>
    <w:rsid w:val="38FD0E8C"/>
    <w:rsid w:val="38FF2A0E"/>
    <w:rsid w:val="38FF2E7E"/>
    <w:rsid w:val="392937F0"/>
    <w:rsid w:val="392971ED"/>
    <w:rsid w:val="39325651"/>
    <w:rsid w:val="393F54A1"/>
    <w:rsid w:val="394774C5"/>
    <w:rsid w:val="39663706"/>
    <w:rsid w:val="39A03ED6"/>
    <w:rsid w:val="39A3516B"/>
    <w:rsid w:val="39BC1DBE"/>
    <w:rsid w:val="3A016ECB"/>
    <w:rsid w:val="3A183F5E"/>
    <w:rsid w:val="3A2368BA"/>
    <w:rsid w:val="3A60374C"/>
    <w:rsid w:val="3A872856"/>
    <w:rsid w:val="3A97230D"/>
    <w:rsid w:val="3AAB0DA9"/>
    <w:rsid w:val="3AAF3E65"/>
    <w:rsid w:val="3AD52515"/>
    <w:rsid w:val="3ADF300B"/>
    <w:rsid w:val="3AEB2672"/>
    <w:rsid w:val="3B0D64E9"/>
    <w:rsid w:val="3B216EC5"/>
    <w:rsid w:val="3B274393"/>
    <w:rsid w:val="3B2A3887"/>
    <w:rsid w:val="3B3763D1"/>
    <w:rsid w:val="3B3B718C"/>
    <w:rsid w:val="3B552E05"/>
    <w:rsid w:val="3B5B3904"/>
    <w:rsid w:val="3B924C33"/>
    <w:rsid w:val="3BA106CB"/>
    <w:rsid w:val="3BBA7AB7"/>
    <w:rsid w:val="3C2F6E1E"/>
    <w:rsid w:val="3C334D32"/>
    <w:rsid w:val="3C4F64BA"/>
    <w:rsid w:val="3C540CEC"/>
    <w:rsid w:val="3C5C61DC"/>
    <w:rsid w:val="3C746523"/>
    <w:rsid w:val="3C873FE5"/>
    <w:rsid w:val="3CDA225C"/>
    <w:rsid w:val="3CDA245A"/>
    <w:rsid w:val="3D143C06"/>
    <w:rsid w:val="3D196D8B"/>
    <w:rsid w:val="3D1E06B7"/>
    <w:rsid w:val="3D576F58"/>
    <w:rsid w:val="3D5B6F23"/>
    <w:rsid w:val="3D6C7721"/>
    <w:rsid w:val="3D7216C0"/>
    <w:rsid w:val="3D766875"/>
    <w:rsid w:val="3DEE051F"/>
    <w:rsid w:val="3E0C6E6A"/>
    <w:rsid w:val="3E300DB4"/>
    <w:rsid w:val="3E561B8A"/>
    <w:rsid w:val="3EA03382"/>
    <w:rsid w:val="3EDA0523"/>
    <w:rsid w:val="3F0806DC"/>
    <w:rsid w:val="3F267877"/>
    <w:rsid w:val="3F317767"/>
    <w:rsid w:val="3F4507D3"/>
    <w:rsid w:val="3F50112A"/>
    <w:rsid w:val="3FBF091D"/>
    <w:rsid w:val="3FE07BD3"/>
    <w:rsid w:val="3FEC29E8"/>
    <w:rsid w:val="40424674"/>
    <w:rsid w:val="405E0973"/>
    <w:rsid w:val="407A6407"/>
    <w:rsid w:val="409A7B77"/>
    <w:rsid w:val="41326D57"/>
    <w:rsid w:val="41495846"/>
    <w:rsid w:val="417C2856"/>
    <w:rsid w:val="41B9630E"/>
    <w:rsid w:val="41EF0610"/>
    <w:rsid w:val="4200449D"/>
    <w:rsid w:val="420073F5"/>
    <w:rsid w:val="42295E54"/>
    <w:rsid w:val="423A3BCC"/>
    <w:rsid w:val="423D049D"/>
    <w:rsid w:val="424C7A58"/>
    <w:rsid w:val="424E57D2"/>
    <w:rsid w:val="4277233C"/>
    <w:rsid w:val="42B26C49"/>
    <w:rsid w:val="42CD009B"/>
    <w:rsid w:val="42CF0F42"/>
    <w:rsid w:val="430659F0"/>
    <w:rsid w:val="43301D74"/>
    <w:rsid w:val="433A6FE6"/>
    <w:rsid w:val="43480868"/>
    <w:rsid w:val="4350713C"/>
    <w:rsid w:val="436653E0"/>
    <w:rsid w:val="436D24CF"/>
    <w:rsid w:val="436D769F"/>
    <w:rsid w:val="437D391A"/>
    <w:rsid w:val="439D6A2E"/>
    <w:rsid w:val="43AB1736"/>
    <w:rsid w:val="43C4431A"/>
    <w:rsid w:val="43CD06BA"/>
    <w:rsid w:val="44090016"/>
    <w:rsid w:val="444923FE"/>
    <w:rsid w:val="446B330D"/>
    <w:rsid w:val="4470570D"/>
    <w:rsid w:val="448357F1"/>
    <w:rsid w:val="44B951CC"/>
    <w:rsid w:val="44CD14E0"/>
    <w:rsid w:val="44D12AA2"/>
    <w:rsid w:val="44F20B0B"/>
    <w:rsid w:val="452665E1"/>
    <w:rsid w:val="452E5F4C"/>
    <w:rsid w:val="45350C58"/>
    <w:rsid w:val="453624F5"/>
    <w:rsid w:val="453E59AA"/>
    <w:rsid w:val="454170A9"/>
    <w:rsid w:val="45612018"/>
    <w:rsid w:val="45725A92"/>
    <w:rsid w:val="458946E9"/>
    <w:rsid w:val="45A3009F"/>
    <w:rsid w:val="45A47C0E"/>
    <w:rsid w:val="45DE12B5"/>
    <w:rsid w:val="45FC6193"/>
    <w:rsid w:val="46345A0D"/>
    <w:rsid w:val="464A517C"/>
    <w:rsid w:val="46577FD6"/>
    <w:rsid w:val="466076A2"/>
    <w:rsid w:val="466B2BB7"/>
    <w:rsid w:val="46B42D01"/>
    <w:rsid w:val="46D85649"/>
    <w:rsid w:val="46D955A7"/>
    <w:rsid w:val="46FD2BD6"/>
    <w:rsid w:val="47133957"/>
    <w:rsid w:val="471E653A"/>
    <w:rsid w:val="472C1413"/>
    <w:rsid w:val="477F22FB"/>
    <w:rsid w:val="47A07E0C"/>
    <w:rsid w:val="47CF40E0"/>
    <w:rsid w:val="48020C35"/>
    <w:rsid w:val="482E20D9"/>
    <w:rsid w:val="4845221C"/>
    <w:rsid w:val="4870272E"/>
    <w:rsid w:val="48912B79"/>
    <w:rsid w:val="48CB5D3F"/>
    <w:rsid w:val="48F84B42"/>
    <w:rsid w:val="490864ED"/>
    <w:rsid w:val="49246D02"/>
    <w:rsid w:val="492D55A9"/>
    <w:rsid w:val="499F4AED"/>
    <w:rsid w:val="49C45FD4"/>
    <w:rsid w:val="49DC7715"/>
    <w:rsid w:val="49E66930"/>
    <w:rsid w:val="49E852C4"/>
    <w:rsid w:val="4A023139"/>
    <w:rsid w:val="4A537CBD"/>
    <w:rsid w:val="4A7B576F"/>
    <w:rsid w:val="4A8F2BD7"/>
    <w:rsid w:val="4A9A5252"/>
    <w:rsid w:val="4A9C70E3"/>
    <w:rsid w:val="4AF561A9"/>
    <w:rsid w:val="4B0240B3"/>
    <w:rsid w:val="4B18582B"/>
    <w:rsid w:val="4B387624"/>
    <w:rsid w:val="4B614406"/>
    <w:rsid w:val="4B641C11"/>
    <w:rsid w:val="4B662F46"/>
    <w:rsid w:val="4B782244"/>
    <w:rsid w:val="4BAA1515"/>
    <w:rsid w:val="4BE252BC"/>
    <w:rsid w:val="4BE53667"/>
    <w:rsid w:val="4C4428E1"/>
    <w:rsid w:val="4C4A0649"/>
    <w:rsid w:val="4C630371"/>
    <w:rsid w:val="4C692D33"/>
    <w:rsid w:val="4C7E5ECA"/>
    <w:rsid w:val="4C876AA5"/>
    <w:rsid w:val="4C956431"/>
    <w:rsid w:val="4CA77E0C"/>
    <w:rsid w:val="4CB16DEA"/>
    <w:rsid w:val="4CDD6627"/>
    <w:rsid w:val="4CEE0C59"/>
    <w:rsid w:val="4CEF6BD8"/>
    <w:rsid w:val="4D0E00FB"/>
    <w:rsid w:val="4D176606"/>
    <w:rsid w:val="4D300725"/>
    <w:rsid w:val="4D471848"/>
    <w:rsid w:val="4D570DC9"/>
    <w:rsid w:val="4D6C2F56"/>
    <w:rsid w:val="4D723F1D"/>
    <w:rsid w:val="4D8C312B"/>
    <w:rsid w:val="4DDE681F"/>
    <w:rsid w:val="4DEC4FB0"/>
    <w:rsid w:val="4E075D8A"/>
    <w:rsid w:val="4E235A97"/>
    <w:rsid w:val="4E382EF9"/>
    <w:rsid w:val="4E830CE3"/>
    <w:rsid w:val="4E83602E"/>
    <w:rsid w:val="4E9F6C80"/>
    <w:rsid w:val="4EA26BC5"/>
    <w:rsid w:val="4EA30719"/>
    <w:rsid w:val="4EB853AA"/>
    <w:rsid w:val="4EBB7226"/>
    <w:rsid w:val="4EC00FAD"/>
    <w:rsid w:val="4EC15D6C"/>
    <w:rsid w:val="4EDB4BC8"/>
    <w:rsid w:val="4EEB04C4"/>
    <w:rsid w:val="4EF961B1"/>
    <w:rsid w:val="4F0853C7"/>
    <w:rsid w:val="4F185C99"/>
    <w:rsid w:val="4F196C87"/>
    <w:rsid w:val="4F330004"/>
    <w:rsid w:val="4F7B1900"/>
    <w:rsid w:val="4F9843DC"/>
    <w:rsid w:val="4FBB3DFF"/>
    <w:rsid w:val="4FC62A8C"/>
    <w:rsid w:val="4FE20F0D"/>
    <w:rsid w:val="4FE51552"/>
    <w:rsid w:val="50222249"/>
    <w:rsid w:val="50504C4B"/>
    <w:rsid w:val="50534DB1"/>
    <w:rsid w:val="506D391B"/>
    <w:rsid w:val="507C775A"/>
    <w:rsid w:val="509C6E7C"/>
    <w:rsid w:val="50BC0E22"/>
    <w:rsid w:val="50CA25DC"/>
    <w:rsid w:val="50E648CA"/>
    <w:rsid w:val="50F014A1"/>
    <w:rsid w:val="513A79D0"/>
    <w:rsid w:val="5162104E"/>
    <w:rsid w:val="51646063"/>
    <w:rsid w:val="516D1D7F"/>
    <w:rsid w:val="51A00484"/>
    <w:rsid w:val="51AB6D18"/>
    <w:rsid w:val="51D72844"/>
    <w:rsid w:val="521045FE"/>
    <w:rsid w:val="52285763"/>
    <w:rsid w:val="527D3089"/>
    <w:rsid w:val="52BC43B0"/>
    <w:rsid w:val="53111D5F"/>
    <w:rsid w:val="53407165"/>
    <w:rsid w:val="53427343"/>
    <w:rsid w:val="5390774E"/>
    <w:rsid w:val="539E5CF7"/>
    <w:rsid w:val="53A039CC"/>
    <w:rsid w:val="53A1505A"/>
    <w:rsid w:val="53AD5B8B"/>
    <w:rsid w:val="53E367BE"/>
    <w:rsid w:val="54063E08"/>
    <w:rsid w:val="543437E8"/>
    <w:rsid w:val="545347EE"/>
    <w:rsid w:val="548F1331"/>
    <w:rsid w:val="54C404C7"/>
    <w:rsid w:val="54C40957"/>
    <w:rsid w:val="54C63885"/>
    <w:rsid w:val="54DF1501"/>
    <w:rsid w:val="54F64D08"/>
    <w:rsid w:val="54F73313"/>
    <w:rsid w:val="54F80955"/>
    <w:rsid w:val="54F975CB"/>
    <w:rsid w:val="54FB7321"/>
    <w:rsid w:val="54FF301E"/>
    <w:rsid w:val="5539030F"/>
    <w:rsid w:val="553B0020"/>
    <w:rsid w:val="555170A7"/>
    <w:rsid w:val="5587536D"/>
    <w:rsid w:val="55971F1F"/>
    <w:rsid w:val="559B174B"/>
    <w:rsid w:val="559C147F"/>
    <w:rsid w:val="55CE0CF4"/>
    <w:rsid w:val="56076967"/>
    <w:rsid w:val="56157123"/>
    <w:rsid w:val="56173ECA"/>
    <w:rsid w:val="5652703D"/>
    <w:rsid w:val="565E21CC"/>
    <w:rsid w:val="566742D0"/>
    <w:rsid w:val="5685680B"/>
    <w:rsid w:val="56B22A9C"/>
    <w:rsid w:val="56C02A96"/>
    <w:rsid w:val="56C56879"/>
    <w:rsid w:val="56C948C7"/>
    <w:rsid w:val="56F27ED8"/>
    <w:rsid w:val="56F9125B"/>
    <w:rsid w:val="575401ED"/>
    <w:rsid w:val="57593B04"/>
    <w:rsid w:val="57595398"/>
    <w:rsid w:val="5767406A"/>
    <w:rsid w:val="576A2B14"/>
    <w:rsid w:val="577B6B15"/>
    <w:rsid w:val="57B72A76"/>
    <w:rsid w:val="57C339D5"/>
    <w:rsid w:val="57C3426C"/>
    <w:rsid w:val="57CE1F93"/>
    <w:rsid w:val="57D17539"/>
    <w:rsid w:val="57D57BBF"/>
    <w:rsid w:val="57EB00DC"/>
    <w:rsid w:val="57EC694A"/>
    <w:rsid w:val="57F140C3"/>
    <w:rsid w:val="582146B9"/>
    <w:rsid w:val="586B4CD4"/>
    <w:rsid w:val="58751EE5"/>
    <w:rsid w:val="588743D1"/>
    <w:rsid w:val="5887701A"/>
    <w:rsid w:val="58AC4E56"/>
    <w:rsid w:val="58BB24EB"/>
    <w:rsid w:val="58DF71CA"/>
    <w:rsid w:val="58E8756C"/>
    <w:rsid w:val="59041C3F"/>
    <w:rsid w:val="59081400"/>
    <w:rsid w:val="593047A0"/>
    <w:rsid w:val="59342604"/>
    <w:rsid w:val="5953497B"/>
    <w:rsid w:val="595D2301"/>
    <w:rsid w:val="597B399B"/>
    <w:rsid w:val="59886778"/>
    <w:rsid w:val="598A6861"/>
    <w:rsid w:val="5992000D"/>
    <w:rsid w:val="59C0439F"/>
    <w:rsid w:val="59C93DFA"/>
    <w:rsid w:val="59D958EB"/>
    <w:rsid w:val="59DB314C"/>
    <w:rsid w:val="59EE3CB3"/>
    <w:rsid w:val="5A1F1ABF"/>
    <w:rsid w:val="5A2059C0"/>
    <w:rsid w:val="5A205AB0"/>
    <w:rsid w:val="5A507A5A"/>
    <w:rsid w:val="5A5942BA"/>
    <w:rsid w:val="5ABE2233"/>
    <w:rsid w:val="5AD361D3"/>
    <w:rsid w:val="5AE54348"/>
    <w:rsid w:val="5AEA0FC9"/>
    <w:rsid w:val="5AF84398"/>
    <w:rsid w:val="5B7C57AA"/>
    <w:rsid w:val="5BB47B96"/>
    <w:rsid w:val="5BB91D42"/>
    <w:rsid w:val="5BC20EE0"/>
    <w:rsid w:val="5BDF5D95"/>
    <w:rsid w:val="5BFE7528"/>
    <w:rsid w:val="5C6B7165"/>
    <w:rsid w:val="5C844952"/>
    <w:rsid w:val="5CFC38A3"/>
    <w:rsid w:val="5D1B358A"/>
    <w:rsid w:val="5D66685A"/>
    <w:rsid w:val="5D895D7F"/>
    <w:rsid w:val="5DB92EB7"/>
    <w:rsid w:val="5DBA69C5"/>
    <w:rsid w:val="5E0221FC"/>
    <w:rsid w:val="5E0A4EDF"/>
    <w:rsid w:val="5E0E5E5F"/>
    <w:rsid w:val="5E134C56"/>
    <w:rsid w:val="5E1D4399"/>
    <w:rsid w:val="5E2467F1"/>
    <w:rsid w:val="5E3A2F62"/>
    <w:rsid w:val="5E76482E"/>
    <w:rsid w:val="5EA23695"/>
    <w:rsid w:val="5EA65F2C"/>
    <w:rsid w:val="5EAF75C7"/>
    <w:rsid w:val="5EE06863"/>
    <w:rsid w:val="5F1A2B43"/>
    <w:rsid w:val="5F3673C4"/>
    <w:rsid w:val="5F43329A"/>
    <w:rsid w:val="5F540544"/>
    <w:rsid w:val="5FB837BB"/>
    <w:rsid w:val="5FBE12AB"/>
    <w:rsid w:val="5FE63BE9"/>
    <w:rsid w:val="5FF76DFD"/>
    <w:rsid w:val="601A296B"/>
    <w:rsid w:val="602462AF"/>
    <w:rsid w:val="60596011"/>
    <w:rsid w:val="60CC405A"/>
    <w:rsid w:val="61316DB8"/>
    <w:rsid w:val="614A41A4"/>
    <w:rsid w:val="61685936"/>
    <w:rsid w:val="617E517F"/>
    <w:rsid w:val="61823C1B"/>
    <w:rsid w:val="618467AD"/>
    <w:rsid w:val="61BC12AF"/>
    <w:rsid w:val="61BE7D19"/>
    <w:rsid w:val="61DA13C0"/>
    <w:rsid w:val="61E215D8"/>
    <w:rsid w:val="621B3775"/>
    <w:rsid w:val="62364782"/>
    <w:rsid w:val="62391F86"/>
    <w:rsid w:val="626F34E9"/>
    <w:rsid w:val="627C0421"/>
    <w:rsid w:val="62815DAC"/>
    <w:rsid w:val="62890263"/>
    <w:rsid w:val="62A72E2E"/>
    <w:rsid w:val="62C81B9F"/>
    <w:rsid w:val="62E86FEF"/>
    <w:rsid w:val="6334681A"/>
    <w:rsid w:val="63402BAD"/>
    <w:rsid w:val="6394356A"/>
    <w:rsid w:val="639854C5"/>
    <w:rsid w:val="639D36D5"/>
    <w:rsid w:val="63B705A8"/>
    <w:rsid w:val="63C61B2C"/>
    <w:rsid w:val="63D40BE9"/>
    <w:rsid w:val="63E54E6E"/>
    <w:rsid w:val="63F151A8"/>
    <w:rsid w:val="64102431"/>
    <w:rsid w:val="643562B5"/>
    <w:rsid w:val="64630234"/>
    <w:rsid w:val="6481444D"/>
    <w:rsid w:val="648B3FB8"/>
    <w:rsid w:val="64984C48"/>
    <w:rsid w:val="64A5243A"/>
    <w:rsid w:val="64AB11FE"/>
    <w:rsid w:val="64D046E8"/>
    <w:rsid w:val="64F102BF"/>
    <w:rsid w:val="64F531DE"/>
    <w:rsid w:val="6503762A"/>
    <w:rsid w:val="651D6CAE"/>
    <w:rsid w:val="652C056E"/>
    <w:rsid w:val="65373578"/>
    <w:rsid w:val="65446183"/>
    <w:rsid w:val="655113DB"/>
    <w:rsid w:val="655939E4"/>
    <w:rsid w:val="657470D4"/>
    <w:rsid w:val="6577597E"/>
    <w:rsid w:val="65865E78"/>
    <w:rsid w:val="65BF071E"/>
    <w:rsid w:val="65DB249D"/>
    <w:rsid w:val="66320972"/>
    <w:rsid w:val="664265D3"/>
    <w:rsid w:val="66672F63"/>
    <w:rsid w:val="66837A19"/>
    <w:rsid w:val="66EE4496"/>
    <w:rsid w:val="671F124A"/>
    <w:rsid w:val="672748B3"/>
    <w:rsid w:val="67553F2F"/>
    <w:rsid w:val="675964F7"/>
    <w:rsid w:val="675C3E56"/>
    <w:rsid w:val="677A33C6"/>
    <w:rsid w:val="67841F18"/>
    <w:rsid w:val="67C176FF"/>
    <w:rsid w:val="67E61D7B"/>
    <w:rsid w:val="680E645E"/>
    <w:rsid w:val="681F6961"/>
    <w:rsid w:val="68610A2F"/>
    <w:rsid w:val="68805514"/>
    <w:rsid w:val="68C14275"/>
    <w:rsid w:val="68CA1207"/>
    <w:rsid w:val="68DD5176"/>
    <w:rsid w:val="68E22FA1"/>
    <w:rsid w:val="68E915B7"/>
    <w:rsid w:val="68E922CF"/>
    <w:rsid w:val="6907055B"/>
    <w:rsid w:val="69074B7F"/>
    <w:rsid w:val="692B18E3"/>
    <w:rsid w:val="69316E2F"/>
    <w:rsid w:val="69477B9D"/>
    <w:rsid w:val="694E2071"/>
    <w:rsid w:val="69564B94"/>
    <w:rsid w:val="69766163"/>
    <w:rsid w:val="697A3B33"/>
    <w:rsid w:val="69903EFA"/>
    <w:rsid w:val="699F15A5"/>
    <w:rsid w:val="69D44760"/>
    <w:rsid w:val="69DB5F6E"/>
    <w:rsid w:val="69F004C2"/>
    <w:rsid w:val="69FE59F9"/>
    <w:rsid w:val="6A210A17"/>
    <w:rsid w:val="6A520EC7"/>
    <w:rsid w:val="6A575D29"/>
    <w:rsid w:val="6AD9275F"/>
    <w:rsid w:val="6AF87E20"/>
    <w:rsid w:val="6AFE0B52"/>
    <w:rsid w:val="6B102BCC"/>
    <w:rsid w:val="6B3118B6"/>
    <w:rsid w:val="6B322639"/>
    <w:rsid w:val="6B486821"/>
    <w:rsid w:val="6B5F6F5D"/>
    <w:rsid w:val="6B825551"/>
    <w:rsid w:val="6B893B20"/>
    <w:rsid w:val="6BA20DBF"/>
    <w:rsid w:val="6BDD61AF"/>
    <w:rsid w:val="6C00286C"/>
    <w:rsid w:val="6C0D7E1A"/>
    <w:rsid w:val="6C111754"/>
    <w:rsid w:val="6C295BD3"/>
    <w:rsid w:val="6C3D1E0A"/>
    <w:rsid w:val="6C485786"/>
    <w:rsid w:val="6C636C38"/>
    <w:rsid w:val="6C746394"/>
    <w:rsid w:val="6C89524F"/>
    <w:rsid w:val="6C9F6548"/>
    <w:rsid w:val="6CEC0816"/>
    <w:rsid w:val="6D127E40"/>
    <w:rsid w:val="6D631D72"/>
    <w:rsid w:val="6D7C3D50"/>
    <w:rsid w:val="6D966B3D"/>
    <w:rsid w:val="6DB34098"/>
    <w:rsid w:val="6DB545B6"/>
    <w:rsid w:val="6DDE46BF"/>
    <w:rsid w:val="6DE02FB4"/>
    <w:rsid w:val="6DE75D3D"/>
    <w:rsid w:val="6E401AA5"/>
    <w:rsid w:val="6E514CED"/>
    <w:rsid w:val="6E6F5702"/>
    <w:rsid w:val="6E7067F0"/>
    <w:rsid w:val="6E7A78D3"/>
    <w:rsid w:val="6EB563D5"/>
    <w:rsid w:val="6ED92677"/>
    <w:rsid w:val="6EE14DC5"/>
    <w:rsid w:val="6EEA359C"/>
    <w:rsid w:val="6F064D12"/>
    <w:rsid w:val="6F223FD5"/>
    <w:rsid w:val="6F225983"/>
    <w:rsid w:val="6F2415C1"/>
    <w:rsid w:val="6F384CE4"/>
    <w:rsid w:val="6FBE15F0"/>
    <w:rsid w:val="6FF93E11"/>
    <w:rsid w:val="6FFC5590"/>
    <w:rsid w:val="6FFD045F"/>
    <w:rsid w:val="70232F20"/>
    <w:rsid w:val="703F1BDE"/>
    <w:rsid w:val="70436255"/>
    <w:rsid w:val="70562428"/>
    <w:rsid w:val="70675232"/>
    <w:rsid w:val="706C5E25"/>
    <w:rsid w:val="706D1DD0"/>
    <w:rsid w:val="70762221"/>
    <w:rsid w:val="707B7C4E"/>
    <w:rsid w:val="70856B87"/>
    <w:rsid w:val="70AF77E0"/>
    <w:rsid w:val="70C27D56"/>
    <w:rsid w:val="70D527EE"/>
    <w:rsid w:val="70FE51AA"/>
    <w:rsid w:val="715B5300"/>
    <w:rsid w:val="71720F18"/>
    <w:rsid w:val="71772989"/>
    <w:rsid w:val="718B7AC4"/>
    <w:rsid w:val="71A05305"/>
    <w:rsid w:val="71AD3762"/>
    <w:rsid w:val="71B211A1"/>
    <w:rsid w:val="71D27F8A"/>
    <w:rsid w:val="71E06CB1"/>
    <w:rsid w:val="72066A79"/>
    <w:rsid w:val="720E76C6"/>
    <w:rsid w:val="72534095"/>
    <w:rsid w:val="72553024"/>
    <w:rsid w:val="72596322"/>
    <w:rsid w:val="726C6D2F"/>
    <w:rsid w:val="727A7C42"/>
    <w:rsid w:val="72840814"/>
    <w:rsid w:val="72D95C7D"/>
    <w:rsid w:val="72FB44AD"/>
    <w:rsid w:val="72FC2CDF"/>
    <w:rsid w:val="72FC49FE"/>
    <w:rsid w:val="73122968"/>
    <w:rsid w:val="73132F6F"/>
    <w:rsid w:val="731F5D5E"/>
    <w:rsid w:val="735D1374"/>
    <w:rsid w:val="7366050A"/>
    <w:rsid w:val="73880603"/>
    <w:rsid w:val="73B87659"/>
    <w:rsid w:val="73BA7C0E"/>
    <w:rsid w:val="73C51AD5"/>
    <w:rsid w:val="73DE0EA7"/>
    <w:rsid w:val="74103665"/>
    <w:rsid w:val="741E793C"/>
    <w:rsid w:val="741E7FAE"/>
    <w:rsid w:val="7451721A"/>
    <w:rsid w:val="745E3944"/>
    <w:rsid w:val="74767AE9"/>
    <w:rsid w:val="748874BE"/>
    <w:rsid w:val="74A95ADC"/>
    <w:rsid w:val="74AE19F9"/>
    <w:rsid w:val="74E9560E"/>
    <w:rsid w:val="74FE74A4"/>
    <w:rsid w:val="755A5B0A"/>
    <w:rsid w:val="755D11F5"/>
    <w:rsid w:val="75612185"/>
    <w:rsid w:val="75660855"/>
    <w:rsid w:val="75914379"/>
    <w:rsid w:val="75A775EC"/>
    <w:rsid w:val="75E272B4"/>
    <w:rsid w:val="75FC6CB5"/>
    <w:rsid w:val="760B64E2"/>
    <w:rsid w:val="760D54AA"/>
    <w:rsid w:val="7635099D"/>
    <w:rsid w:val="763A6E97"/>
    <w:rsid w:val="765B2C4E"/>
    <w:rsid w:val="76760624"/>
    <w:rsid w:val="76791E2E"/>
    <w:rsid w:val="7695147A"/>
    <w:rsid w:val="76DF3891"/>
    <w:rsid w:val="76EB6000"/>
    <w:rsid w:val="76F123A0"/>
    <w:rsid w:val="76F51B80"/>
    <w:rsid w:val="776B1C5B"/>
    <w:rsid w:val="77762421"/>
    <w:rsid w:val="777B4EA0"/>
    <w:rsid w:val="778117E2"/>
    <w:rsid w:val="779152A0"/>
    <w:rsid w:val="7796540F"/>
    <w:rsid w:val="77B56B1F"/>
    <w:rsid w:val="77F809CC"/>
    <w:rsid w:val="780463F6"/>
    <w:rsid w:val="780F09F4"/>
    <w:rsid w:val="781372C0"/>
    <w:rsid w:val="783F662C"/>
    <w:rsid w:val="785077FF"/>
    <w:rsid w:val="7899009D"/>
    <w:rsid w:val="78A90480"/>
    <w:rsid w:val="78B42278"/>
    <w:rsid w:val="78B70BF6"/>
    <w:rsid w:val="78CF7125"/>
    <w:rsid w:val="792413C8"/>
    <w:rsid w:val="794F1FD9"/>
    <w:rsid w:val="795B7D76"/>
    <w:rsid w:val="79B72085"/>
    <w:rsid w:val="79DB17A7"/>
    <w:rsid w:val="79EF406A"/>
    <w:rsid w:val="79F532AE"/>
    <w:rsid w:val="7A0B2BB0"/>
    <w:rsid w:val="7A0D34E9"/>
    <w:rsid w:val="7A182BA1"/>
    <w:rsid w:val="7A1847A1"/>
    <w:rsid w:val="7A364017"/>
    <w:rsid w:val="7A5D6569"/>
    <w:rsid w:val="7A6806D3"/>
    <w:rsid w:val="7A6950A5"/>
    <w:rsid w:val="7A696075"/>
    <w:rsid w:val="7A6A0421"/>
    <w:rsid w:val="7A8265E1"/>
    <w:rsid w:val="7AA56665"/>
    <w:rsid w:val="7ABD25AF"/>
    <w:rsid w:val="7AC964A3"/>
    <w:rsid w:val="7ACF19DF"/>
    <w:rsid w:val="7AD73BDE"/>
    <w:rsid w:val="7AF737E0"/>
    <w:rsid w:val="7B066FEA"/>
    <w:rsid w:val="7B394FA4"/>
    <w:rsid w:val="7B5D7BEF"/>
    <w:rsid w:val="7B686D42"/>
    <w:rsid w:val="7B841746"/>
    <w:rsid w:val="7B845C60"/>
    <w:rsid w:val="7B984A6E"/>
    <w:rsid w:val="7BA648B4"/>
    <w:rsid w:val="7C1A65ED"/>
    <w:rsid w:val="7C6C5AC7"/>
    <w:rsid w:val="7C815AE1"/>
    <w:rsid w:val="7C8C1A75"/>
    <w:rsid w:val="7CAB6332"/>
    <w:rsid w:val="7CC6544B"/>
    <w:rsid w:val="7CDC78DD"/>
    <w:rsid w:val="7D0239FF"/>
    <w:rsid w:val="7D4F7E21"/>
    <w:rsid w:val="7D5129E0"/>
    <w:rsid w:val="7D5E40CD"/>
    <w:rsid w:val="7D851A24"/>
    <w:rsid w:val="7D8F2FDD"/>
    <w:rsid w:val="7D961573"/>
    <w:rsid w:val="7DA53385"/>
    <w:rsid w:val="7DA915E0"/>
    <w:rsid w:val="7DB746C2"/>
    <w:rsid w:val="7DCD56F2"/>
    <w:rsid w:val="7E154BC6"/>
    <w:rsid w:val="7E3012EC"/>
    <w:rsid w:val="7EDE30A5"/>
    <w:rsid w:val="7F001CE7"/>
    <w:rsid w:val="7F1B26B0"/>
    <w:rsid w:val="7F297F9C"/>
    <w:rsid w:val="7F343A1C"/>
    <w:rsid w:val="7F3D3B0A"/>
    <w:rsid w:val="7F471CE4"/>
    <w:rsid w:val="7F6C762F"/>
    <w:rsid w:val="7FAA7068"/>
    <w:rsid w:val="7FBE324C"/>
    <w:rsid w:val="7FD43968"/>
    <w:rsid w:val="7FDF13A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仿宋" w:cs="Times New Roman"/>
      <w:kern w:val="2"/>
      <w:sz w:val="24"/>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3"/>
    <w:basedOn w:val="1"/>
    <w:next w:val="1"/>
    <w:qFormat/>
    <w:locked/>
    <w:uiPriority w:val="0"/>
    <w:pPr>
      <w:keepNext/>
      <w:keepLines/>
      <w:adjustRightInd w:val="0"/>
      <w:spacing w:line="348" w:lineRule="auto"/>
      <w:textAlignment w:val="baseline"/>
      <w:outlineLvl w:val="2"/>
    </w:pPr>
    <w:rPr>
      <w:kern w:val="0"/>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8"/>
    <w:autoRedefine/>
    <w:qFormat/>
    <w:uiPriority w:val="0"/>
    <w:pPr>
      <w:widowControl/>
      <w:snapToGrid w:val="0"/>
      <w:spacing w:before="60" w:after="160" w:line="259" w:lineRule="auto"/>
      <w:ind w:right="113"/>
    </w:pPr>
    <w:rPr>
      <w:kern w:val="0"/>
      <w:sz w:val="18"/>
      <w:szCs w:val="20"/>
    </w:rPr>
  </w:style>
  <w:style w:type="paragraph" w:styleId="3">
    <w:name w:val="List Bullet 5"/>
    <w:basedOn w:val="1"/>
    <w:autoRedefine/>
    <w:qFormat/>
    <w:locked/>
    <w:uiPriority w:val="0"/>
    <w:pPr>
      <w:numPr>
        <w:ilvl w:val="0"/>
        <w:numId w:val="1"/>
      </w:numPr>
    </w:pPr>
  </w:style>
  <w:style w:type="paragraph" w:styleId="6">
    <w:name w:val="Normal Indent"/>
    <w:basedOn w:val="1"/>
    <w:autoRedefine/>
    <w:qFormat/>
    <w:locked/>
    <w:uiPriority w:val="0"/>
    <w:pPr>
      <w:ind w:firstLine="200" w:firstLineChars="200"/>
    </w:pPr>
    <w:rPr>
      <w:sz w:val="28"/>
    </w:rPr>
  </w:style>
  <w:style w:type="paragraph" w:styleId="7">
    <w:name w:val="annotation text"/>
    <w:basedOn w:val="1"/>
    <w:link w:val="29"/>
    <w:autoRedefine/>
    <w:semiHidden/>
    <w:qFormat/>
    <w:uiPriority w:val="0"/>
    <w:pPr>
      <w:jc w:val="left"/>
    </w:pPr>
    <w:rPr>
      <w:kern w:val="0"/>
      <w:szCs w:val="20"/>
    </w:rPr>
  </w:style>
  <w:style w:type="paragraph" w:styleId="8">
    <w:name w:val="Body Text Indent"/>
    <w:basedOn w:val="1"/>
    <w:link w:val="30"/>
    <w:autoRedefine/>
    <w:qFormat/>
    <w:uiPriority w:val="0"/>
    <w:pPr>
      <w:spacing w:after="120"/>
      <w:ind w:left="420" w:leftChars="200"/>
    </w:pPr>
    <w:rPr>
      <w:kern w:val="0"/>
      <w:szCs w:val="20"/>
    </w:rPr>
  </w:style>
  <w:style w:type="paragraph" w:styleId="9">
    <w:name w:val="Plain Text"/>
    <w:basedOn w:val="1"/>
    <w:autoRedefine/>
    <w:qFormat/>
    <w:locked/>
    <w:uiPriority w:val="0"/>
    <w:rPr>
      <w:rFonts w:ascii="宋体" w:hAnsi="Courier New"/>
    </w:rPr>
  </w:style>
  <w:style w:type="paragraph" w:styleId="10">
    <w:name w:val="Date"/>
    <w:basedOn w:val="1"/>
    <w:next w:val="1"/>
    <w:link w:val="31"/>
    <w:autoRedefine/>
    <w:qFormat/>
    <w:uiPriority w:val="0"/>
    <w:pPr>
      <w:ind w:left="100" w:leftChars="2500"/>
    </w:pPr>
    <w:rPr>
      <w:kern w:val="0"/>
      <w:szCs w:val="20"/>
    </w:rPr>
  </w:style>
  <w:style w:type="paragraph" w:styleId="11">
    <w:name w:val="Body Text Indent 2"/>
    <w:basedOn w:val="1"/>
    <w:autoRedefine/>
    <w:qFormat/>
    <w:locked/>
    <w:uiPriority w:val="0"/>
    <w:pPr>
      <w:ind w:firstLine="480" w:firstLineChars="200"/>
    </w:pPr>
    <w:rPr>
      <w:color w:val="000000"/>
    </w:rPr>
  </w:style>
  <w:style w:type="paragraph" w:styleId="12">
    <w:name w:val="Balloon Text"/>
    <w:basedOn w:val="1"/>
    <w:link w:val="32"/>
    <w:autoRedefine/>
    <w:semiHidden/>
    <w:qFormat/>
    <w:uiPriority w:val="0"/>
    <w:rPr>
      <w:kern w:val="0"/>
      <w:sz w:val="18"/>
      <w:szCs w:val="20"/>
    </w:rPr>
  </w:style>
  <w:style w:type="paragraph" w:styleId="13">
    <w:name w:val="footer"/>
    <w:basedOn w:val="1"/>
    <w:link w:val="33"/>
    <w:autoRedefine/>
    <w:qFormat/>
    <w:uiPriority w:val="99"/>
    <w:pPr>
      <w:tabs>
        <w:tab w:val="center" w:pos="4153"/>
        <w:tab w:val="right" w:pos="8306"/>
      </w:tabs>
      <w:snapToGrid w:val="0"/>
      <w:jc w:val="left"/>
    </w:pPr>
    <w:rPr>
      <w:kern w:val="0"/>
      <w:sz w:val="18"/>
      <w:szCs w:val="20"/>
    </w:rPr>
  </w:style>
  <w:style w:type="paragraph" w:styleId="14">
    <w:name w:val="header"/>
    <w:basedOn w:val="1"/>
    <w:link w:val="3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Body Text Indent 3"/>
    <w:basedOn w:val="1"/>
    <w:autoRedefine/>
    <w:qFormat/>
    <w:locked/>
    <w:uiPriority w:val="0"/>
    <w:pPr>
      <w:tabs>
        <w:tab w:val="left" w:pos="604"/>
      </w:tabs>
      <w:ind w:firstLine="600"/>
    </w:pPr>
  </w:style>
  <w:style w:type="paragraph" w:styleId="16">
    <w:name w:val="Normal (Web)"/>
    <w:basedOn w:val="1"/>
    <w:link w:val="35"/>
    <w:autoRedefine/>
    <w:qFormat/>
    <w:uiPriority w:val="0"/>
    <w:pPr>
      <w:widowControl/>
      <w:spacing w:before="100" w:beforeAutospacing="1" w:after="100" w:afterAutospacing="1"/>
      <w:jc w:val="left"/>
    </w:pPr>
    <w:rPr>
      <w:rFonts w:ascii="宋体" w:hAnsi="宋体"/>
      <w:kern w:val="0"/>
      <w:szCs w:val="20"/>
    </w:rPr>
  </w:style>
  <w:style w:type="paragraph" w:styleId="17">
    <w:name w:val="annotation subject"/>
    <w:basedOn w:val="7"/>
    <w:next w:val="7"/>
    <w:link w:val="36"/>
    <w:autoRedefine/>
    <w:semiHidden/>
    <w:qFormat/>
    <w:uiPriority w:val="0"/>
    <w:rPr>
      <w:b/>
    </w:rPr>
  </w:style>
  <w:style w:type="paragraph" w:styleId="18">
    <w:name w:val="Body Text First Indent"/>
    <w:basedOn w:val="2"/>
    <w:next w:val="1"/>
    <w:qFormat/>
    <w:locked/>
    <w:uiPriority w:val="0"/>
    <w:pPr>
      <w:snapToGrid/>
      <w:spacing w:after="120" w:line="240" w:lineRule="auto"/>
      <w:ind w:firstLine="420" w:firstLineChars="100"/>
    </w:pPr>
    <w:rPr>
      <w:sz w:val="21"/>
    </w:rPr>
  </w:style>
  <w:style w:type="paragraph" w:styleId="19">
    <w:name w:val="Body Text First Indent 2"/>
    <w:basedOn w:val="8"/>
    <w:autoRedefine/>
    <w:unhideWhenUsed/>
    <w:qFormat/>
    <w:locked/>
    <w:uiPriority w:val="0"/>
    <w:pPr>
      <w:ind w:firstLine="420" w:firstLineChars="200"/>
    </w:p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locked/>
    <w:uiPriority w:val="0"/>
    <w:rPr>
      <w:b/>
    </w:rPr>
  </w:style>
  <w:style w:type="character" w:styleId="24">
    <w:name w:val="page number"/>
    <w:basedOn w:val="22"/>
    <w:autoRedefine/>
    <w:qFormat/>
    <w:locked/>
    <w:uiPriority w:val="0"/>
  </w:style>
  <w:style w:type="character" w:styleId="25">
    <w:name w:val="Emphasis"/>
    <w:autoRedefine/>
    <w:qFormat/>
    <w:locked/>
    <w:uiPriority w:val="0"/>
    <w:rPr>
      <w:rFonts w:eastAsia="Times New Roman"/>
      <w:i/>
      <w:kern w:val="0"/>
      <w:sz w:val="24"/>
      <w:szCs w:val="24"/>
    </w:rPr>
  </w:style>
  <w:style w:type="character" w:styleId="26">
    <w:name w:val="Hyperlink"/>
    <w:autoRedefine/>
    <w:qFormat/>
    <w:locked/>
    <w:uiPriority w:val="0"/>
    <w:rPr>
      <w:rFonts w:eastAsia="Times New Roman"/>
      <w:color w:val="000000"/>
      <w:kern w:val="0"/>
      <w:sz w:val="24"/>
      <w:szCs w:val="24"/>
      <w:u w:val="none"/>
    </w:rPr>
  </w:style>
  <w:style w:type="character" w:styleId="27">
    <w:name w:val="annotation reference"/>
    <w:autoRedefine/>
    <w:semiHidden/>
    <w:qFormat/>
    <w:uiPriority w:val="0"/>
    <w:rPr>
      <w:sz w:val="21"/>
    </w:rPr>
  </w:style>
  <w:style w:type="character" w:customStyle="1" w:styleId="28">
    <w:name w:val="正文文本 Char"/>
    <w:link w:val="2"/>
    <w:autoRedefine/>
    <w:qFormat/>
    <w:locked/>
    <w:uiPriority w:val="0"/>
    <w:rPr>
      <w:sz w:val="18"/>
    </w:rPr>
  </w:style>
  <w:style w:type="character" w:customStyle="1" w:styleId="29">
    <w:name w:val="批注文字 Char"/>
    <w:link w:val="7"/>
    <w:autoRedefine/>
    <w:qFormat/>
    <w:locked/>
    <w:uiPriority w:val="0"/>
    <w:rPr>
      <w:rFonts w:ascii="Times New Roman" w:hAnsi="Times New Roman" w:eastAsia="宋体"/>
      <w:sz w:val="24"/>
    </w:rPr>
  </w:style>
  <w:style w:type="character" w:customStyle="1" w:styleId="30">
    <w:name w:val="正文文本缩进 Char"/>
    <w:link w:val="8"/>
    <w:autoRedefine/>
    <w:semiHidden/>
    <w:qFormat/>
    <w:locked/>
    <w:uiPriority w:val="0"/>
    <w:rPr>
      <w:rFonts w:ascii="Times New Roman" w:hAnsi="Times New Roman" w:eastAsia="宋体"/>
      <w:sz w:val="24"/>
    </w:rPr>
  </w:style>
  <w:style w:type="character" w:customStyle="1" w:styleId="31">
    <w:name w:val="日期 Char"/>
    <w:link w:val="10"/>
    <w:autoRedefine/>
    <w:qFormat/>
    <w:locked/>
    <w:uiPriority w:val="0"/>
    <w:rPr>
      <w:rFonts w:ascii="Times New Roman" w:hAnsi="Times New Roman" w:eastAsia="宋体"/>
      <w:sz w:val="24"/>
    </w:rPr>
  </w:style>
  <w:style w:type="character" w:customStyle="1" w:styleId="32">
    <w:name w:val="批注框文本 Char"/>
    <w:link w:val="12"/>
    <w:autoRedefine/>
    <w:semiHidden/>
    <w:qFormat/>
    <w:locked/>
    <w:uiPriority w:val="0"/>
    <w:rPr>
      <w:rFonts w:ascii="Times New Roman" w:hAnsi="Times New Roman" w:eastAsia="宋体"/>
      <w:sz w:val="18"/>
    </w:rPr>
  </w:style>
  <w:style w:type="character" w:customStyle="1" w:styleId="33">
    <w:name w:val="页脚 Char"/>
    <w:link w:val="13"/>
    <w:autoRedefine/>
    <w:qFormat/>
    <w:locked/>
    <w:uiPriority w:val="99"/>
    <w:rPr>
      <w:sz w:val="18"/>
    </w:rPr>
  </w:style>
  <w:style w:type="character" w:customStyle="1" w:styleId="34">
    <w:name w:val="页眉 Char"/>
    <w:link w:val="14"/>
    <w:autoRedefine/>
    <w:qFormat/>
    <w:locked/>
    <w:uiPriority w:val="0"/>
    <w:rPr>
      <w:sz w:val="18"/>
    </w:rPr>
  </w:style>
  <w:style w:type="character" w:customStyle="1" w:styleId="35">
    <w:name w:val="普通(网站) Char"/>
    <w:link w:val="16"/>
    <w:autoRedefine/>
    <w:qFormat/>
    <w:locked/>
    <w:uiPriority w:val="0"/>
    <w:rPr>
      <w:rFonts w:ascii="宋体" w:hAnsi="宋体" w:eastAsia="宋体"/>
      <w:sz w:val="24"/>
    </w:rPr>
  </w:style>
  <w:style w:type="character" w:customStyle="1" w:styleId="36">
    <w:name w:val="批注主题 Char"/>
    <w:link w:val="17"/>
    <w:autoRedefine/>
    <w:semiHidden/>
    <w:qFormat/>
    <w:locked/>
    <w:uiPriority w:val="0"/>
    <w:rPr>
      <w:rFonts w:ascii="Times New Roman" w:hAnsi="Times New Roman" w:eastAsia="宋体"/>
      <w:b/>
      <w:kern w:val="2"/>
      <w:sz w:val="24"/>
    </w:rPr>
  </w:style>
  <w:style w:type="character" w:customStyle="1" w:styleId="37">
    <w:name w:val="批注文字 字符1"/>
    <w:autoRedefine/>
    <w:semiHidden/>
    <w:qFormat/>
    <w:uiPriority w:val="0"/>
    <w:rPr>
      <w:rFonts w:ascii="Times New Roman" w:hAnsi="Times New Roman" w:eastAsia="宋体"/>
      <w:sz w:val="24"/>
    </w:rPr>
  </w:style>
  <w:style w:type="character" w:customStyle="1" w:styleId="38">
    <w:name w:val="日期 字符"/>
    <w:autoRedefine/>
    <w:semiHidden/>
    <w:qFormat/>
    <w:uiPriority w:val="0"/>
    <w:rPr>
      <w:rFonts w:ascii="Times New Roman" w:hAnsi="Times New Roman" w:eastAsia="宋体"/>
      <w:sz w:val="24"/>
    </w:rPr>
  </w:style>
  <w:style w:type="character" w:customStyle="1" w:styleId="39">
    <w:name w:val="font41"/>
    <w:basedOn w:val="22"/>
    <w:autoRedefine/>
    <w:qFormat/>
    <w:uiPriority w:val="0"/>
    <w:rPr>
      <w:rFonts w:hint="eastAsia" w:ascii="宋体" w:hAnsi="宋体" w:eastAsia="宋体" w:cs="宋体"/>
      <w:b/>
      <w:bCs/>
      <w:color w:val="000000"/>
      <w:sz w:val="12"/>
      <w:szCs w:val="12"/>
      <w:u w:val="none"/>
    </w:rPr>
  </w:style>
  <w:style w:type="character" w:customStyle="1" w:styleId="40">
    <w:name w:val="正文文本 字符1"/>
    <w:autoRedefine/>
    <w:semiHidden/>
    <w:qFormat/>
    <w:uiPriority w:val="0"/>
    <w:rPr>
      <w:rFonts w:ascii="Times New Roman" w:hAnsi="Times New Roman" w:eastAsia="宋体"/>
      <w:sz w:val="24"/>
    </w:rPr>
  </w:style>
  <w:style w:type="character" w:customStyle="1" w:styleId="41">
    <w:name w:val="页脚 字符"/>
    <w:basedOn w:val="22"/>
    <w:autoRedefine/>
    <w:qFormat/>
    <w:uiPriority w:val="99"/>
  </w:style>
  <w:style w:type="character" w:customStyle="1" w:styleId="42">
    <w:name w:val="font01"/>
    <w:basedOn w:val="22"/>
    <w:autoRedefine/>
    <w:qFormat/>
    <w:uiPriority w:val="0"/>
    <w:rPr>
      <w:rFonts w:hint="eastAsia" w:ascii="宋体" w:hAnsi="宋体" w:eastAsia="宋体" w:cs="宋体"/>
      <w:b/>
      <w:bCs/>
      <w:color w:val="000000"/>
      <w:sz w:val="18"/>
      <w:szCs w:val="18"/>
      <w:u w:val="none"/>
    </w:rPr>
  </w:style>
  <w:style w:type="character" w:customStyle="1" w:styleId="43">
    <w:name w:val="表格 Char"/>
    <w:link w:val="44"/>
    <w:autoRedefine/>
    <w:qFormat/>
    <w:locked/>
    <w:uiPriority w:val="0"/>
    <w:rPr>
      <w:rFonts w:ascii="宋体"/>
      <w:sz w:val="21"/>
    </w:rPr>
  </w:style>
  <w:style w:type="paragraph" w:customStyle="1" w:styleId="44">
    <w:name w:val="表格"/>
    <w:basedOn w:val="1"/>
    <w:next w:val="1"/>
    <w:link w:val="43"/>
    <w:autoRedefine/>
    <w:qFormat/>
    <w:uiPriority w:val="0"/>
    <w:pPr>
      <w:adjustRightInd w:val="0"/>
      <w:snapToGrid w:val="0"/>
      <w:spacing w:beforeLines="10" w:afterLines="10" w:line="259" w:lineRule="auto"/>
      <w:jc w:val="center"/>
    </w:pPr>
    <w:rPr>
      <w:rFonts w:ascii="宋体"/>
      <w:kern w:val="0"/>
      <w:szCs w:val="20"/>
    </w:rPr>
  </w:style>
  <w:style w:type="character" w:customStyle="1" w:styleId="45">
    <w:name w:val="font31"/>
    <w:basedOn w:val="22"/>
    <w:autoRedefine/>
    <w:qFormat/>
    <w:uiPriority w:val="0"/>
    <w:rPr>
      <w:rFonts w:hint="default" w:ascii="Times New Roman" w:hAnsi="Times New Roman" w:cs="Times New Roman"/>
      <w:b/>
      <w:bCs/>
      <w:color w:val="000000"/>
      <w:sz w:val="18"/>
      <w:szCs w:val="18"/>
      <w:u w:val="none"/>
    </w:rPr>
  </w:style>
  <w:style w:type="paragraph" w:customStyle="1" w:styleId="46">
    <w:name w:val="文本框样式"/>
    <w:basedOn w:val="1"/>
    <w:autoRedefine/>
    <w:qFormat/>
    <w:uiPriority w:val="0"/>
    <w:pPr>
      <w:jc w:val="center"/>
    </w:pPr>
    <w:rPr>
      <w:szCs w:val="21"/>
    </w:rPr>
  </w:style>
  <w:style w:type="paragraph" w:customStyle="1" w:styleId="47">
    <w:name w:val="我的样式（正文）"/>
    <w:basedOn w:val="1"/>
    <w:autoRedefine/>
    <w:qFormat/>
    <w:uiPriority w:val="0"/>
    <w:pPr>
      <w:spacing w:line="440" w:lineRule="exact"/>
    </w:pPr>
    <w:rPr>
      <w:rFonts w:ascii="宋体"/>
      <w:sz w:val="28"/>
    </w:rPr>
  </w:style>
  <w:style w:type="paragraph" w:customStyle="1" w:styleId="48">
    <w:name w:val="表格内正文"/>
    <w:basedOn w:val="1"/>
    <w:autoRedefine/>
    <w:qFormat/>
    <w:uiPriority w:val="0"/>
    <w:pPr>
      <w:ind w:firstLine="493"/>
    </w:pPr>
    <w:rPr>
      <w:rFonts w:ascii="宋体" w:hAnsi="宋体"/>
      <w:spacing w:val="4"/>
      <w:kern w:val="18"/>
    </w:rPr>
  </w:style>
  <w:style w:type="paragraph" w:customStyle="1" w:styleId="49">
    <w:name w:val="标准"/>
    <w:autoRedefine/>
    <w:qFormat/>
    <w:uiPriority w:val="0"/>
    <w:pPr>
      <w:adjustRightInd w:val="0"/>
      <w:spacing w:line="312" w:lineRule="atLeast"/>
      <w:jc w:val="center"/>
      <w:textAlignment w:val="baseline"/>
    </w:pPr>
    <w:rPr>
      <w:rFonts w:ascii="Times New Roman" w:hAnsi="Times New Roman" w:eastAsia="宋体" w:cs="Times New Roman"/>
      <w:sz w:val="21"/>
      <w:szCs w:val="22"/>
      <w:lang w:val="en-US" w:eastAsia="zh-CN" w:bidi="ar-SA"/>
    </w:rPr>
  </w:style>
  <w:style w:type="paragraph" w:customStyle="1" w:styleId="50">
    <w:name w:val="xl27"/>
    <w:basedOn w:val="1"/>
    <w:autoRedefine/>
    <w:qFormat/>
    <w:uiPriority w:val="0"/>
    <w:pPr>
      <w:widowControl/>
      <w:pBdr>
        <w:bottom w:val="single" w:color="auto" w:sz="12" w:space="0"/>
      </w:pBdr>
      <w:spacing w:before="100" w:after="100"/>
      <w:jc w:val="center"/>
    </w:pPr>
    <w:rPr>
      <w:rFonts w:ascii="宋体" w:hAnsi="宋体"/>
      <w:kern w:val="0"/>
    </w:rPr>
  </w:style>
  <w:style w:type="paragraph" w:customStyle="1" w:styleId="51">
    <w:name w:val="样式 自动设置"/>
    <w:basedOn w:val="1"/>
    <w:autoRedefine/>
    <w:qFormat/>
    <w:uiPriority w:val="0"/>
    <w:pPr>
      <w:autoSpaceDE w:val="0"/>
      <w:autoSpaceDN w:val="0"/>
      <w:adjustRightInd w:val="0"/>
      <w:snapToGrid w:val="0"/>
      <w:spacing w:before="156" w:beforeLines="50" w:line="288" w:lineRule="auto"/>
      <w:ind w:firstLine="200" w:firstLineChars="200"/>
    </w:pPr>
    <w:rPr>
      <w:rFonts w:cs="宋体"/>
    </w:rPr>
  </w:style>
  <w:style w:type="paragraph" w:customStyle="1" w:styleId="52">
    <w:name w:val="5级标题"/>
    <w:basedOn w:val="1"/>
    <w:autoRedefine/>
    <w:qFormat/>
    <w:uiPriority w:val="0"/>
    <w:pPr>
      <w:jc w:val="left"/>
    </w:pPr>
    <w:rPr>
      <w:szCs w:val="22"/>
    </w:rPr>
  </w:style>
  <w:style w:type="paragraph" w:customStyle="1" w:styleId="53">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Cs w:val="20"/>
    </w:rPr>
  </w:style>
  <w:style w:type="character" w:customStyle="1" w:styleId="56">
    <w:name w:val="font21"/>
    <w:basedOn w:val="22"/>
    <w:autoRedefine/>
    <w:qFormat/>
    <w:uiPriority w:val="0"/>
    <w:rPr>
      <w:rFonts w:hint="default" w:ascii="Times New Roman" w:hAnsi="Times New Roman" w:cs="Times New Roman"/>
      <w:color w:val="000000"/>
      <w:sz w:val="21"/>
      <w:szCs w:val="21"/>
      <w:u w:val="none"/>
    </w:rPr>
  </w:style>
  <w:style w:type="character" w:customStyle="1" w:styleId="57">
    <w:name w:val="font201"/>
    <w:basedOn w:val="22"/>
    <w:autoRedefine/>
    <w:qFormat/>
    <w:uiPriority w:val="0"/>
    <w:rPr>
      <w:rFonts w:hint="eastAsia" w:ascii="仿宋" w:hAnsi="仿宋" w:eastAsia="仿宋" w:cs="仿宋"/>
      <w:color w:val="000000"/>
      <w:sz w:val="24"/>
      <w:szCs w:val="24"/>
      <w:u w:val="none"/>
    </w:rPr>
  </w:style>
  <w:style w:type="paragraph" w:customStyle="1" w:styleId="58">
    <w:name w:val="_Style 37"/>
    <w:basedOn w:val="1"/>
    <w:autoRedefine/>
    <w:qFormat/>
    <w:uiPriority w:val="0"/>
    <w:pPr>
      <w:spacing w:line="240" w:lineRule="exact"/>
      <w:ind w:firstLine="200" w:firstLineChars="200"/>
    </w:pPr>
    <w:rPr>
      <w:rFonts w:eastAsia="Times New Roman"/>
      <w:kern w:val="0"/>
    </w:rPr>
  </w:style>
  <w:style w:type="character" w:customStyle="1" w:styleId="59">
    <w:name w:val="font212"/>
    <w:basedOn w:val="22"/>
    <w:autoRedefine/>
    <w:qFormat/>
    <w:uiPriority w:val="0"/>
    <w:rPr>
      <w:rFonts w:hint="default" w:ascii="Times New Roman" w:hAnsi="Times New Roman" w:cs="Times New Roman"/>
      <w:color w:val="000000"/>
      <w:sz w:val="24"/>
      <w:szCs w:val="24"/>
      <w:u w:val="none"/>
    </w:rPr>
  </w:style>
  <w:style w:type="character" w:customStyle="1" w:styleId="60">
    <w:name w:val="font141"/>
    <w:basedOn w:val="22"/>
    <w:autoRedefine/>
    <w:qFormat/>
    <w:uiPriority w:val="0"/>
    <w:rPr>
      <w:rFonts w:hint="default" w:ascii="Times New Roman" w:hAnsi="Times New Roman" w:cs="Times New Roman"/>
      <w:color w:val="000000"/>
      <w:sz w:val="24"/>
      <w:szCs w:val="24"/>
      <w:u w:val="none"/>
    </w:rPr>
  </w:style>
  <w:style w:type="paragraph" w:customStyle="1" w:styleId="61">
    <w:name w:val="小标"/>
    <w:basedOn w:val="62"/>
    <w:autoRedefine/>
    <w:qFormat/>
    <w:uiPriority w:val="0"/>
    <w:pPr>
      <w:spacing w:line="300" w:lineRule="auto"/>
      <w:ind w:left="0" w:right="0"/>
    </w:pPr>
  </w:style>
  <w:style w:type="paragraph" w:customStyle="1" w:styleId="62">
    <w:name w:val="表"/>
    <w:basedOn w:val="1"/>
    <w:autoRedefine/>
    <w:qFormat/>
    <w:uiPriority w:val="0"/>
    <w:pPr>
      <w:ind w:left="113" w:right="113"/>
      <w:jc w:val="center"/>
    </w:pPr>
    <w:rPr>
      <w:position w:val="-1"/>
    </w:rPr>
  </w:style>
  <w:style w:type="paragraph" w:customStyle="1" w:styleId="63">
    <w:name w:val="列出段落11"/>
    <w:basedOn w:val="1"/>
    <w:autoRedefine/>
    <w:qFormat/>
    <w:uiPriority w:val="0"/>
    <w:pPr>
      <w:ind w:firstLine="420" w:firstLineChars="200"/>
    </w:pPr>
  </w:style>
  <w:style w:type="paragraph" w:customStyle="1" w:styleId="64">
    <w:name w:val="列出段落1"/>
    <w:basedOn w:val="1"/>
    <w:autoRedefine/>
    <w:qFormat/>
    <w:uiPriority w:val="34"/>
    <w:pPr>
      <w:adjustRightInd w:val="0"/>
      <w:snapToGrid w:val="0"/>
      <w:ind w:firstLine="420" w:firstLineChars="200"/>
    </w:pPr>
  </w:style>
  <w:style w:type="paragraph" w:customStyle="1" w:styleId="65">
    <w:name w:val="图表文字"/>
    <w:basedOn w:val="1"/>
    <w:autoRedefine/>
    <w:qFormat/>
    <w:uiPriority w:val="0"/>
    <w:pPr>
      <w:jc w:val="center"/>
    </w:pPr>
    <w:rPr>
      <w:rFonts w:ascii="仿宋_GB2312" w:eastAsia="仿宋_GB2312"/>
    </w:rPr>
  </w:style>
  <w:style w:type="paragraph" w:customStyle="1" w:styleId="66">
    <w:name w:val="表格内容"/>
    <w:basedOn w:val="1"/>
    <w:next w:val="1"/>
    <w:autoRedefine/>
    <w:qFormat/>
    <w:uiPriority w:val="0"/>
    <w:pPr>
      <w:autoSpaceDE w:val="0"/>
      <w:autoSpaceDN w:val="0"/>
      <w:adjustRightInd w:val="0"/>
      <w:snapToGrid w:val="0"/>
      <w:spacing w:line="240" w:lineRule="auto"/>
      <w:jc w:val="center"/>
    </w:pPr>
    <w:rPr>
      <w:rFonts w:cs="宋体"/>
      <w:kern w:val="0"/>
      <w:sz w:val="21"/>
      <w:szCs w:val="21"/>
    </w:rPr>
  </w:style>
  <w:style w:type="character" w:customStyle="1" w:styleId="67">
    <w:name w:val="font12"/>
    <w:basedOn w:val="22"/>
    <w:autoRedefine/>
    <w:qFormat/>
    <w:uiPriority w:val="0"/>
    <w:rPr>
      <w:rFonts w:hint="default" w:ascii="Times New Roman" w:hAnsi="Times New Roman" w:cs="Times New Roman"/>
      <w:b/>
      <w:color w:val="000000"/>
      <w:sz w:val="20"/>
      <w:szCs w:val="20"/>
      <w:u w:val="none"/>
    </w:rPr>
  </w:style>
  <w:style w:type="character" w:customStyle="1" w:styleId="68">
    <w:name w:val="font111"/>
    <w:basedOn w:val="22"/>
    <w:autoRedefine/>
    <w:qFormat/>
    <w:uiPriority w:val="0"/>
    <w:rPr>
      <w:rFonts w:hint="eastAsia" w:ascii="仿宋" w:hAnsi="仿宋" w:eastAsia="仿宋" w:cs="仿宋"/>
      <w:color w:val="000000"/>
      <w:sz w:val="20"/>
      <w:szCs w:val="20"/>
      <w:u w:val="none"/>
    </w:rPr>
  </w:style>
  <w:style w:type="character" w:customStyle="1" w:styleId="69">
    <w:name w:val="16"/>
    <w:basedOn w:val="22"/>
    <w:autoRedefine/>
    <w:qFormat/>
    <w:uiPriority w:val="0"/>
    <w:rPr>
      <w:rFonts w:hint="eastAsia" w:ascii="仿宋" w:hAnsi="仿宋" w:eastAsia="仿宋" w:cs="仿宋"/>
      <w:color w:val="000000"/>
      <w:sz w:val="22"/>
      <w:szCs w:val="22"/>
    </w:rPr>
  </w:style>
  <w:style w:type="character" w:customStyle="1" w:styleId="70">
    <w:name w:val="15"/>
    <w:basedOn w:val="22"/>
    <w:autoRedefine/>
    <w:qFormat/>
    <w:uiPriority w:val="0"/>
    <w:rPr>
      <w:rFonts w:hint="default" w:ascii="Times New Roman" w:hAnsi="Times New Roman" w:cs="Times New Roman"/>
      <w:color w:val="000000"/>
      <w:sz w:val="22"/>
      <w:szCs w:val="22"/>
    </w:rPr>
  </w:style>
  <w:style w:type="character" w:customStyle="1" w:styleId="71">
    <w:name w:val="font11"/>
    <w:basedOn w:val="22"/>
    <w:autoRedefine/>
    <w:qFormat/>
    <w:uiPriority w:val="0"/>
    <w:rPr>
      <w:rFonts w:hint="eastAsia" w:ascii="仿宋" w:hAnsi="仿宋" w:eastAsia="仿宋" w:cs="仿宋"/>
      <w:color w:val="000000"/>
      <w:sz w:val="21"/>
      <w:szCs w:val="21"/>
      <w:u w:val="none"/>
    </w:rPr>
  </w:style>
  <w:style w:type="character" w:customStyle="1" w:styleId="72">
    <w:name w:val="font71"/>
    <w:basedOn w:val="22"/>
    <w:autoRedefine/>
    <w:qFormat/>
    <w:uiPriority w:val="0"/>
    <w:rPr>
      <w:rFonts w:hint="default" w:ascii="Times New Roman" w:hAnsi="Times New Roman" w:eastAsia="Times New Roman" w:cs="Times New Roman"/>
      <w:b/>
      <w:color w:val="000000"/>
      <w:kern w:val="0"/>
      <w:sz w:val="21"/>
      <w:szCs w:val="21"/>
      <w:u w:val="none"/>
    </w:rPr>
  </w:style>
  <w:style w:type="character" w:customStyle="1" w:styleId="73">
    <w:name w:val="font151"/>
    <w:basedOn w:val="22"/>
    <w:autoRedefine/>
    <w:qFormat/>
    <w:uiPriority w:val="0"/>
    <w:rPr>
      <w:rFonts w:hint="default" w:ascii="Times New Roman" w:hAnsi="Times New Roman" w:cs="Times New Roman"/>
      <w:b/>
      <w:color w:val="000000"/>
      <w:sz w:val="24"/>
      <w:szCs w:val="24"/>
      <w:u w:val="none"/>
    </w:rPr>
  </w:style>
  <w:style w:type="character" w:customStyle="1" w:styleId="74">
    <w:name w:val="font121"/>
    <w:basedOn w:val="22"/>
    <w:autoRedefine/>
    <w:qFormat/>
    <w:uiPriority w:val="0"/>
    <w:rPr>
      <w:rFonts w:hint="eastAsia" w:ascii="仿宋" w:hAnsi="仿宋" w:eastAsia="仿宋" w:cs="仿宋"/>
      <w:b/>
      <w:color w:val="000000"/>
      <w:sz w:val="24"/>
      <w:szCs w:val="24"/>
      <w:u w:val="none"/>
    </w:rPr>
  </w:style>
  <w:style w:type="character" w:customStyle="1" w:styleId="75">
    <w:name w:val="font101"/>
    <w:basedOn w:val="22"/>
    <w:autoRedefine/>
    <w:qFormat/>
    <w:uiPriority w:val="0"/>
    <w:rPr>
      <w:rFonts w:hint="eastAsia" w:ascii="仿宋" w:hAnsi="仿宋" w:eastAsia="仿宋" w:cs="仿宋"/>
      <w:b/>
      <w:color w:val="000000"/>
      <w:kern w:val="0"/>
      <w:sz w:val="21"/>
      <w:szCs w:val="21"/>
      <w:u w:val="none"/>
    </w:rPr>
  </w:style>
  <w:style w:type="character" w:customStyle="1" w:styleId="76">
    <w:name w:val="font181"/>
    <w:basedOn w:val="22"/>
    <w:autoRedefine/>
    <w:qFormat/>
    <w:uiPriority w:val="0"/>
    <w:rPr>
      <w:rFonts w:hint="eastAsia" w:ascii="仿宋" w:hAnsi="仿宋" w:eastAsia="仿宋" w:cs="仿宋"/>
      <w:b/>
      <w:color w:val="000000"/>
      <w:sz w:val="21"/>
      <w:szCs w:val="21"/>
      <w:u w:val="none"/>
    </w:rPr>
  </w:style>
  <w:style w:type="character" w:customStyle="1" w:styleId="77">
    <w:name w:val="font171"/>
    <w:basedOn w:val="22"/>
    <w:autoRedefine/>
    <w:qFormat/>
    <w:uiPriority w:val="0"/>
    <w:rPr>
      <w:rFonts w:hint="default" w:ascii="Times New Roman" w:hAnsi="Times New Roman" w:cs="Times New Roman"/>
      <w:color w:val="000000"/>
      <w:sz w:val="24"/>
      <w:szCs w:val="24"/>
      <w:u w:val="none"/>
    </w:rPr>
  </w:style>
  <w:style w:type="character" w:customStyle="1" w:styleId="78">
    <w:name w:val="font81"/>
    <w:basedOn w:val="22"/>
    <w:autoRedefine/>
    <w:qFormat/>
    <w:uiPriority w:val="0"/>
    <w:rPr>
      <w:rFonts w:ascii="仿宋" w:hAnsi="仿宋" w:eastAsia="仿宋" w:cs="仿宋"/>
      <w:b/>
      <w:color w:val="000000"/>
      <w:kern w:val="0"/>
      <w:sz w:val="21"/>
      <w:szCs w:val="21"/>
      <w:u w:val="none"/>
    </w:rPr>
  </w:style>
  <w:style w:type="character" w:customStyle="1" w:styleId="79">
    <w:name w:val="font131"/>
    <w:basedOn w:val="22"/>
    <w:autoRedefine/>
    <w:qFormat/>
    <w:uiPriority w:val="0"/>
    <w:rPr>
      <w:rFonts w:hint="eastAsia" w:ascii="仿宋" w:hAnsi="仿宋" w:eastAsia="仿宋" w:cs="仿宋"/>
      <w:color w:val="000000"/>
      <w:sz w:val="22"/>
      <w:szCs w:val="22"/>
      <w:u w:val="none"/>
    </w:rPr>
  </w:style>
  <w:style w:type="character" w:customStyle="1" w:styleId="80">
    <w:name w:val="font221"/>
    <w:basedOn w:val="22"/>
    <w:autoRedefine/>
    <w:qFormat/>
    <w:uiPriority w:val="0"/>
    <w:rPr>
      <w:rFonts w:hint="default" w:ascii="Times New Roman" w:hAnsi="Times New Roman" w:cs="Times New Roman"/>
      <w:color w:val="000000"/>
      <w:sz w:val="22"/>
      <w:szCs w:val="22"/>
      <w:u w:val="none"/>
    </w:rPr>
  </w:style>
  <w:style w:type="character" w:customStyle="1" w:styleId="81">
    <w:name w:val="font161"/>
    <w:basedOn w:val="22"/>
    <w:autoRedefine/>
    <w:qFormat/>
    <w:uiPriority w:val="0"/>
    <w:rPr>
      <w:rFonts w:hint="eastAsia" w:ascii="仿宋" w:hAnsi="仿宋" w:eastAsia="仿宋" w:cs="仿宋"/>
      <w:color w:val="000000"/>
      <w:sz w:val="22"/>
      <w:szCs w:val="22"/>
      <w:u w:val="none"/>
    </w:rPr>
  </w:style>
  <w:style w:type="character" w:customStyle="1" w:styleId="82">
    <w:name w:val="font112"/>
    <w:basedOn w:val="22"/>
    <w:autoRedefine/>
    <w:qFormat/>
    <w:uiPriority w:val="0"/>
    <w:rPr>
      <w:rFonts w:hint="eastAsia" w:ascii="仿宋" w:hAnsi="仿宋" w:eastAsia="仿宋" w:cs="仿宋"/>
      <w:color w:val="000000"/>
      <w:kern w:val="0"/>
      <w:sz w:val="22"/>
      <w:szCs w:val="22"/>
      <w:u w:val="none"/>
    </w:rPr>
  </w:style>
  <w:style w:type="character" w:customStyle="1" w:styleId="83">
    <w:name w:val="font241"/>
    <w:basedOn w:val="22"/>
    <w:autoRedefine/>
    <w:qFormat/>
    <w:uiPriority w:val="0"/>
    <w:rPr>
      <w:rFonts w:hint="default" w:ascii="Times New Roman" w:hAnsi="Times New Roman" w:cs="Times New Roman"/>
      <w:color w:val="000000"/>
      <w:sz w:val="21"/>
      <w:szCs w:val="21"/>
      <w:u w:val="none"/>
      <w:vertAlign w:val="subscript"/>
    </w:rPr>
  </w:style>
  <w:style w:type="paragraph" w:customStyle="1" w:styleId="84">
    <w:name w:val="Default"/>
    <w:qFormat/>
    <w:uiPriority w:val="0"/>
    <w:pPr>
      <w:widowControl w:val="0"/>
      <w:autoSpaceDE w:val="0"/>
      <w:autoSpaceDN w:val="0"/>
      <w:adjustRightInd w:val="0"/>
    </w:pPr>
    <w:rPr>
      <w:rFonts w:ascii="方正黑体_GBK" w:hAnsi="Cambria" w:eastAsia="方正黑体_GBK" w:cs="方正黑体_GBK"/>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wmf"/><Relationship Id="rId22" Type="http://schemas.openxmlformats.org/officeDocument/2006/relationships/oleObject" Target="embeddings/oleObject3.bin"/><Relationship Id="rId21" Type="http://schemas.openxmlformats.org/officeDocument/2006/relationships/image" Target="media/image10.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E2NzUwOTAzNTAwIiwKCSJHcm91cElkIiA6ICIxMDMxNTQzMjc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jE2OTQyMTgzIiwKCSJWZXJzaW9uIiA6ICI1MyIKfQo="/>
    </extobj>
    <extobj name="ECB019B1-382A-4266-B25C-5B523AA43C14-3">
      <extobjdata type="ECB019B1-382A-4266-B25C-5B523AA43C14" data="ewoJIkZpbGVJZCIgOiAiNDM0ODU5MzUwMTY2IiwKCSJHcm91cElkIiA6ICIxMDMxNTQzMjc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jE2OTQyMTgzIiwKCSJWZXJzaW9uIiA6ICIxMiIKfQo="/>
    </extobj>
    <extobj name="ECB019B1-382A-4266-B25C-5B523AA43C14-2">
      <extobjdata type="ECB019B1-382A-4266-B25C-5B523AA43C14" data="ewoJIkZpbGVJZCIgOiAiNDE1OTgyNDc0NzY0IiwKCSJHcm91cElkIiA6ICIxMDMxNTQzMjciLAoJIkltYWdlIiA6ICJpVkJPUncwS0dnb0FBQUFOU1VoRVVnQUFBMzhBQUFJUUNBWUFBQUF4WXRlMEFBQUFBWE5TUjBJQXJzNGM2UUFBSUFCSlJFRlVlSnpzM1hsY1ZGWC9CL0RQdVRNTWd5bUlvb0RpdmlVcU1FTXUrSVJsV1phcGFUMlpxYm5nOHVTV3VhV21WcWFXaWt1VytxVDJ0SmhhV201cHVmek1CUzFYR0JaRkRWTlVGRWxRQkVHV21YdCtmOEJNSUlPQ29xQjgzcStYTDRkN2x2dTlXTWEzYys3M0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OdWQvdzhsNDdQcVFVa2hDZ0FBQUFCSlJVNUVya0pnZ2c9PSIsCgkiVGhlbWUiIDogIiIsCgkiVHlwZSIgOiAiZmxvdyIsCgkiVXNlcklkIiA6ICIyMTY5NDIxODMiLAoJIlZlcnNpb24iIDogIjE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128</Pages>
  <Words>11981</Words>
  <Characters>12748</Characters>
  <Lines>594</Lines>
  <Paragraphs>167</Paragraphs>
  <TotalTime>0</TotalTime>
  <ScaleCrop>false</ScaleCrop>
  <LinksUpToDate>false</LinksUpToDate>
  <CharactersWithSpaces>12848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2024-10-14T07:46:00Z</dcterms:created>
  <dc:creator>尚云环境</dc:creator>
  <cp:lastModifiedBy>鈺</cp:lastModifiedBy>
  <cp:lastPrinted>2025-07-11T00:32:00Z</cp:lastPrinted>
  <dcterms:modified xsi:type="dcterms:W3CDTF">2025-07-13T07:00:13Z</dcterms:modified>
  <dc:title>建设项目环境影响报告表（污染影响类）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30EA16642776454F93AD298BD30B0493_13</vt:lpwstr>
  </property>
  <property fmtid="{D5CDD505-2E9C-101B-9397-08002B2CF9AE}" pid="4" name="KSOTemplateDocerSaveRecord">
    <vt:lpwstr>eyJoZGlkIjoiYWE2MjBjOTc5MjQzNjU3ZWRhOTA4YjQ2NjMyYmE4ZTUiLCJ1c2VySWQiOiIyMTY5NDIxODMifQ==</vt:lpwstr>
  </property>
</Properties>
</file>