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35ABD3">
      <w:pPr>
        <w:rPr>
          <w:rFonts w:hint="default" w:ascii="Times New Roman" w:hAnsi="Times New Roman" w:eastAsia="仿宋" w:cs="Times New Roman"/>
          <w:color w:val="auto"/>
          <w:sz w:val="36"/>
          <w:szCs w:val="36"/>
        </w:rPr>
      </w:pPr>
    </w:p>
    <w:p w14:paraId="6FADE7A0">
      <w:pPr>
        <w:rPr>
          <w:rFonts w:hint="default" w:ascii="Times New Roman" w:hAnsi="Times New Roman" w:eastAsia="仿宋" w:cs="Times New Roman"/>
          <w:color w:val="auto"/>
          <w:sz w:val="36"/>
          <w:szCs w:val="36"/>
        </w:rPr>
      </w:pPr>
    </w:p>
    <w:p w14:paraId="76855F4D">
      <w:pPr>
        <w:adjustRightInd w:val="0"/>
        <w:snapToGrid w:val="0"/>
        <w:jc w:val="center"/>
        <w:outlineLvl w:val="0"/>
        <w:rPr>
          <w:rFonts w:hint="default" w:ascii="Times New Roman" w:hAnsi="Times New Roman" w:eastAsia="仿宋" w:cs="Times New Roman"/>
          <w:bCs/>
          <w:color w:val="auto"/>
          <w:sz w:val="72"/>
          <w:szCs w:val="72"/>
        </w:rPr>
      </w:pPr>
      <w:r>
        <w:rPr>
          <w:rFonts w:hint="default" w:ascii="Times New Roman" w:hAnsi="Times New Roman" w:eastAsia="仿宋" w:cs="Times New Roman"/>
          <w:bCs/>
          <w:color w:val="auto"/>
          <w:sz w:val="72"/>
          <w:szCs w:val="72"/>
        </w:rPr>
        <w:t>建设项目环境影响报告表</w:t>
      </w:r>
    </w:p>
    <w:p w14:paraId="21F48824">
      <w:pPr>
        <w:adjustRightInd w:val="0"/>
        <w:snapToGrid w:val="0"/>
        <w:spacing w:before="192" w:beforeLines="80"/>
        <w:jc w:val="center"/>
        <w:rPr>
          <w:rFonts w:hint="default" w:ascii="Times New Roman" w:hAnsi="Times New Roman" w:eastAsia="仿宋" w:cs="Times New Roman"/>
          <w:bCs/>
          <w:color w:val="auto"/>
          <w:sz w:val="48"/>
          <w:szCs w:val="48"/>
        </w:rPr>
      </w:pPr>
      <w:r>
        <w:rPr>
          <w:rFonts w:hint="default" w:ascii="Times New Roman" w:hAnsi="Times New Roman" w:eastAsia="仿宋" w:cs="Times New Roman"/>
          <w:bCs/>
          <w:color w:val="auto"/>
          <w:sz w:val="48"/>
          <w:szCs w:val="48"/>
        </w:rPr>
        <w:t>（污染影响类）</w:t>
      </w:r>
    </w:p>
    <w:p w14:paraId="54430D4A">
      <w:pPr>
        <w:adjustRightInd w:val="0"/>
        <w:snapToGrid w:val="0"/>
        <w:spacing w:line="288" w:lineRule="auto"/>
        <w:ind w:firstLine="1040"/>
        <w:rPr>
          <w:rFonts w:hint="default" w:ascii="Times New Roman" w:hAnsi="Times New Roman" w:eastAsia="仿宋" w:cs="Times New Roman"/>
          <w:color w:val="auto"/>
          <w:sz w:val="36"/>
          <w:szCs w:val="36"/>
        </w:rPr>
      </w:pPr>
    </w:p>
    <w:p w14:paraId="1AF22D3C">
      <w:pPr>
        <w:adjustRightInd w:val="0"/>
        <w:snapToGrid w:val="0"/>
        <w:spacing w:line="288" w:lineRule="auto"/>
        <w:ind w:firstLine="1040"/>
        <w:rPr>
          <w:rFonts w:hint="default" w:ascii="Times New Roman" w:hAnsi="Times New Roman" w:eastAsia="仿宋" w:cs="Times New Roman"/>
          <w:color w:val="auto"/>
          <w:sz w:val="36"/>
          <w:szCs w:val="36"/>
        </w:rPr>
      </w:pPr>
    </w:p>
    <w:p w14:paraId="55FC2A1E">
      <w:pPr>
        <w:pStyle w:val="2"/>
        <w:rPr>
          <w:rFonts w:hint="default" w:ascii="Times New Roman" w:hAnsi="Times New Roman" w:eastAsia="仿宋" w:cs="Times New Roman"/>
          <w:color w:val="auto"/>
          <w:sz w:val="21"/>
          <w:szCs w:val="24"/>
        </w:rPr>
      </w:pPr>
    </w:p>
    <w:p w14:paraId="5236C38E">
      <w:pPr>
        <w:adjustRightInd w:val="0"/>
        <w:snapToGrid w:val="0"/>
        <w:spacing w:line="288" w:lineRule="auto"/>
        <w:ind w:firstLine="1040"/>
        <w:rPr>
          <w:rFonts w:hint="default" w:ascii="Times New Roman" w:hAnsi="Times New Roman" w:eastAsia="仿宋" w:cs="Times New Roman"/>
          <w:color w:val="auto"/>
          <w:sz w:val="36"/>
          <w:szCs w:val="36"/>
        </w:rPr>
      </w:pPr>
    </w:p>
    <w:p w14:paraId="22AB878B">
      <w:pPr>
        <w:adjustRightInd w:val="0"/>
        <w:snapToGrid w:val="0"/>
        <w:spacing w:line="288" w:lineRule="auto"/>
        <w:ind w:firstLine="1040"/>
        <w:rPr>
          <w:rFonts w:hint="default" w:ascii="Times New Roman" w:hAnsi="Times New Roman" w:eastAsia="仿宋" w:cs="Times New Roman"/>
          <w:color w:val="auto"/>
          <w:sz w:val="36"/>
          <w:szCs w:val="36"/>
        </w:rPr>
      </w:pPr>
    </w:p>
    <w:p w14:paraId="6A5BF855">
      <w:pPr>
        <w:adjustRightInd w:val="0"/>
        <w:snapToGrid w:val="0"/>
        <w:spacing w:line="480" w:lineRule="auto"/>
        <w:ind w:left="1600" w:hanging="1600" w:hangingChars="500"/>
        <w:jc w:val="left"/>
        <w:rPr>
          <w:rFonts w:hint="default" w:ascii="Times New Roman" w:hAnsi="Times New Roman" w:eastAsia="仿宋" w:cs="Times New Roman"/>
          <w:color w:val="auto"/>
          <w:sz w:val="32"/>
          <w:szCs w:val="32"/>
          <w:u w:val="single"/>
        </w:rPr>
      </w:pPr>
      <w:r>
        <w:rPr>
          <w:rFonts w:hint="default" w:ascii="Times New Roman" w:hAnsi="Times New Roman" w:eastAsia="仿宋" w:cs="Times New Roman"/>
          <w:color w:val="auto"/>
          <w:sz w:val="32"/>
          <w:szCs w:val="32"/>
        </w:rPr>
        <w:t>项目名称：</w:t>
      </w:r>
      <w:r>
        <w:rPr>
          <w:rFonts w:hint="default" w:ascii="Times New Roman" w:hAnsi="Times New Roman" w:eastAsia="仿宋" w:cs="Times New Roman"/>
          <w:color w:val="auto"/>
          <w:sz w:val="32"/>
          <w:szCs w:val="32"/>
          <w:u w:val="single"/>
          <w:lang w:eastAsia="zh-CN"/>
        </w:rPr>
        <w:t>年产步进电机100万台、直流无刷电机20万台、驱动器30万台项目</w:t>
      </w:r>
    </w:p>
    <w:p w14:paraId="201EFC79">
      <w:pPr>
        <w:adjustRightInd w:val="0"/>
        <w:snapToGrid w:val="0"/>
        <w:spacing w:line="480" w:lineRule="auto"/>
        <w:jc w:val="left"/>
        <w:rPr>
          <w:rFonts w:hint="default" w:ascii="Times New Roman" w:hAnsi="Times New Roman" w:eastAsia="仿宋" w:cs="Times New Roman"/>
          <w:color w:val="auto"/>
          <w:sz w:val="32"/>
          <w:szCs w:val="32"/>
          <w:u w:val="single"/>
          <w:lang w:val="en-US" w:eastAsia="zh-CN"/>
        </w:rPr>
      </w:pPr>
      <w:r>
        <w:rPr>
          <w:rFonts w:hint="default" w:ascii="Times New Roman" w:hAnsi="Times New Roman" w:eastAsia="仿宋" w:cs="Times New Roman"/>
          <w:color w:val="auto"/>
          <w:sz w:val="32"/>
          <w:szCs w:val="32"/>
        </w:rPr>
        <w:t>建设单位（盖章）：</w:t>
      </w:r>
      <w:r>
        <w:rPr>
          <w:rFonts w:hint="default" w:ascii="Times New Roman" w:hAnsi="Times New Roman" w:eastAsia="仿宋" w:cs="Times New Roman"/>
          <w:color w:val="auto"/>
          <w:sz w:val="32"/>
          <w:szCs w:val="32"/>
          <w:u w:val="single"/>
          <w:lang w:val="en-US" w:eastAsia="zh-CN"/>
        </w:rPr>
        <w:t xml:space="preserve">    </w:t>
      </w:r>
      <w:r>
        <w:rPr>
          <w:rFonts w:hint="default" w:ascii="Times New Roman" w:hAnsi="Times New Roman" w:eastAsia="仿宋" w:cs="Times New Roman"/>
          <w:color w:val="auto"/>
          <w:sz w:val="32"/>
          <w:szCs w:val="32"/>
          <w:u w:val="single"/>
          <w:lang w:eastAsia="zh-CN"/>
        </w:rPr>
        <w:t>常州爱维电子控制技术有限公司</w:t>
      </w:r>
      <w:r>
        <w:rPr>
          <w:rFonts w:hint="default" w:ascii="Times New Roman" w:hAnsi="Times New Roman" w:eastAsia="仿宋" w:cs="Times New Roman"/>
          <w:color w:val="auto"/>
          <w:sz w:val="32"/>
          <w:szCs w:val="32"/>
          <w:u w:val="single"/>
          <w:lang w:val="en-US" w:eastAsia="zh-CN"/>
        </w:rPr>
        <w:t xml:space="preserve">    </w:t>
      </w:r>
    </w:p>
    <w:p w14:paraId="4AC74523">
      <w:pPr>
        <w:adjustRightInd w:val="0"/>
        <w:snapToGrid w:val="0"/>
        <w:spacing w:line="480" w:lineRule="auto"/>
        <w:jc w:val="left"/>
        <w:rPr>
          <w:rFonts w:hint="default" w:ascii="Times New Roman" w:hAnsi="Times New Roman" w:eastAsia="仿宋" w:cs="Times New Roman"/>
          <w:color w:val="auto"/>
          <w:sz w:val="32"/>
          <w:szCs w:val="32"/>
          <w:u w:val="single"/>
          <w:lang w:val="en-US" w:eastAsia="zh-CN"/>
        </w:rPr>
      </w:pPr>
      <w:r>
        <w:rPr>
          <w:rFonts w:hint="default" w:ascii="Times New Roman" w:hAnsi="Times New Roman" w:eastAsia="仿宋" w:cs="Times New Roman"/>
          <w:color w:val="auto"/>
          <w:sz w:val="32"/>
          <w:szCs w:val="32"/>
        </w:rPr>
        <w:t>编制日期：</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z w:val="32"/>
          <w:szCs w:val="32"/>
          <w:u w:val="single"/>
          <w:lang w:val="en-US" w:eastAsia="zh-CN"/>
        </w:rPr>
        <w:t xml:space="preserve">  </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z w:val="32"/>
          <w:szCs w:val="32"/>
          <w:u w:val="single"/>
          <w:lang w:eastAsia="zh-CN"/>
        </w:rPr>
        <w:t>二〇二四年</w:t>
      </w:r>
      <w:r>
        <w:rPr>
          <w:rFonts w:hint="default" w:ascii="Times New Roman" w:hAnsi="Times New Roman" w:eastAsia="仿宋" w:cs="Times New Roman"/>
          <w:color w:val="auto"/>
          <w:sz w:val="32"/>
          <w:szCs w:val="32"/>
          <w:u w:val="single"/>
          <w:lang w:val="en-US" w:eastAsia="zh-CN"/>
        </w:rPr>
        <w:t>七</w:t>
      </w:r>
      <w:r>
        <w:rPr>
          <w:rFonts w:hint="default" w:ascii="Times New Roman" w:hAnsi="Times New Roman" w:eastAsia="仿宋" w:cs="Times New Roman"/>
          <w:color w:val="auto"/>
          <w:sz w:val="32"/>
          <w:szCs w:val="32"/>
          <w:u w:val="single"/>
        </w:rPr>
        <w:t xml:space="preserve">月    </w:t>
      </w:r>
      <w:r>
        <w:rPr>
          <w:rFonts w:hint="default" w:ascii="Times New Roman" w:hAnsi="Times New Roman" w:eastAsia="仿宋" w:cs="Times New Roman"/>
          <w:color w:val="auto"/>
          <w:sz w:val="32"/>
          <w:szCs w:val="32"/>
          <w:u w:val="single"/>
          <w:lang w:val="en-US" w:eastAsia="zh-CN"/>
        </w:rPr>
        <w:t xml:space="preserve">  </w:t>
      </w:r>
      <w:r>
        <w:rPr>
          <w:rFonts w:hint="default" w:ascii="Times New Roman" w:hAnsi="Times New Roman" w:eastAsia="仿宋" w:cs="Times New Roman"/>
          <w:color w:val="auto"/>
          <w:sz w:val="32"/>
          <w:szCs w:val="32"/>
          <w:u w:val="single"/>
        </w:rPr>
        <w:t xml:space="preserve">          </w:t>
      </w:r>
      <w:r>
        <w:rPr>
          <w:rFonts w:hint="default" w:ascii="Times New Roman" w:hAnsi="Times New Roman" w:eastAsia="仿宋" w:cs="Times New Roman"/>
          <w:color w:val="auto"/>
          <w:sz w:val="32"/>
          <w:szCs w:val="32"/>
          <w:u w:val="single"/>
          <w:lang w:val="en-US" w:eastAsia="zh-CN"/>
        </w:rPr>
        <w:t xml:space="preserve"> </w:t>
      </w:r>
    </w:p>
    <w:p w14:paraId="6B1E3E8C">
      <w:pPr>
        <w:adjustRightInd w:val="0"/>
        <w:snapToGrid w:val="0"/>
        <w:spacing w:line="288" w:lineRule="auto"/>
        <w:ind w:firstLine="1040"/>
        <w:rPr>
          <w:rFonts w:hint="default" w:ascii="Times New Roman" w:hAnsi="Times New Roman" w:eastAsia="仿宋" w:cs="Times New Roman"/>
          <w:color w:val="auto"/>
          <w:sz w:val="36"/>
          <w:szCs w:val="36"/>
        </w:rPr>
      </w:pPr>
      <w:bookmarkStart w:id="0" w:name="_Hlk57884087"/>
    </w:p>
    <w:p w14:paraId="2A4535CB">
      <w:pPr>
        <w:adjustRightInd w:val="0"/>
        <w:snapToGrid w:val="0"/>
        <w:spacing w:line="288" w:lineRule="auto"/>
        <w:ind w:firstLine="1040"/>
        <w:rPr>
          <w:rFonts w:hint="default" w:ascii="Times New Roman" w:hAnsi="Times New Roman" w:eastAsia="仿宋" w:cs="Times New Roman"/>
          <w:color w:val="auto"/>
          <w:sz w:val="36"/>
          <w:szCs w:val="36"/>
        </w:rPr>
      </w:pPr>
    </w:p>
    <w:p w14:paraId="1E22720E">
      <w:pPr>
        <w:pStyle w:val="2"/>
        <w:rPr>
          <w:rFonts w:hint="default" w:ascii="Times New Roman" w:hAnsi="Times New Roman" w:eastAsia="仿宋" w:cs="Times New Roman"/>
          <w:color w:val="auto"/>
          <w:sz w:val="21"/>
          <w:szCs w:val="24"/>
        </w:rPr>
      </w:pPr>
    </w:p>
    <w:p w14:paraId="2C2A48DD">
      <w:pPr>
        <w:pStyle w:val="2"/>
        <w:rPr>
          <w:rFonts w:hint="default" w:ascii="Times New Roman" w:hAnsi="Times New Roman" w:eastAsia="仿宋" w:cs="Times New Roman"/>
          <w:color w:val="auto"/>
        </w:rPr>
      </w:pPr>
    </w:p>
    <w:p w14:paraId="00121684">
      <w:pPr>
        <w:adjustRightInd w:val="0"/>
        <w:snapToGrid w:val="0"/>
        <w:spacing w:line="288" w:lineRule="auto"/>
        <w:ind w:firstLine="1040"/>
        <w:rPr>
          <w:rFonts w:hint="default" w:ascii="Times New Roman" w:hAnsi="Times New Roman" w:eastAsia="仿宋" w:cs="Times New Roman"/>
          <w:color w:val="auto"/>
          <w:sz w:val="36"/>
          <w:szCs w:val="36"/>
        </w:rPr>
      </w:pPr>
    </w:p>
    <w:bookmarkEnd w:id="0"/>
    <w:p w14:paraId="401866B4">
      <w:pPr>
        <w:adjustRightInd w:val="0"/>
        <w:snapToGrid w:val="0"/>
        <w:spacing w:line="288" w:lineRule="auto"/>
        <w:jc w:val="center"/>
        <w:rPr>
          <w:rFonts w:hint="default" w:ascii="Times New Roman" w:hAnsi="Times New Roman" w:eastAsia="仿宋" w:cs="Times New Roman"/>
          <w:color w:val="auto"/>
          <w:sz w:val="36"/>
          <w:szCs w:val="36"/>
        </w:rPr>
      </w:pPr>
      <w:r>
        <w:rPr>
          <w:rFonts w:hint="default" w:ascii="Times New Roman" w:hAnsi="Times New Roman" w:eastAsia="仿宋" w:cs="Times New Roman"/>
          <w:color w:val="auto"/>
          <w:sz w:val="36"/>
          <w:szCs w:val="36"/>
        </w:rPr>
        <w:t>中华人民共和国生态环境部制</w:t>
      </w:r>
    </w:p>
    <w:p w14:paraId="6C6C9E68">
      <w:pPr>
        <w:rPr>
          <w:rFonts w:hint="default" w:ascii="Times New Roman" w:hAnsi="Times New Roman" w:eastAsia="仿宋" w:cs="Times New Roman"/>
          <w:color w:val="auto"/>
          <w:sz w:val="36"/>
          <w:szCs w:val="36"/>
        </w:rPr>
      </w:pPr>
    </w:p>
    <w:p w14:paraId="3E6954BD">
      <w:pPr>
        <w:rPr>
          <w:rFonts w:hint="default" w:ascii="Times New Roman" w:hAnsi="Times New Roman" w:eastAsia="仿宋" w:cs="Times New Roman"/>
          <w:color w:val="auto"/>
        </w:rPr>
      </w:pPr>
    </w:p>
    <w:p w14:paraId="1109A50B">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172DE233">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一、建设项目基本情况</w:t>
      </w:r>
    </w:p>
    <w:tbl>
      <w:tblPr>
        <w:tblStyle w:val="24"/>
        <w:tblW w:w="534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638"/>
        <w:gridCol w:w="2645"/>
        <w:gridCol w:w="1881"/>
        <w:gridCol w:w="3316"/>
      </w:tblGrid>
      <w:tr w14:paraId="0F0E4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7462168C">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建设项目名称</w:t>
            </w:r>
          </w:p>
        </w:tc>
        <w:tc>
          <w:tcPr>
            <w:tcW w:w="4135" w:type="pct"/>
            <w:gridSpan w:val="3"/>
            <w:noWrap w:val="0"/>
            <w:vAlign w:val="center"/>
          </w:tcPr>
          <w:p w14:paraId="5F4A4E3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eastAsia="zh-CN"/>
              </w:rPr>
              <w:t>年产步进电机100万台、直流无刷电机20万台、驱动器30万台项目</w:t>
            </w:r>
          </w:p>
        </w:tc>
      </w:tr>
      <w:tr w14:paraId="27152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7C9AA4E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项目代码</w:t>
            </w:r>
          </w:p>
        </w:tc>
        <w:tc>
          <w:tcPr>
            <w:tcW w:w="4135" w:type="pct"/>
            <w:gridSpan w:val="3"/>
            <w:noWrap w:val="0"/>
            <w:vAlign w:val="center"/>
          </w:tcPr>
          <w:p w14:paraId="18C7AABD">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240</w:t>
            </w:r>
            <w:r>
              <w:rPr>
                <w:rFonts w:hint="default"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lang w:eastAsia="zh-CN"/>
              </w:rPr>
              <w:t>-320450-89-01-</w:t>
            </w:r>
            <w:r>
              <w:rPr>
                <w:rFonts w:hint="default" w:ascii="Times New Roman" w:hAnsi="Times New Roman" w:eastAsia="仿宋" w:cs="Times New Roman"/>
                <w:color w:val="auto"/>
                <w:sz w:val="24"/>
                <w:szCs w:val="24"/>
                <w:lang w:val="en-US" w:eastAsia="zh-CN"/>
              </w:rPr>
              <w:t>179164</w:t>
            </w:r>
          </w:p>
        </w:tc>
      </w:tr>
      <w:tr w14:paraId="7EE262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2E80465E">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建设单位联系人</w:t>
            </w:r>
          </w:p>
        </w:tc>
        <w:tc>
          <w:tcPr>
            <w:tcW w:w="1395" w:type="pct"/>
            <w:noWrap w:val="0"/>
            <w:vAlign w:val="center"/>
          </w:tcPr>
          <w:p w14:paraId="7194F9A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徐瑶</w:t>
            </w:r>
          </w:p>
        </w:tc>
        <w:tc>
          <w:tcPr>
            <w:tcW w:w="992" w:type="pct"/>
            <w:noWrap w:val="0"/>
            <w:vAlign w:val="center"/>
          </w:tcPr>
          <w:p w14:paraId="77A01539">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联系方式</w:t>
            </w:r>
          </w:p>
        </w:tc>
        <w:tc>
          <w:tcPr>
            <w:tcW w:w="1747" w:type="pct"/>
            <w:noWrap w:val="0"/>
            <w:vAlign w:val="center"/>
          </w:tcPr>
          <w:p w14:paraId="22E6B31D">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13515262573</w:t>
            </w:r>
          </w:p>
        </w:tc>
      </w:tr>
      <w:tr w14:paraId="59DB8D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40B7A1D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建设地点</w:t>
            </w:r>
          </w:p>
        </w:tc>
        <w:tc>
          <w:tcPr>
            <w:tcW w:w="4135" w:type="pct"/>
            <w:gridSpan w:val="3"/>
            <w:noWrap w:val="0"/>
            <w:vAlign w:val="center"/>
          </w:tcPr>
          <w:p w14:paraId="481D072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u w:val="single"/>
              </w:rPr>
              <w:t xml:space="preserve"> 江苏 </w:t>
            </w:r>
            <w:r>
              <w:rPr>
                <w:rFonts w:hint="default" w:ascii="Times New Roman" w:hAnsi="Times New Roman" w:eastAsia="仿宋" w:cs="Times New Roman"/>
                <w:color w:val="auto"/>
                <w:sz w:val="24"/>
                <w:szCs w:val="24"/>
              </w:rPr>
              <w:t>省（自治区）</w:t>
            </w:r>
            <w:r>
              <w:rPr>
                <w:rFonts w:hint="default" w:ascii="Times New Roman" w:hAnsi="Times New Roman" w:eastAsia="仿宋" w:cs="Times New Roman"/>
                <w:color w:val="auto"/>
                <w:sz w:val="24"/>
                <w:szCs w:val="24"/>
                <w:u w:val="single"/>
              </w:rPr>
              <w:t>常州</w:t>
            </w:r>
            <w:r>
              <w:rPr>
                <w:rFonts w:hint="default" w:ascii="Times New Roman" w:hAnsi="Times New Roman" w:eastAsia="仿宋" w:cs="Times New Roman"/>
                <w:color w:val="auto"/>
                <w:sz w:val="24"/>
                <w:szCs w:val="24"/>
              </w:rPr>
              <w:t>市</w:t>
            </w:r>
            <w:r>
              <w:rPr>
                <w:rFonts w:hint="default" w:ascii="Times New Roman" w:hAnsi="Times New Roman" w:eastAsia="仿宋" w:cs="Times New Roman"/>
                <w:color w:val="auto"/>
                <w:sz w:val="24"/>
                <w:szCs w:val="24"/>
                <w:u w:val="single"/>
              </w:rPr>
              <w:t>武进</w:t>
            </w:r>
            <w:r>
              <w:rPr>
                <w:rFonts w:hint="default" w:ascii="Times New Roman" w:hAnsi="Times New Roman" w:eastAsia="仿宋" w:cs="Times New Roman"/>
                <w:color w:val="auto"/>
                <w:sz w:val="24"/>
                <w:szCs w:val="24"/>
              </w:rPr>
              <w:t>县（区）</w:t>
            </w:r>
            <w:r>
              <w:rPr>
                <w:rFonts w:hint="default" w:ascii="Times New Roman" w:hAnsi="Times New Roman" w:eastAsia="仿宋" w:cs="Times New Roman"/>
                <w:color w:val="auto"/>
                <w:sz w:val="24"/>
                <w:szCs w:val="24"/>
                <w:u w:val="single"/>
              </w:rPr>
              <w:t>江苏武进经济开发区</w:t>
            </w:r>
            <w:r>
              <w:rPr>
                <w:rFonts w:hint="default" w:ascii="Times New Roman" w:hAnsi="Times New Roman" w:eastAsia="仿宋" w:cs="Times New Roman"/>
                <w:color w:val="auto"/>
                <w:sz w:val="24"/>
                <w:szCs w:val="24"/>
              </w:rPr>
              <w:t>乡（街道）</w:t>
            </w:r>
            <w:r>
              <w:rPr>
                <w:rFonts w:hint="default" w:ascii="Times New Roman" w:hAnsi="Times New Roman" w:eastAsia="仿宋" w:cs="Times New Roman"/>
                <w:color w:val="auto"/>
                <w:sz w:val="24"/>
                <w:szCs w:val="24"/>
                <w:u w:val="single"/>
              </w:rPr>
              <w:t>西湖街道长秀路8号</w:t>
            </w:r>
            <w:r>
              <w:rPr>
                <w:rFonts w:hint="default" w:ascii="Times New Roman" w:hAnsi="Times New Roman" w:eastAsia="仿宋" w:cs="Times New Roman"/>
                <w:b w:val="0"/>
                <w:bCs w:val="0"/>
                <w:color w:val="auto"/>
                <w:sz w:val="24"/>
                <w:szCs w:val="24"/>
                <w:lang w:val="en-US" w:eastAsia="zh-CN"/>
              </w:rPr>
              <w:t>（坤鼎常州创新产业基地9幢）</w:t>
            </w:r>
          </w:p>
        </w:tc>
      </w:tr>
      <w:tr w14:paraId="0E0E57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54578AEE">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地理坐标</w:t>
            </w:r>
          </w:p>
        </w:tc>
        <w:tc>
          <w:tcPr>
            <w:tcW w:w="4135" w:type="pct"/>
            <w:gridSpan w:val="3"/>
            <w:noWrap w:val="0"/>
            <w:vAlign w:val="center"/>
          </w:tcPr>
          <w:p w14:paraId="699705BE">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u w:val="single"/>
              </w:rPr>
              <w:t xml:space="preserve"> 119</w:t>
            </w:r>
            <w:r>
              <w:rPr>
                <w:rFonts w:hint="default" w:ascii="Times New Roman" w:hAnsi="Times New Roman" w:eastAsia="仿宋" w:cs="Times New Roman"/>
                <w:color w:val="auto"/>
                <w:sz w:val="24"/>
                <w:szCs w:val="24"/>
              </w:rPr>
              <w:t>度</w:t>
            </w:r>
            <w:r>
              <w:rPr>
                <w:rFonts w:hint="default" w:ascii="Times New Roman" w:hAnsi="Times New Roman" w:eastAsia="仿宋" w:cs="Times New Roman"/>
                <w:color w:val="auto"/>
                <w:sz w:val="24"/>
                <w:szCs w:val="24"/>
                <w:u w:val="single"/>
              </w:rPr>
              <w:t xml:space="preserve"> </w:t>
            </w:r>
            <w:r>
              <w:rPr>
                <w:rFonts w:hint="default" w:ascii="Times New Roman" w:hAnsi="Times New Roman" w:eastAsia="仿宋" w:cs="Times New Roman"/>
                <w:color w:val="auto"/>
                <w:sz w:val="24"/>
                <w:szCs w:val="24"/>
                <w:u w:val="single"/>
                <w:lang w:val="en-US" w:eastAsia="zh-CN"/>
              </w:rPr>
              <w:t>49</w:t>
            </w:r>
            <w:r>
              <w:rPr>
                <w:rFonts w:hint="default" w:ascii="Times New Roman" w:hAnsi="Times New Roman" w:eastAsia="仿宋" w:cs="Times New Roman"/>
                <w:color w:val="auto"/>
                <w:sz w:val="24"/>
                <w:szCs w:val="24"/>
                <w:u w:val="single"/>
              </w:rPr>
              <w:t xml:space="preserve"> </w:t>
            </w:r>
            <w:r>
              <w:rPr>
                <w:rFonts w:hint="default" w:ascii="Times New Roman" w:hAnsi="Times New Roman" w:eastAsia="仿宋" w:cs="Times New Roman"/>
                <w:color w:val="auto"/>
                <w:sz w:val="24"/>
                <w:szCs w:val="24"/>
              </w:rPr>
              <w:t>分</w:t>
            </w:r>
            <w:r>
              <w:rPr>
                <w:rFonts w:hint="default" w:ascii="Times New Roman" w:hAnsi="Times New Roman" w:eastAsia="仿宋" w:cs="Times New Roman"/>
                <w:color w:val="auto"/>
                <w:sz w:val="24"/>
                <w:szCs w:val="24"/>
                <w:u w:val="single"/>
              </w:rPr>
              <w:t xml:space="preserve"> 4.681 </w:t>
            </w:r>
            <w:r>
              <w:rPr>
                <w:rFonts w:hint="default" w:ascii="Times New Roman" w:hAnsi="Times New Roman" w:eastAsia="仿宋" w:cs="Times New Roman"/>
                <w:color w:val="auto"/>
                <w:sz w:val="24"/>
                <w:szCs w:val="24"/>
              </w:rPr>
              <w:t>秒，</w:t>
            </w:r>
            <w:r>
              <w:rPr>
                <w:rFonts w:hint="default" w:ascii="Times New Roman" w:hAnsi="Times New Roman" w:eastAsia="仿宋" w:cs="Times New Roman"/>
                <w:color w:val="auto"/>
                <w:sz w:val="24"/>
                <w:szCs w:val="24"/>
                <w:u w:val="single"/>
              </w:rPr>
              <w:t xml:space="preserve"> 31</w:t>
            </w:r>
            <w:r>
              <w:rPr>
                <w:rFonts w:hint="default" w:ascii="Times New Roman" w:hAnsi="Times New Roman" w:eastAsia="仿宋" w:cs="Times New Roman"/>
                <w:color w:val="auto"/>
                <w:sz w:val="24"/>
                <w:szCs w:val="24"/>
              </w:rPr>
              <w:t>度</w:t>
            </w:r>
            <w:r>
              <w:rPr>
                <w:rFonts w:hint="default" w:ascii="Times New Roman" w:hAnsi="Times New Roman" w:eastAsia="仿宋" w:cs="Times New Roman"/>
                <w:color w:val="auto"/>
                <w:sz w:val="24"/>
                <w:szCs w:val="24"/>
                <w:u w:val="single"/>
              </w:rPr>
              <w:t xml:space="preserve"> 4</w:t>
            </w:r>
            <w:r>
              <w:rPr>
                <w:rFonts w:hint="default" w:ascii="Times New Roman" w:hAnsi="Times New Roman" w:eastAsia="仿宋" w:cs="Times New Roman"/>
                <w:color w:val="auto"/>
                <w:sz w:val="24"/>
                <w:szCs w:val="24"/>
                <w:u w:val="single"/>
                <w:lang w:val="en-US" w:eastAsia="zh-CN"/>
              </w:rPr>
              <w:t>3</w:t>
            </w:r>
            <w:r>
              <w:rPr>
                <w:rFonts w:hint="default" w:ascii="Times New Roman" w:hAnsi="Times New Roman" w:eastAsia="仿宋" w:cs="Times New Roman"/>
                <w:color w:val="auto"/>
                <w:sz w:val="24"/>
                <w:szCs w:val="24"/>
                <w:u w:val="single"/>
              </w:rPr>
              <w:t xml:space="preserve"> </w:t>
            </w:r>
            <w:r>
              <w:rPr>
                <w:rFonts w:hint="default" w:ascii="Times New Roman" w:hAnsi="Times New Roman" w:eastAsia="仿宋" w:cs="Times New Roman"/>
                <w:color w:val="auto"/>
                <w:sz w:val="24"/>
                <w:szCs w:val="24"/>
              </w:rPr>
              <w:t>分</w:t>
            </w:r>
            <w:r>
              <w:rPr>
                <w:rFonts w:hint="default" w:ascii="Times New Roman" w:hAnsi="Times New Roman" w:eastAsia="仿宋" w:cs="Times New Roman"/>
                <w:color w:val="auto"/>
                <w:sz w:val="24"/>
                <w:szCs w:val="24"/>
                <w:u w:val="single"/>
              </w:rPr>
              <w:t xml:space="preserve"> </w:t>
            </w:r>
            <w:r>
              <w:rPr>
                <w:rFonts w:hint="default" w:ascii="Times New Roman" w:hAnsi="Times New Roman" w:eastAsia="仿宋" w:cs="Times New Roman"/>
                <w:color w:val="auto"/>
                <w:sz w:val="24"/>
                <w:szCs w:val="24"/>
                <w:u w:val="single"/>
                <w:lang w:val="en-US" w:eastAsia="zh-CN"/>
              </w:rPr>
              <w:t>51.290</w:t>
            </w:r>
            <w:r>
              <w:rPr>
                <w:rFonts w:hint="default" w:ascii="Times New Roman" w:hAnsi="Times New Roman" w:eastAsia="仿宋" w:cs="Times New Roman"/>
                <w:color w:val="auto"/>
                <w:sz w:val="24"/>
                <w:szCs w:val="24"/>
                <w:u w:val="single"/>
              </w:rPr>
              <w:t xml:space="preserve"> </w:t>
            </w:r>
            <w:r>
              <w:rPr>
                <w:rFonts w:hint="default" w:ascii="Times New Roman" w:hAnsi="Times New Roman" w:eastAsia="仿宋" w:cs="Times New Roman"/>
                <w:color w:val="auto"/>
                <w:sz w:val="24"/>
                <w:szCs w:val="24"/>
              </w:rPr>
              <w:t>秒）</w:t>
            </w:r>
          </w:p>
        </w:tc>
      </w:tr>
      <w:tr w14:paraId="2DA5B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22F97BF3">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国民经济</w:t>
            </w:r>
          </w:p>
          <w:p w14:paraId="3FE92275">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p>
        </w:tc>
        <w:tc>
          <w:tcPr>
            <w:tcW w:w="1395" w:type="pct"/>
            <w:noWrap w:val="0"/>
            <w:vAlign w:val="center"/>
          </w:tcPr>
          <w:p w14:paraId="3F6DB441">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C3813微特电机及组件制造</w:t>
            </w:r>
          </w:p>
        </w:tc>
        <w:tc>
          <w:tcPr>
            <w:tcW w:w="992" w:type="pct"/>
            <w:noWrap w:val="0"/>
            <w:vAlign w:val="center"/>
          </w:tcPr>
          <w:p w14:paraId="0FBE339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bookmarkStart w:id="1" w:name="_Hlk49843745"/>
            <w:r>
              <w:rPr>
                <w:rFonts w:hint="default" w:ascii="Times New Roman" w:hAnsi="Times New Roman" w:eastAsia="仿宋" w:cs="Times New Roman"/>
                <w:color w:val="auto"/>
                <w:sz w:val="24"/>
                <w:szCs w:val="24"/>
              </w:rPr>
              <w:t>建设项目</w:t>
            </w:r>
          </w:p>
          <w:p w14:paraId="37A0F23D">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行业类别</w:t>
            </w:r>
            <w:bookmarkEnd w:id="1"/>
          </w:p>
        </w:tc>
        <w:tc>
          <w:tcPr>
            <w:tcW w:w="1747" w:type="pct"/>
            <w:noWrap w:val="0"/>
            <w:vAlign w:val="center"/>
          </w:tcPr>
          <w:p w14:paraId="4F54B584">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三十五、电气机械和器材制造业 77.电机制造381-其他（仅分割、焊接、组装的除外；年用非溶剂型低VOCs含量涂料10吨以下的除外）</w:t>
            </w:r>
          </w:p>
        </w:tc>
      </w:tr>
      <w:tr w14:paraId="51058A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402EC298">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建设性质</w:t>
            </w:r>
          </w:p>
        </w:tc>
        <w:tc>
          <w:tcPr>
            <w:tcW w:w="1395" w:type="pct"/>
            <w:noWrap w:val="0"/>
            <w:vAlign w:val="center"/>
          </w:tcPr>
          <w:p w14:paraId="14E8D2E5">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52"/>
            </w:r>
            <w:r>
              <w:rPr>
                <w:rFonts w:hint="default" w:ascii="Times New Roman" w:hAnsi="Times New Roman" w:eastAsia="仿宋" w:cs="Times New Roman"/>
                <w:color w:val="auto"/>
                <w:sz w:val="24"/>
                <w:szCs w:val="24"/>
              </w:rPr>
              <w:t>新建（迁建）</w:t>
            </w:r>
          </w:p>
          <w:p w14:paraId="239D8946">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改建</w:t>
            </w:r>
          </w:p>
          <w:p w14:paraId="33EB4A4B">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扩建</w:t>
            </w:r>
          </w:p>
          <w:p w14:paraId="2CD5EBD6">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技术改造</w:t>
            </w:r>
          </w:p>
        </w:tc>
        <w:tc>
          <w:tcPr>
            <w:tcW w:w="992" w:type="pct"/>
            <w:noWrap w:val="0"/>
            <w:vAlign w:val="center"/>
          </w:tcPr>
          <w:p w14:paraId="1BBBF4D0">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建设项目</w:t>
            </w:r>
          </w:p>
          <w:p w14:paraId="78D529C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申报情形</w:t>
            </w:r>
          </w:p>
        </w:tc>
        <w:tc>
          <w:tcPr>
            <w:tcW w:w="1747" w:type="pct"/>
            <w:noWrap w:val="0"/>
            <w:vAlign w:val="center"/>
          </w:tcPr>
          <w:p w14:paraId="0B73D473">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52"/>
            </w:r>
            <w:r>
              <w:rPr>
                <w:rFonts w:hint="default" w:ascii="Times New Roman" w:hAnsi="Times New Roman" w:eastAsia="仿宋" w:cs="Times New Roman"/>
                <w:color w:val="auto"/>
                <w:sz w:val="24"/>
                <w:szCs w:val="24"/>
              </w:rPr>
              <w:t xml:space="preserve">首次申报项目             </w:t>
            </w:r>
          </w:p>
          <w:p w14:paraId="28B0EEA7">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不予批准后再次申报项目</w:t>
            </w:r>
          </w:p>
          <w:p w14:paraId="7EEEE7BE">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 xml:space="preserve">超五年重新审核项目     </w:t>
            </w:r>
          </w:p>
          <w:p w14:paraId="4762E56E">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重大变动重新报批项目</w:t>
            </w:r>
          </w:p>
        </w:tc>
      </w:tr>
      <w:tr w14:paraId="0E3D75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3E7B5CE4">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项目审批（核准/</w:t>
            </w:r>
          </w:p>
          <w:p w14:paraId="7AFBBF4C">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备案）部门（选填）</w:t>
            </w:r>
          </w:p>
        </w:tc>
        <w:tc>
          <w:tcPr>
            <w:tcW w:w="1395" w:type="pct"/>
            <w:noWrap w:val="0"/>
            <w:vAlign w:val="center"/>
          </w:tcPr>
          <w:p w14:paraId="73CEDC5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江苏武进经济开发区</w:t>
            </w:r>
          </w:p>
          <w:p w14:paraId="7E3E9D1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管委会</w:t>
            </w:r>
          </w:p>
        </w:tc>
        <w:tc>
          <w:tcPr>
            <w:tcW w:w="992" w:type="pct"/>
            <w:noWrap w:val="0"/>
            <w:vAlign w:val="center"/>
          </w:tcPr>
          <w:p w14:paraId="09149F54">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项目审批（核准/</w:t>
            </w:r>
          </w:p>
          <w:p w14:paraId="74496BF8">
            <w:pPr>
              <w:keepNext w:val="0"/>
              <w:keepLines w:val="0"/>
              <w:pageBreakBefore w:val="0"/>
              <w:widowControl w:val="0"/>
              <w:kinsoku/>
              <w:wordWrap/>
              <w:overflowPunct/>
              <w:topLinePunct w:val="0"/>
              <w:bidi w:val="0"/>
              <w:spacing w:line="36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备案）文号（选填）</w:t>
            </w:r>
          </w:p>
        </w:tc>
        <w:tc>
          <w:tcPr>
            <w:tcW w:w="1747" w:type="pct"/>
            <w:noWrap w:val="0"/>
            <w:vAlign w:val="center"/>
          </w:tcPr>
          <w:p w14:paraId="274A84A1">
            <w:pPr>
              <w:keepNext w:val="0"/>
              <w:keepLines w:val="0"/>
              <w:pageBreakBefore w:val="0"/>
              <w:widowControl w:val="0"/>
              <w:kinsoku/>
              <w:wordWrap/>
              <w:overflowPunct/>
              <w:topLinePunct w:val="0"/>
              <w:bidi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武经发管备[2024]109号</w:t>
            </w:r>
          </w:p>
        </w:tc>
      </w:tr>
      <w:tr w14:paraId="353E3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6D12A8E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总投资（万元）</w:t>
            </w:r>
          </w:p>
        </w:tc>
        <w:tc>
          <w:tcPr>
            <w:tcW w:w="1395" w:type="pct"/>
            <w:noWrap w:val="0"/>
            <w:vAlign w:val="center"/>
          </w:tcPr>
          <w:p w14:paraId="299121F5">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30</w:t>
            </w:r>
            <w:r>
              <w:rPr>
                <w:rFonts w:hint="default" w:ascii="Times New Roman" w:hAnsi="Times New Roman" w:eastAsia="仿宋" w:cs="Times New Roman"/>
                <w:color w:val="auto"/>
                <w:sz w:val="24"/>
                <w:szCs w:val="24"/>
              </w:rPr>
              <w:t>00</w:t>
            </w:r>
          </w:p>
        </w:tc>
        <w:tc>
          <w:tcPr>
            <w:tcW w:w="992" w:type="pct"/>
            <w:noWrap w:val="0"/>
            <w:tcMar>
              <w:top w:w="16" w:type="dxa"/>
              <w:left w:w="16" w:type="dxa"/>
              <w:right w:w="16" w:type="dxa"/>
            </w:tcMar>
            <w:vAlign w:val="center"/>
          </w:tcPr>
          <w:p w14:paraId="47B5394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环保投资（万元）</w:t>
            </w:r>
          </w:p>
        </w:tc>
        <w:tc>
          <w:tcPr>
            <w:tcW w:w="1747" w:type="pct"/>
            <w:noWrap w:val="0"/>
            <w:vAlign w:val="center"/>
          </w:tcPr>
          <w:p w14:paraId="7FC13313">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30</w:t>
            </w:r>
          </w:p>
        </w:tc>
      </w:tr>
      <w:tr w14:paraId="6F6C7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6E75FF2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环保投资占比（%）</w:t>
            </w:r>
          </w:p>
        </w:tc>
        <w:tc>
          <w:tcPr>
            <w:tcW w:w="1395" w:type="pct"/>
            <w:noWrap w:val="0"/>
            <w:vAlign w:val="center"/>
          </w:tcPr>
          <w:p w14:paraId="7270EDE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lang w:val="en-US" w:eastAsia="zh-CN"/>
              </w:rPr>
              <w:t>1</w:t>
            </w:r>
          </w:p>
        </w:tc>
        <w:tc>
          <w:tcPr>
            <w:tcW w:w="992" w:type="pct"/>
            <w:noWrap w:val="0"/>
            <w:tcMar>
              <w:top w:w="16" w:type="dxa"/>
              <w:left w:w="16" w:type="dxa"/>
              <w:right w:w="16" w:type="dxa"/>
            </w:tcMar>
            <w:vAlign w:val="center"/>
          </w:tcPr>
          <w:p w14:paraId="356E20F0">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施工工期</w:t>
            </w:r>
          </w:p>
        </w:tc>
        <w:tc>
          <w:tcPr>
            <w:tcW w:w="1747" w:type="pct"/>
            <w:noWrap w:val="0"/>
            <w:vAlign w:val="center"/>
          </w:tcPr>
          <w:p w14:paraId="41960AB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个月</w:t>
            </w:r>
          </w:p>
        </w:tc>
      </w:tr>
      <w:tr w14:paraId="649F9A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64" w:type="pct"/>
            <w:noWrap w:val="0"/>
            <w:tcMar>
              <w:top w:w="16" w:type="dxa"/>
              <w:left w:w="16" w:type="dxa"/>
              <w:right w:w="16" w:type="dxa"/>
            </w:tcMar>
            <w:vAlign w:val="center"/>
          </w:tcPr>
          <w:p w14:paraId="5665BEE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是否开工建设</w:t>
            </w:r>
          </w:p>
        </w:tc>
        <w:tc>
          <w:tcPr>
            <w:tcW w:w="1395" w:type="pct"/>
            <w:noWrap w:val="0"/>
            <w:vAlign w:val="center"/>
          </w:tcPr>
          <w:p w14:paraId="2BFD2605">
            <w:pPr>
              <w:keepNext w:val="0"/>
              <w:keepLines w:val="0"/>
              <w:pageBreakBefore w:val="0"/>
              <w:widowControl w:val="0"/>
              <w:kinsoku/>
              <w:wordWrap/>
              <w:overflowPunct/>
              <w:topLinePunct w:val="0"/>
              <w:bidi w:val="0"/>
              <w:adjustRightInd w:val="0"/>
              <w:snapToGrid w:val="0"/>
              <w:spacing w:line="36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52"/>
            </w:r>
            <w:r>
              <w:rPr>
                <w:rFonts w:hint="default" w:ascii="Times New Roman" w:hAnsi="Times New Roman" w:eastAsia="仿宋" w:cs="Times New Roman"/>
                <w:color w:val="auto"/>
                <w:sz w:val="24"/>
                <w:szCs w:val="24"/>
              </w:rPr>
              <w:t>否</w:t>
            </w:r>
          </w:p>
          <w:p w14:paraId="02DFBC57">
            <w:pPr>
              <w:keepNext w:val="0"/>
              <w:keepLines w:val="0"/>
              <w:pageBreakBefore w:val="0"/>
              <w:widowControl w:val="0"/>
              <w:kinsoku/>
              <w:wordWrap/>
              <w:overflowPunct/>
              <w:topLinePunct w:val="0"/>
              <w:bidi w:val="0"/>
              <w:adjustRightInd w:val="0"/>
              <w:snapToGrid w:val="0"/>
              <w:spacing w:line="36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eastAsia="zh-CN"/>
              </w:rPr>
              <w:sym w:font="Wingdings 2" w:char="00A3"/>
            </w:r>
            <w:r>
              <w:rPr>
                <w:rFonts w:hint="default" w:ascii="Times New Roman" w:hAnsi="Times New Roman" w:eastAsia="仿宋" w:cs="Times New Roman"/>
                <w:color w:val="auto"/>
                <w:sz w:val="24"/>
                <w:szCs w:val="24"/>
              </w:rPr>
              <w:t>是：</w:t>
            </w:r>
            <w:r>
              <w:rPr>
                <w:rFonts w:hint="default" w:ascii="Times New Roman" w:hAnsi="Times New Roman" w:eastAsia="仿宋" w:cs="Times New Roman"/>
                <w:color w:val="auto"/>
                <w:sz w:val="24"/>
                <w:szCs w:val="24"/>
                <w:u w:val="single"/>
              </w:rPr>
              <w:t xml:space="preserve">             </w:t>
            </w:r>
          </w:p>
        </w:tc>
        <w:tc>
          <w:tcPr>
            <w:tcW w:w="992" w:type="pct"/>
            <w:noWrap w:val="0"/>
            <w:tcMar>
              <w:top w:w="16" w:type="dxa"/>
              <w:left w:w="16" w:type="dxa"/>
              <w:right w:w="16" w:type="dxa"/>
            </w:tcMar>
            <w:vAlign w:val="center"/>
          </w:tcPr>
          <w:p w14:paraId="4D65DE7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用地（用海）</w:t>
            </w:r>
          </w:p>
          <w:p w14:paraId="61E4087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pacing w:val="-6"/>
                <w:sz w:val="24"/>
                <w:szCs w:val="24"/>
              </w:rPr>
              <w:t>面积（m</w:t>
            </w:r>
            <w:r>
              <w:rPr>
                <w:rFonts w:hint="default" w:ascii="Times New Roman" w:hAnsi="Times New Roman" w:eastAsia="仿宋" w:cs="Times New Roman"/>
                <w:color w:val="auto"/>
                <w:spacing w:val="-6"/>
                <w:sz w:val="24"/>
                <w:szCs w:val="24"/>
                <w:vertAlign w:val="superscript"/>
              </w:rPr>
              <w:t>2</w:t>
            </w:r>
            <w:r>
              <w:rPr>
                <w:rFonts w:hint="default" w:ascii="Times New Roman" w:hAnsi="Times New Roman" w:eastAsia="仿宋" w:cs="Times New Roman"/>
                <w:color w:val="auto"/>
                <w:spacing w:val="-6"/>
                <w:sz w:val="24"/>
                <w:szCs w:val="24"/>
              </w:rPr>
              <w:t>）</w:t>
            </w:r>
          </w:p>
        </w:tc>
        <w:tc>
          <w:tcPr>
            <w:tcW w:w="1747" w:type="pct"/>
            <w:noWrap w:val="0"/>
            <w:vAlign w:val="center"/>
          </w:tcPr>
          <w:p w14:paraId="799E845B">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lang w:val="en-US" w:eastAsia="zh-CN"/>
              </w:rPr>
              <w:t>3369.31</w:t>
            </w:r>
            <w:r>
              <w:rPr>
                <w:rFonts w:hint="eastAsia" w:ascii="Times New Roman" w:hAnsi="Times New Roman" w:eastAsia="仿宋" w:cs="Times New Roman"/>
                <w:color w:val="auto"/>
                <w:sz w:val="24"/>
                <w:szCs w:val="24"/>
                <w:lang w:val="en-US" w:eastAsia="zh-CN"/>
              </w:rPr>
              <w:t>（厂房面积）</w:t>
            </w:r>
          </w:p>
        </w:tc>
      </w:tr>
      <w:tr w14:paraId="544028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64" w:type="pct"/>
            <w:noWrap w:val="0"/>
            <w:vAlign w:val="center"/>
          </w:tcPr>
          <w:p w14:paraId="28D949CB">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专项评价设置情况</w:t>
            </w:r>
          </w:p>
        </w:tc>
        <w:tc>
          <w:tcPr>
            <w:tcW w:w="4135" w:type="pct"/>
            <w:gridSpan w:val="3"/>
            <w:noWrap w:val="0"/>
            <w:vAlign w:val="center"/>
          </w:tcPr>
          <w:p w14:paraId="17C276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表1-1  专项评价设置对照表</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898"/>
              <w:gridCol w:w="1921"/>
              <w:gridCol w:w="1102"/>
            </w:tblGrid>
            <w:tr w14:paraId="0CA60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459" w:type="pct"/>
                  <w:tcBorders>
                    <w:tl2br w:val="nil"/>
                    <w:tr2bl w:val="nil"/>
                  </w:tcBorders>
                  <w:noWrap w:val="0"/>
                  <w:vAlign w:val="center"/>
                </w:tcPr>
                <w:p w14:paraId="76B5B7FC">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类别</w:t>
                  </w:r>
                </w:p>
              </w:tc>
              <w:tc>
                <w:tcPr>
                  <w:tcW w:w="2557" w:type="pct"/>
                  <w:tcBorders>
                    <w:tl2br w:val="nil"/>
                    <w:tr2bl w:val="nil"/>
                  </w:tcBorders>
                  <w:noWrap w:val="0"/>
                  <w:vAlign w:val="center"/>
                </w:tcPr>
                <w:p w14:paraId="5BB0EA0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设置原则</w:t>
                  </w:r>
                </w:p>
              </w:tc>
              <w:tc>
                <w:tcPr>
                  <w:tcW w:w="1260" w:type="pct"/>
                  <w:tcBorders>
                    <w:tl2br w:val="nil"/>
                    <w:tr2bl w:val="nil"/>
                  </w:tcBorders>
                  <w:noWrap w:val="0"/>
                  <w:vAlign w:val="center"/>
                </w:tcPr>
                <w:p w14:paraId="43D8BCDA">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对照情况</w:t>
                  </w:r>
                </w:p>
              </w:tc>
              <w:tc>
                <w:tcPr>
                  <w:tcW w:w="723" w:type="pct"/>
                  <w:tcBorders>
                    <w:tl2br w:val="nil"/>
                    <w:tr2bl w:val="nil"/>
                  </w:tcBorders>
                  <w:noWrap w:val="0"/>
                  <w:vAlign w:val="center"/>
                </w:tcPr>
                <w:p w14:paraId="7336068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是否设置</w:t>
                  </w:r>
                </w:p>
              </w:tc>
            </w:tr>
            <w:tr w14:paraId="418DF4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459" w:type="pct"/>
                  <w:tcBorders>
                    <w:tl2br w:val="nil"/>
                    <w:tr2bl w:val="nil"/>
                  </w:tcBorders>
                  <w:noWrap w:val="0"/>
                  <w:vAlign w:val="center"/>
                </w:tcPr>
                <w:p w14:paraId="7BFDC50D">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大气</w:t>
                  </w:r>
                </w:p>
              </w:tc>
              <w:tc>
                <w:tcPr>
                  <w:tcW w:w="2557" w:type="pct"/>
                  <w:tcBorders>
                    <w:tl2br w:val="nil"/>
                    <w:tr2bl w:val="nil"/>
                  </w:tcBorders>
                  <w:noWrap w:val="0"/>
                  <w:vAlign w:val="center"/>
                </w:tcPr>
                <w:p w14:paraId="301487E8">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排放废气含有毒有害污染物、二噁英、苯并[a]芘、氰化物、氯气且厂界外500米范围内有环境空气保护目标的建设项目</w:t>
                  </w:r>
                </w:p>
              </w:tc>
              <w:tc>
                <w:tcPr>
                  <w:tcW w:w="1260" w:type="pct"/>
                  <w:tcBorders>
                    <w:tl2br w:val="nil"/>
                    <w:tr2bl w:val="nil"/>
                  </w:tcBorders>
                  <w:noWrap w:val="0"/>
                  <w:vAlign w:val="center"/>
                </w:tcPr>
                <w:p w14:paraId="2E3ADA0D">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723" w:type="pct"/>
                  <w:tcBorders>
                    <w:tl2br w:val="nil"/>
                    <w:tr2bl w:val="nil"/>
                  </w:tcBorders>
                  <w:noWrap w:val="0"/>
                  <w:vAlign w:val="center"/>
                </w:tcPr>
                <w:p w14:paraId="21855D4F">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否</w:t>
                  </w:r>
                </w:p>
              </w:tc>
            </w:tr>
            <w:tr w14:paraId="6336CE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459" w:type="pct"/>
                  <w:tcBorders>
                    <w:tl2br w:val="nil"/>
                    <w:tr2bl w:val="nil"/>
                  </w:tcBorders>
                  <w:noWrap w:val="0"/>
                  <w:vAlign w:val="center"/>
                </w:tcPr>
                <w:p w14:paraId="3FA373B1">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地表水</w:t>
                  </w:r>
                </w:p>
              </w:tc>
              <w:tc>
                <w:tcPr>
                  <w:tcW w:w="2557" w:type="pct"/>
                  <w:tcBorders>
                    <w:tl2br w:val="nil"/>
                    <w:tr2bl w:val="nil"/>
                  </w:tcBorders>
                  <w:noWrap w:val="0"/>
                  <w:vAlign w:val="center"/>
                </w:tcPr>
                <w:p w14:paraId="0F72D371">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新增工业废水直排建设项目（槽罐车外送污水处理厂的除外）；新增废水直排的污水集中处理厂</w:t>
                  </w:r>
                </w:p>
              </w:tc>
              <w:tc>
                <w:tcPr>
                  <w:tcW w:w="1260" w:type="pct"/>
                  <w:tcBorders>
                    <w:tl2br w:val="nil"/>
                    <w:tr2bl w:val="nil"/>
                  </w:tcBorders>
                  <w:noWrap w:val="0"/>
                  <w:vAlign w:val="center"/>
                </w:tcPr>
                <w:p w14:paraId="046B3698">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723" w:type="pct"/>
                  <w:tcBorders>
                    <w:tl2br w:val="nil"/>
                    <w:tr2bl w:val="nil"/>
                  </w:tcBorders>
                  <w:noWrap w:val="0"/>
                  <w:vAlign w:val="center"/>
                </w:tcPr>
                <w:p w14:paraId="46DDBCF0">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否</w:t>
                  </w:r>
                </w:p>
              </w:tc>
            </w:tr>
            <w:tr w14:paraId="0251E2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tcBorders>
                    <w:tl2br w:val="nil"/>
                    <w:tr2bl w:val="nil"/>
                  </w:tcBorders>
                  <w:noWrap w:val="0"/>
                  <w:vAlign w:val="center"/>
                </w:tcPr>
                <w:p w14:paraId="7D446569">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w:t>
                  </w:r>
                </w:p>
                <w:p w14:paraId="39BCF30B">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风险</w:t>
                  </w:r>
                </w:p>
              </w:tc>
              <w:tc>
                <w:tcPr>
                  <w:tcW w:w="2557" w:type="pct"/>
                  <w:tcBorders>
                    <w:tl2br w:val="nil"/>
                    <w:tr2bl w:val="nil"/>
                  </w:tcBorders>
                  <w:noWrap w:val="0"/>
                  <w:vAlign w:val="center"/>
                </w:tcPr>
                <w:p w14:paraId="7F2D235F">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有毒有害和易燃易爆危险物质存储量超过临界量的建设项目</w:t>
                  </w:r>
                </w:p>
              </w:tc>
              <w:tc>
                <w:tcPr>
                  <w:tcW w:w="1260" w:type="pct"/>
                  <w:tcBorders>
                    <w:tl2br w:val="nil"/>
                    <w:tr2bl w:val="nil"/>
                  </w:tcBorders>
                  <w:noWrap w:val="0"/>
                  <w:vAlign w:val="center"/>
                </w:tcPr>
                <w:p w14:paraId="7B6E6776">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本项目有毒有害和易燃易爆危险物质存储量未超临界量</w:t>
                  </w:r>
                </w:p>
              </w:tc>
              <w:tc>
                <w:tcPr>
                  <w:tcW w:w="723" w:type="pct"/>
                  <w:tcBorders>
                    <w:tl2br w:val="nil"/>
                    <w:tr2bl w:val="nil"/>
                  </w:tcBorders>
                  <w:noWrap w:val="0"/>
                  <w:vAlign w:val="center"/>
                </w:tcPr>
                <w:p w14:paraId="012C1D8F">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否</w:t>
                  </w:r>
                </w:p>
              </w:tc>
            </w:tr>
            <w:tr w14:paraId="307B8F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459" w:type="pct"/>
                  <w:tcBorders>
                    <w:tl2br w:val="nil"/>
                    <w:tr2bl w:val="nil"/>
                  </w:tcBorders>
                  <w:noWrap w:val="0"/>
                  <w:vAlign w:val="center"/>
                </w:tcPr>
                <w:p w14:paraId="5E63A85C">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生态</w:t>
                  </w:r>
                </w:p>
              </w:tc>
              <w:tc>
                <w:tcPr>
                  <w:tcW w:w="2557" w:type="pct"/>
                  <w:tcBorders>
                    <w:tl2br w:val="nil"/>
                    <w:tr2bl w:val="nil"/>
                  </w:tcBorders>
                  <w:noWrap w:val="0"/>
                  <w:vAlign w:val="center"/>
                </w:tcPr>
                <w:p w14:paraId="16BB02D9">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取水口下游500米范围内有重要水生生物的自然产卵场、索饵场、越冬场和洄游通道的新增河道取水的污染类建设项目</w:t>
                  </w:r>
                </w:p>
              </w:tc>
              <w:tc>
                <w:tcPr>
                  <w:tcW w:w="1260" w:type="pct"/>
                  <w:tcBorders>
                    <w:tl2br w:val="nil"/>
                    <w:tr2bl w:val="nil"/>
                  </w:tcBorders>
                  <w:noWrap w:val="0"/>
                  <w:vAlign w:val="center"/>
                </w:tcPr>
                <w:p w14:paraId="4E617CC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723" w:type="pct"/>
                  <w:tcBorders>
                    <w:tl2br w:val="nil"/>
                    <w:tr2bl w:val="nil"/>
                  </w:tcBorders>
                  <w:noWrap w:val="0"/>
                  <w:vAlign w:val="center"/>
                </w:tcPr>
                <w:p w14:paraId="0E439262">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否</w:t>
                  </w:r>
                </w:p>
              </w:tc>
            </w:tr>
            <w:tr w14:paraId="67D91F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tcBorders>
                    <w:tl2br w:val="nil"/>
                    <w:tr2bl w:val="nil"/>
                  </w:tcBorders>
                  <w:noWrap w:val="0"/>
                  <w:vAlign w:val="center"/>
                </w:tcPr>
                <w:p w14:paraId="12655A50">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海洋</w:t>
                  </w:r>
                </w:p>
              </w:tc>
              <w:tc>
                <w:tcPr>
                  <w:tcW w:w="2557" w:type="pct"/>
                  <w:tcBorders>
                    <w:tl2br w:val="nil"/>
                    <w:tr2bl w:val="nil"/>
                  </w:tcBorders>
                  <w:noWrap w:val="0"/>
                  <w:vAlign w:val="center"/>
                </w:tcPr>
                <w:p w14:paraId="5689C27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直接向海排放污染物的海洋工程建设项目</w:t>
                  </w:r>
                </w:p>
              </w:tc>
              <w:tc>
                <w:tcPr>
                  <w:tcW w:w="1260" w:type="pct"/>
                  <w:tcBorders>
                    <w:tl2br w:val="nil"/>
                    <w:tr2bl w:val="nil"/>
                  </w:tcBorders>
                  <w:noWrap w:val="0"/>
                  <w:vAlign w:val="center"/>
                </w:tcPr>
                <w:p w14:paraId="2241A4AE">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本项目不涉及</w:t>
                  </w:r>
                </w:p>
              </w:tc>
              <w:tc>
                <w:tcPr>
                  <w:tcW w:w="723" w:type="pct"/>
                  <w:tcBorders>
                    <w:tl2br w:val="nil"/>
                    <w:tr2bl w:val="nil"/>
                  </w:tcBorders>
                  <w:noWrap w:val="0"/>
                  <w:vAlign w:val="center"/>
                </w:tcPr>
                <w:p w14:paraId="2EE234C4">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否</w:t>
                  </w:r>
                </w:p>
              </w:tc>
            </w:tr>
          </w:tbl>
          <w:p w14:paraId="1CBBA232">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仿宋" w:cs="Times New Roman"/>
                <w:color w:val="auto"/>
                <w:kern w:val="0"/>
                <w:sz w:val="24"/>
                <w:szCs w:val="24"/>
                <w:lang w:val="en-US" w:eastAsia="zh-CN"/>
              </w:rPr>
            </w:pPr>
          </w:p>
        </w:tc>
      </w:tr>
      <w:tr w14:paraId="534635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64" w:type="pct"/>
            <w:noWrap w:val="0"/>
            <w:vAlign w:val="center"/>
          </w:tcPr>
          <w:p w14:paraId="12F4B6EA">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规划情况</w:t>
            </w:r>
          </w:p>
        </w:tc>
        <w:tc>
          <w:tcPr>
            <w:tcW w:w="4135" w:type="pct"/>
            <w:gridSpan w:val="3"/>
            <w:noWrap w:val="0"/>
            <w:vAlign w:val="center"/>
          </w:tcPr>
          <w:p w14:paraId="40E3333D">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名称：《江苏武进经济开发区产业发展规划（2020-2030年）》</w:t>
            </w:r>
          </w:p>
          <w:p w14:paraId="48A2222E">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审批机关：江苏武进经济开发区管理委员会</w:t>
            </w:r>
          </w:p>
          <w:p w14:paraId="36B5AC8F">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审批文件名称及文号：/</w:t>
            </w:r>
          </w:p>
        </w:tc>
      </w:tr>
      <w:tr w14:paraId="7859E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864" w:type="pct"/>
            <w:noWrap w:val="0"/>
            <w:vAlign w:val="center"/>
          </w:tcPr>
          <w:p w14:paraId="19DB7A5F">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规划环境影响</w:t>
            </w:r>
          </w:p>
          <w:p w14:paraId="2F469F07">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评价情况</w:t>
            </w:r>
          </w:p>
        </w:tc>
        <w:tc>
          <w:tcPr>
            <w:tcW w:w="4135" w:type="pct"/>
            <w:gridSpan w:val="3"/>
            <w:noWrap w:val="0"/>
            <w:vAlign w:val="center"/>
          </w:tcPr>
          <w:p w14:paraId="40A1F5E5">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名称：《江苏武进经济开发区产业发展规划（2020-2030年）环境影响报告书》</w:t>
            </w:r>
          </w:p>
          <w:p w14:paraId="46A1DD03">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召集审查机关：江苏省生态环境厅</w:t>
            </w:r>
          </w:p>
          <w:p w14:paraId="04D78BA5">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sz w:val="24"/>
                <w:szCs w:val="24"/>
              </w:rPr>
              <w:t>审查文件名称及文号：</w:t>
            </w:r>
            <w:r>
              <w:rPr>
                <w:rFonts w:hint="default" w:ascii="Times New Roman" w:hAnsi="Times New Roman" w:eastAsia="仿宋" w:cs="Times New Roman"/>
                <w:kern w:val="0"/>
                <w:sz w:val="24"/>
                <w:szCs w:val="24"/>
              </w:rPr>
              <w:t>《省生态环境厅关于江苏武进经济开发区产业发展规划（2020-2030年）环境影响报告书的审查意见》（苏环审[2022]59号）</w:t>
            </w:r>
          </w:p>
        </w:tc>
      </w:tr>
      <w:tr w14:paraId="50752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64" w:type="pct"/>
            <w:noWrap w:val="0"/>
            <w:vAlign w:val="center"/>
          </w:tcPr>
          <w:p w14:paraId="24FE65ED">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规划及规划环境影响评价符合性分析</w:t>
            </w:r>
          </w:p>
        </w:tc>
        <w:tc>
          <w:tcPr>
            <w:tcW w:w="4135" w:type="pct"/>
            <w:gridSpan w:val="3"/>
            <w:noWrap w:val="0"/>
            <w:vAlign w:val="center"/>
          </w:tcPr>
          <w:p w14:paraId="5C4C2B6C">
            <w:pPr>
              <w:keepNext w:val="0"/>
              <w:keepLines w:val="0"/>
              <w:pageBreakBefore w:val="0"/>
              <w:widowControl w:val="0"/>
              <w:numPr>
                <w:ilvl w:val="0"/>
                <w:numId w:val="3"/>
              </w:numPr>
              <w:kinsoku/>
              <w:wordWrap/>
              <w:overflowPunct/>
              <w:topLinePunct w:val="0"/>
              <w:autoSpaceDE w:val="0"/>
              <w:autoSpaceDN w:val="0"/>
              <w:bidi w:val="0"/>
              <w:adjustRightInd w:val="0"/>
              <w:snapToGrid w:val="0"/>
              <w:spacing w:line="46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规划相符性分析</w:t>
            </w:r>
          </w:p>
          <w:p w14:paraId="35060D57">
            <w:pPr>
              <w:keepNext w:val="0"/>
              <w:keepLines w:val="0"/>
              <w:pageBreakBefore w:val="0"/>
              <w:widowControl w:val="0"/>
              <w:kinsoku/>
              <w:wordWrap/>
              <w:overflowPunct/>
              <w:topLinePunct w:val="0"/>
              <w:bidi w:val="0"/>
              <w:spacing w:line="460" w:lineRule="exact"/>
              <w:ind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1、规划范围</w:t>
            </w:r>
          </w:p>
          <w:p w14:paraId="608DA8AA">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西至西湖街道边界</w:t>
            </w:r>
            <w:r>
              <w:rPr>
                <w:rFonts w:hint="eastAsia"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孟津河</w:t>
            </w:r>
            <w:r>
              <w:rPr>
                <w:rFonts w:hint="eastAsia"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环湖西路、北至西湖街道边界、东至西湖街道边界</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S39</w:t>
            </w:r>
            <w:r>
              <w:rPr>
                <w:rFonts w:hint="eastAsia"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武宜运河</w:t>
            </w:r>
            <w:r>
              <w:rPr>
                <w:rFonts w:hint="eastAsia"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武进高新技术产业开发区边界、南至滆湖大堤，规划总面积</w:t>
            </w:r>
            <w:r>
              <w:rPr>
                <w:rFonts w:hint="default" w:ascii="Times New Roman" w:hAnsi="Times New Roman" w:eastAsia="仿宋" w:cs="Times New Roman"/>
                <w:color w:val="auto"/>
                <w:sz w:val="24"/>
                <w:szCs w:val="24"/>
                <w:lang w:val="en-US" w:eastAsia="zh-CN"/>
              </w:rPr>
              <w:t>54.6km</w:t>
            </w:r>
            <w:r>
              <w:rPr>
                <w:rFonts w:hint="eastAsia" w:eastAsia="仿宋" w:cs="Times New Roman"/>
                <w:color w:val="auto"/>
                <w:sz w:val="24"/>
                <w:szCs w:val="24"/>
                <w:vertAlign w:val="superscript"/>
                <w:lang w:val="en-US" w:eastAsia="zh-CN"/>
              </w:rPr>
              <w:t>2</w:t>
            </w:r>
            <w:r>
              <w:rPr>
                <w:rFonts w:hint="eastAsia" w:ascii="Times New Roman" w:hAnsi="Times New Roman" w:eastAsia="仿宋" w:cs="Times New Roman"/>
                <w:color w:val="auto"/>
                <w:sz w:val="24"/>
                <w:szCs w:val="24"/>
                <w:lang w:val="en-US" w:eastAsia="zh-CN"/>
              </w:rPr>
              <w:t>，包括江苏武进经济开发区一期、开发区二期及</w:t>
            </w:r>
            <w:r>
              <w:rPr>
                <w:rFonts w:hint="default" w:ascii="Times New Roman" w:hAnsi="Times New Roman" w:eastAsia="仿宋" w:cs="Times New Roman"/>
                <w:color w:val="auto"/>
                <w:sz w:val="24"/>
                <w:szCs w:val="24"/>
                <w:lang w:val="en-US" w:eastAsia="zh-CN"/>
              </w:rPr>
              <w:t>2009</w:t>
            </w:r>
            <w:r>
              <w:rPr>
                <w:rFonts w:hint="eastAsia" w:ascii="Times New Roman" w:hAnsi="Times New Roman" w:eastAsia="仿宋" w:cs="Times New Roman"/>
                <w:color w:val="auto"/>
                <w:sz w:val="24"/>
                <w:szCs w:val="24"/>
                <w:lang w:val="en-US" w:eastAsia="zh-CN"/>
              </w:rPr>
              <w:t>年增加的开发区三期。</w:t>
            </w:r>
          </w:p>
          <w:p w14:paraId="5AF5F8D1">
            <w:pPr>
              <w:keepNext w:val="0"/>
              <w:keepLines w:val="0"/>
              <w:pageBreakBefore w:val="0"/>
              <w:widowControl w:val="0"/>
              <w:kinsoku/>
              <w:wordWrap/>
              <w:overflowPunct/>
              <w:topLinePunct w:val="0"/>
              <w:autoSpaceDE w:val="0"/>
              <w:autoSpaceDN w:val="0"/>
              <w:bidi w:val="0"/>
              <w:adjustRightInd w:val="0"/>
              <w:snapToGrid w:val="0"/>
              <w:spacing w:line="460" w:lineRule="exact"/>
              <w:ind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本项目位于江苏武进经济开发区</w:t>
            </w:r>
            <w:r>
              <w:rPr>
                <w:rFonts w:hint="default" w:ascii="Times New Roman" w:hAnsi="Times New Roman" w:eastAsia="仿宋" w:cs="Times New Roman"/>
                <w:b/>
                <w:bCs/>
                <w:color w:val="auto"/>
                <w:sz w:val="24"/>
                <w:szCs w:val="24"/>
                <w:lang w:val="en-US" w:eastAsia="zh-CN"/>
              </w:rPr>
              <w:t>长秀路8号（坤鼎常州创新产业基地9幢）</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bCs/>
                <w:color w:val="auto"/>
                <w:sz w:val="24"/>
                <w:szCs w:val="24"/>
                <w:lang w:val="en-US" w:eastAsia="zh-CN"/>
              </w:rPr>
              <w:t>位于江苏武进经济开发区二期规划范围内，根据江苏武进经济开发区用地规划图，本项目用地性质为工业用地；</w:t>
            </w:r>
            <w:r>
              <w:rPr>
                <w:rFonts w:hint="default" w:ascii="Times New Roman" w:hAnsi="Times New Roman" w:eastAsia="仿宋" w:cs="Times New Roman"/>
                <w:b/>
                <w:bCs/>
                <w:color w:val="auto"/>
                <w:sz w:val="24"/>
                <w:szCs w:val="24"/>
              </w:rPr>
              <w:t>根据企业提供</w:t>
            </w:r>
            <w:r>
              <w:rPr>
                <w:rFonts w:hint="default" w:ascii="Times New Roman" w:hAnsi="Times New Roman" w:eastAsia="仿宋" w:cs="Times New Roman"/>
                <w:b/>
                <w:bCs/>
                <w:color w:val="auto"/>
                <w:sz w:val="24"/>
                <w:szCs w:val="24"/>
                <w:lang w:val="en-US" w:eastAsia="zh-CN"/>
              </w:rPr>
              <w:t>的不动产权证（</w:t>
            </w:r>
            <w:r>
              <w:rPr>
                <w:rFonts w:hint="default" w:ascii="Times New Roman" w:hAnsi="Times New Roman" w:eastAsia="仿宋" w:cs="Times New Roman"/>
                <w:b/>
                <w:bCs/>
                <w:color w:val="auto"/>
                <w:sz w:val="24"/>
                <w:szCs w:val="24"/>
              </w:rPr>
              <w:t>苏（2020）常州市不动产权第2023761号</w:t>
            </w:r>
            <w:r>
              <w:rPr>
                <w:rFonts w:hint="default" w:ascii="Times New Roman" w:hAnsi="Times New Roman" w:eastAsia="仿宋" w:cs="Times New Roman"/>
                <w:b/>
                <w:bCs/>
                <w:color w:val="auto"/>
                <w:sz w:val="24"/>
                <w:szCs w:val="24"/>
                <w:lang w:val="en-US" w:eastAsia="zh-CN"/>
              </w:rPr>
              <w:t>）</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bCs/>
                <w:color w:val="auto"/>
                <w:sz w:val="24"/>
                <w:szCs w:val="24"/>
                <w:lang w:val="en-US" w:eastAsia="zh-CN"/>
              </w:rPr>
              <w:t>园区</w:t>
            </w:r>
            <w:r>
              <w:rPr>
                <w:rFonts w:hint="default" w:ascii="Times New Roman" w:hAnsi="Times New Roman" w:eastAsia="仿宋" w:cs="Times New Roman"/>
                <w:b/>
                <w:bCs/>
                <w:color w:val="auto"/>
                <w:sz w:val="24"/>
                <w:szCs w:val="24"/>
              </w:rPr>
              <w:t>用地性质为工业用地</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rPr>
              <w:t>与规划相符</w:t>
            </w:r>
            <w:r>
              <w:rPr>
                <w:rFonts w:hint="default" w:ascii="Times New Roman" w:hAnsi="Times New Roman" w:eastAsia="仿宋" w:cs="Times New Roman"/>
                <w:b/>
                <w:bCs/>
                <w:color w:val="auto"/>
                <w:sz w:val="24"/>
                <w:szCs w:val="24"/>
                <w:lang w:val="en-US" w:eastAsia="zh-CN"/>
              </w:rPr>
              <w:t>。</w:t>
            </w:r>
          </w:p>
          <w:p w14:paraId="52437B9A">
            <w:pPr>
              <w:keepNext w:val="0"/>
              <w:keepLines w:val="0"/>
              <w:pageBreakBefore w:val="0"/>
              <w:widowControl w:val="0"/>
              <w:kinsoku/>
              <w:wordWrap/>
              <w:overflowPunct/>
              <w:topLinePunct w:val="0"/>
              <w:bidi w:val="0"/>
              <w:spacing w:line="460" w:lineRule="exact"/>
              <w:ind w:firstLine="482" w:firstLineChars="200"/>
              <w:textAlignment w:val="auto"/>
              <w:rPr>
                <w:rFonts w:hint="default" w:ascii="Times New Roman" w:hAnsi="Times New Roman" w:eastAsia="仿宋" w:cs="Times New Roman"/>
                <w:b/>
                <w:bCs/>
                <w:color w:val="auto"/>
                <w:sz w:val="24"/>
                <w:szCs w:val="24"/>
                <w:lang w:eastAsia="zh-CN"/>
              </w:rPr>
            </w:pPr>
            <w:r>
              <w:rPr>
                <w:rFonts w:hint="default" w:ascii="Times New Roman" w:hAnsi="Times New Roman" w:eastAsia="仿宋" w:cs="Times New Roman"/>
                <w:b/>
                <w:bCs/>
                <w:color w:val="auto"/>
                <w:sz w:val="24"/>
                <w:szCs w:val="24"/>
                <w:lang w:val="en-US" w:eastAsia="zh-CN"/>
              </w:rPr>
              <w:t>2</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bCs/>
                <w:color w:val="auto"/>
                <w:sz w:val="24"/>
                <w:szCs w:val="24"/>
                <w:lang w:val="en-US" w:eastAsia="zh-CN"/>
              </w:rPr>
              <w:t>产业定位</w:t>
            </w:r>
          </w:p>
          <w:p w14:paraId="0E5514DD">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规划主导产业为：新材料产业、健康医疗产业、智能装备制造业和现代服务业。</w:t>
            </w:r>
          </w:p>
          <w:p w14:paraId="21ECEFD7">
            <w:pPr>
              <w:keepNext w:val="0"/>
              <w:keepLines w:val="0"/>
              <w:pageBreakBefore w:val="0"/>
              <w:widowControl w:val="0"/>
              <w:numPr>
                <w:ilvl w:val="0"/>
                <w:numId w:val="4"/>
              </w:numPr>
              <w:kinsoku/>
              <w:wordWrap/>
              <w:overflowPunct/>
              <w:topLinePunct w:val="0"/>
              <w:bidi w:val="0"/>
              <w:spacing w:line="460" w:lineRule="exact"/>
              <w:ind w:firstLine="480" w:firstLineChars="200"/>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新材料产业</w:t>
            </w:r>
          </w:p>
          <w:p w14:paraId="4DC9CC1F">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新材料产业发展重点为石墨烯新材料、人工复合材料和改性材料三个方面，现有</w:t>
            </w:r>
            <w:r>
              <w:rPr>
                <w:rFonts w:hint="default" w:ascii="Times New Roman" w:hAnsi="Times New Roman" w:eastAsia="仿宋" w:cs="Times New Roman"/>
                <w:color w:val="auto"/>
                <w:sz w:val="24"/>
                <w:szCs w:val="24"/>
                <w:lang w:val="en-US" w:eastAsia="zh-CN"/>
              </w:rPr>
              <w:t>38</w:t>
            </w:r>
            <w:r>
              <w:rPr>
                <w:rFonts w:hint="eastAsia" w:ascii="Times New Roman" w:hAnsi="Times New Roman" w:eastAsia="仿宋" w:cs="Times New Roman"/>
                <w:color w:val="auto"/>
                <w:sz w:val="24"/>
                <w:szCs w:val="24"/>
                <w:lang w:val="en-US" w:eastAsia="zh-CN"/>
              </w:rPr>
              <w:t>家企业。</w:t>
            </w:r>
          </w:p>
          <w:p w14:paraId="1F2405AA">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园区基于现有产业基础，新材料产业发展规划方向如下：一是借助石墨烯小镇和已有的碳材料产业重点发展石墨烯、碳材料为主导的新材料，形成以石墨烯、碳材料为典型的新材料产业；二是园区已有传统材料产业加大升级改造，在原有基础上提升产业新功能或新技术属性，朝新材料领域发展，重点建设复合材料、改性材料。</w:t>
            </w:r>
          </w:p>
          <w:p w14:paraId="6C05FA88">
            <w:pPr>
              <w:keepNext w:val="0"/>
              <w:keepLines w:val="0"/>
              <w:pageBreakBefore w:val="0"/>
              <w:widowControl w:val="0"/>
              <w:numPr>
                <w:ilvl w:val="0"/>
                <w:numId w:val="4"/>
              </w:numPr>
              <w:kinsoku/>
              <w:wordWrap/>
              <w:overflowPunct/>
              <w:topLinePunct w:val="0"/>
              <w:bidi w:val="0"/>
              <w:spacing w:line="460" w:lineRule="exact"/>
              <w:ind w:firstLine="480" w:firstLineChars="200"/>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医疗健康产业</w:t>
            </w:r>
          </w:p>
          <w:p w14:paraId="718F34B7">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医疗健康产业主要发展医疗器械、生物制药、医疗服务、医疗商贸等产业方向，现有</w:t>
            </w:r>
            <w:r>
              <w:rPr>
                <w:rFonts w:hint="default" w:ascii="Times New Roman" w:hAnsi="Times New Roman" w:eastAsia="仿宋" w:cs="Times New Roman"/>
                <w:color w:val="auto"/>
                <w:sz w:val="24"/>
                <w:szCs w:val="24"/>
                <w:lang w:val="en-US" w:eastAsia="zh-CN"/>
              </w:rPr>
              <w:t>51</w:t>
            </w:r>
            <w:r>
              <w:rPr>
                <w:rFonts w:hint="eastAsia" w:ascii="Times New Roman" w:hAnsi="Times New Roman" w:eastAsia="仿宋" w:cs="Times New Roman"/>
                <w:color w:val="auto"/>
                <w:sz w:val="24"/>
                <w:szCs w:val="24"/>
                <w:lang w:val="en-US" w:eastAsia="zh-CN"/>
              </w:rPr>
              <w:t>家企业。</w:t>
            </w:r>
          </w:p>
          <w:p w14:paraId="52BED6F4">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据发展改革委修订发布《产业结构调整指导目录（</w:t>
            </w:r>
            <w:r>
              <w:rPr>
                <w:rFonts w:hint="default" w:ascii="Times New Roman" w:hAnsi="Times New Roman" w:eastAsia="仿宋" w:cs="Times New Roman"/>
                <w:color w:val="auto"/>
                <w:sz w:val="24"/>
                <w:szCs w:val="24"/>
                <w:lang w:val="en-US" w:eastAsia="zh-CN"/>
              </w:rPr>
              <w:t>2024</w:t>
            </w:r>
            <w:r>
              <w:rPr>
                <w:rFonts w:hint="eastAsia" w:ascii="Times New Roman" w:hAnsi="Times New Roman" w:eastAsia="仿宋" w:cs="Times New Roman"/>
                <w:color w:val="auto"/>
                <w:sz w:val="24"/>
                <w:szCs w:val="24"/>
                <w:lang w:val="en-US" w:eastAsia="zh-CN"/>
              </w:rPr>
              <w:t>年本）》（中华人民共和国国家发展和改革委员会令第</w:t>
            </w:r>
            <w:r>
              <w:rPr>
                <w:rFonts w:hint="default" w:ascii="Times New Roman" w:hAnsi="Times New Roman" w:eastAsia="仿宋" w:cs="Times New Roman"/>
                <w:color w:val="auto"/>
                <w:sz w:val="24"/>
                <w:szCs w:val="24"/>
                <w:lang w:val="en-US" w:eastAsia="zh-CN"/>
              </w:rPr>
              <w:t>29</w:t>
            </w:r>
            <w:r>
              <w:rPr>
                <w:rFonts w:hint="eastAsia" w:ascii="Times New Roman" w:hAnsi="Times New Roman" w:eastAsia="仿宋" w:cs="Times New Roman"/>
                <w:color w:val="auto"/>
                <w:sz w:val="24"/>
                <w:szCs w:val="24"/>
                <w:lang w:val="en-US" w:eastAsia="zh-CN"/>
              </w:rPr>
              <w:t>号）医疗健康行业指导目录，结合园区健康产业规划，明确医疗行业发展方向为医疗器械、生物制药和医疗服务三大模块，对于医药中间体、原药生产等对环境影响较大的企业或不符合环评要求的产业严禁引入。</w:t>
            </w:r>
          </w:p>
          <w:p w14:paraId="6067D333">
            <w:pPr>
              <w:keepNext w:val="0"/>
              <w:keepLines w:val="0"/>
              <w:pageBreakBefore w:val="0"/>
              <w:widowControl w:val="0"/>
              <w:numPr>
                <w:ilvl w:val="0"/>
                <w:numId w:val="4"/>
              </w:numPr>
              <w:kinsoku/>
              <w:wordWrap/>
              <w:overflowPunct/>
              <w:topLinePunct w:val="0"/>
              <w:bidi w:val="0"/>
              <w:spacing w:line="460" w:lineRule="exact"/>
              <w:ind w:firstLine="480" w:firstLineChars="200"/>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现代服务产业</w:t>
            </w:r>
          </w:p>
          <w:p w14:paraId="66E1190B">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园区目前主要形成了以西太湖电子商务产业为集聚的互联网产业，以西太湖影视产业为集聚的数字娱乐产业，涉及互联网、文化影视、数字娱乐、现代物流和旅游等系列，现约有</w:t>
            </w:r>
            <w:r>
              <w:rPr>
                <w:rFonts w:hint="default" w:ascii="Times New Roman" w:hAnsi="Times New Roman" w:eastAsia="仿宋" w:cs="Times New Roman"/>
                <w:color w:val="auto"/>
                <w:sz w:val="24"/>
                <w:szCs w:val="24"/>
                <w:lang w:val="en-US" w:eastAsia="zh-CN"/>
              </w:rPr>
              <w:t>2000</w:t>
            </w:r>
            <w:r>
              <w:rPr>
                <w:rFonts w:hint="eastAsia" w:ascii="Times New Roman" w:hAnsi="Times New Roman" w:eastAsia="仿宋" w:cs="Times New Roman"/>
                <w:color w:val="auto"/>
                <w:sz w:val="24"/>
                <w:szCs w:val="24"/>
                <w:lang w:val="en-US" w:eastAsia="zh-CN"/>
              </w:rPr>
              <w:t>家企业。</w:t>
            </w:r>
          </w:p>
          <w:p w14:paraId="7BF5E752">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根据现有系列，现代服务业模块主要发展传统互联网、产业</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工业互联网、数字娱乐、新一代信息技术制造业、现代物流和生态旅游。</w:t>
            </w:r>
          </w:p>
          <w:p w14:paraId="36FA3B08">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现代服务产业的发展将为高端装备制造和新一代信息技术产业等先进制造业的发展提供支持和服务</w:t>
            </w:r>
            <w:r>
              <w:rPr>
                <w:rFonts w:hint="eastAsia" w:eastAsia="仿宋" w:cs="Times New Roman"/>
                <w:color w:val="auto"/>
                <w:sz w:val="24"/>
                <w:szCs w:val="24"/>
                <w:lang w:val="en-US" w:eastAsia="zh-CN"/>
              </w:rPr>
              <w:t>。</w:t>
            </w:r>
          </w:p>
          <w:p w14:paraId="6CDBDDB3">
            <w:pPr>
              <w:keepNext w:val="0"/>
              <w:keepLines w:val="0"/>
              <w:pageBreakBefore w:val="0"/>
              <w:widowControl w:val="0"/>
              <w:numPr>
                <w:ilvl w:val="0"/>
                <w:numId w:val="4"/>
              </w:numPr>
              <w:kinsoku/>
              <w:wordWrap/>
              <w:overflowPunct/>
              <w:topLinePunct w:val="0"/>
              <w:bidi w:val="0"/>
              <w:spacing w:line="460" w:lineRule="exact"/>
              <w:ind w:firstLine="480" w:firstLineChars="200"/>
              <w:textAlignment w:val="auto"/>
              <w:rPr>
                <w:rFonts w:hint="eastAsia" w:eastAsia="仿宋" w:cs="Times New Roman"/>
                <w:color w:val="auto"/>
                <w:sz w:val="24"/>
                <w:szCs w:val="24"/>
                <w:lang w:val="en-US" w:eastAsia="zh-CN"/>
              </w:rPr>
            </w:pPr>
            <w:r>
              <w:rPr>
                <w:rFonts w:hint="eastAsia" w:eastAsia="仿宋" w:cs="Times New Roman"/>
                <w:color w:val="auto"/>
                <w:sz w:val="24"/>
                <w:szCs w:val="24"/>
                <w:lang w:val="en-US" w:eastAsia="zh-CN"/>
              </w:rPr>
              <w:t>智能装备制造业方向</w:t>
            </w:r>
          </w:p>
          <w:p w14:paraId="3B660435">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园区发展至今，智能装备制造业形成以汽车制造业，计算机、通讯和其他电子设备制造业，电气机械和器材制造业为主的产业结构，现有</w:t>
            </w:r>
            <w:r>
              <w:rPr>
                <w:rFonts w:hint="default" w:ascii="Times New Roman" w:hAnsi="Times New Roman" w:eastAsia="仿宋" w:cs="Times New Roman"/>
                <w:color w:val="auto"/>
                <w:sz w:val="24"/>
                <w:szCs w:val="24"/>
                <w:lang w:val="en-US" w:eastAsia="zh-CN"/>
              </w:rPr>
              <w:t>279</w:t>
            </w:r>
            <w:r>
              <w:rPr>
                <w:rFonts w:hint="eastAsia" w:ascii="Times New Roman" w:hAnsi="Times New Roman" w:eastAsia="仿宋" w:cs="Times New Roman"/>
                <w:color w:val="auto"/>
                <w:sz w:val="24"/>
                <w:szCs w:val="24"/>
                <w:lang w:val="en-US" w:eastAsia="zh-CN"/>
              </w:rPr>
              <w:t>家企业。</w:t>
            </w:r>
          </w:p>
          <w:p w14:paraId="0D0C33AD">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本次规划提出，园区基于现有产业基础，强调装备制造业的</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智能</w:t>
            </w:r>
            <w:r>
              <w:rPr>
                <w:rFonts w:hint="default" w:ascii="Times New Roman" w:hAnsi="Times New Roman" w:eastAsia="仿宋" w:cs="Times New Roman"/>
                <w:color w:val="auto"/>
                <w:sz w:val="24"/>
                <w:szCs w:val="24"/>
                <w:lang w:val="en-US" w:eastAsia="zh-CN"/>
              </w:rPr>
              <w:t>+”</w:t>
            </w:r>
            <w:r>
              <w:rPr>
                <w:rFonts w:hint="eastAsia" w:ascii="Times New Roman" w:hAnsi="Times New Roman" w:eastAsia="仿宋" w:cs="Times New Roman"/>
                <w:color w:val="auto"/>
                <w:sz w:val="24"/>
                <w:szCs w:val="24"/>
                <w:lang w:val="en-US" w:eastAsia="zh-CN"/>
              </w:rPr>
              <w:t>功能。通过发展一批标志性、带动性强的重点产品和装备，突破一批关键技术和核心部件，实现一批高端装备的工程化、产业化应用。重点发展汽车制造业、机器人、计算机、通信和其他电子设备制造业及电气机械和器材制造业。</w:t>
            </w:r>
          </w:p>
          <w:p w14:paraId="245CB9C1">
            <w:pPr>
              <w:keepNext w:val="0"/>
              <w:keepLines w:val="0"/>
              <w:pageBreakBefore w:val="0"/>
              <w:widowControl w:val="0"/>
              <w:kinsoku/>
              <w:wordWrap/>
              <w:overflowPunct/>
              <w:topLinePunct w:val="0"/>
              <w:bidi w:val="0"/>
              <w:spacing w:line="460" w:lineRule="exact"/>
              <w:ind w:firstLine="480" w:firstLineChars="200"/>
              <w:textAlignment w:val="auto"/>
              <w:rPr>
                <w:rFonts w:hint="eastAsia" w:ascii="Times New Roman" w:hAnsi="Times New Roman" w:eastAsia="仿宋" w:cs="Times New Roman"/>
                <w:color w:val="auto"/>
                <w:sz w:val="24"/>
                <w:szCs w:val="24"/>
                <w:lang w:val="en-US" w:eastAsia="zh-CN"/>
              </w:rPr>
            </w:pPr>
            <w:r>
              <w:rPr>
                <w:rFonts w:hint="eastAsia" w:ascii="Times New Roman" w:hAnsi="Times New Roman" w:eastAsia="仿宋" w:cs="Times New Roman"/>
                <w:color w:val="auto"/>
                <w:sz w:val="24"/>
                <w:szCs w:val="24"/>
                <w:lang w:val="en-US" w:eastAsia="zh-CN"/>
              </w:rPr>
              <w:t>按照《国民经济行业分类》（</w:t>
            </w:r>
            <w:r>
              <w:rPr>
                <w:rFonts w:hint="default" w:ascii="Times New Roman" w:hAnsi="Times New Roman" w:eastAsia="仿宋" w:cs="Times New Roman"/>
                <w:color w:val="auto"/>
                <w:sz w:val="24"/>
                <w:szCs w:val="24"/>
                <w:lang w:val="en-US" w:eastAsia="zh-CN"/>
              </w:rPr>
              <w:t>2017</w:t>
            </w:r>
            <w:r>
              <w:rPr>
                <w:rFonts w:hint="eastAsia" w:ascii="Times New Roman" w:hAnsi="Times New Roman" w:eastAsia="仿宋" w:cs="Times New Roman"/>
                <w:color w:val="auto"/>
                <w:sz w:val="24"/>
                <w:szCs w:val="24"/>
                <w:lang w:val="en-US" w:eastAsia="zh-CN"/>
              </w:rPr>
              <w:t>年），新材料产业主要包括石墨及碳素制品制造、初级形态塑料及合成树脂制造、其他合成材料制造等；医疗健康产业包括医疗仪器设备及器械制造（包括医疗诊断、监护及治疗设备制造，口腔科用设备及器具制造，医疗实验室及医用消毒设备和器具制造，医疗、外科及兽医用器械制造、机械治疗及病房护理设备制造、康复辅具制造、眼镜制造、其他医疗设备及器械制造），生物药品制品制造（生物药品制造、基因工程药物和疫苗制造），医学研究和实验发展，其他卫生活动（健康体检服务、临床检验服务等），医药及医疗器材专门零售，涉及医疗的装卸搬运和仓储业，健康咨询、供应链管理服务等；现代服务产业包括互联网和相关服务，软件和信息技术服务业，商务服务业，广播、电视、电影和录音制作业，休闲观光活动等；智能装备制造业主要包括汽车制造业，通用设备制造业，电气机械和器材制造业，计算机、通信和其他电子设备制造业等。</w:t>
            </w:r>
          </w:p>
          <w:p w14:paraId="34AC2CE0">
            <w:pPr>
              <w:pStyle w:val="60"/>
              <w:keepNext w:val="0"/>
              <w:keepLines w:val="0"/>
              <w:pageBreakBefore w:val="0"/>
              <w:widowControl w:val="0"/>
              <w:kinsoku/>
              <w:wordWrap/>
              <w:overflowPunct/>
              <w:topLinePunct w:val="0"/>
              <w:bidi w:val="0"/>
              <w:spacing w:line="460" w:lineRule="exact"/>
              <w:ind w:firstLine="420"/>
              <w:textAlignment w:val="auto"/>
              <w:rPr>
                <w:rFonts w:hint="default" w:ascii="Times New Roman" w:hAnsi="Times New Roman" w:eastAsia="仿宋" w:cs="Times New Roman"/>
                <w:b/>
                <w:bCs w:val="0"/>
                <w:color w:val="auto"/>
                <w:sz w:val="24"/>
                <w:szCs w:val="24"/>
              </w:rPr>
            </w:pPr>
            <w:r>
              <w:rPr>
                <w:rFonts w:hint="default" w:ascii="Times New Roman" w:hAnsi="Times New Roman" w:eastAsia="仿宋" w:cs="Times New Roman"/>
                <w:b/>
                <w:bCs w:val="0"/>
                <w:color w:val="auto"/>
                <w:sz w:val="24"/>
                <w:szCs w:val="24"/>
              </w:rPr>
              <w:t>本项目</w:t>
            </w:r>
            <w:r>
              <w:rPr>
                <w:rFonts w:hint="default" w:ascii="Times New Roman" w:hAnsi="Times New Roman" w:eastAsia="仿宋" w:cs="Times New Roman"/>
                <w:b/>
                <w:bCs w:val="0"/>
                <w:color w:val="auto"/>
                <w:sz w:val="24"/>
                <w:szCs w:val="24"/>
                <w:lang w:val="en-US" w:eastAsia="zh-CN"/>
              </w:rPr>
              <w:t>位于“C3813微特电机及组件制造”，主要生产电机、驱动器，</w:t>
            </w:r>
            <w:r>
              <w:rPr>
                <w:rFonts w:hint="eastAsia" w:eastAsia="仿宋" w:cs="Times New Roman"/>
                <w:b/>
                <w:bCs w:val="0"/>
                <w:color w:val="auto"/>
                <w:sz w:val="24"/>
                <w:szCs w:val="24"/>
                <w:lang w:val="en-US" w:eastAsia="zh-CN"/>
              </w:rPr>
              <w:t>属于智能装备制造业中的电气机械制造业，不属于规划环评禁止入园行业类别，与规划环评相符</w:t>
            </w:r>
            <w:r>
              <w:rPr>
                <w:rFonts w:hint="default" w:ascii="Times New Roman" w:hAnsi="Times New Roman" w:eastAsia="仿宋" w:cs="Times New Roman"/>
                <w:b/>
                <w:bCs w:val="0"/>
                <w:color w:val="auto"/>
                <w:sz w:val="24"/>
                <w:szCs w:val="24"/>
              </w:rPr>
              <w:t>。</w:t>
            </w:r>
          </w:p>
          <w:p w14:paraId="7CC8AA19">
            <w:pPr>
              <w:keepNext w:val="0"/>
              <w:keepLines w:val="0"/>
              <w:pageBreakBefore w:val="0"/>
              <w:widowControl w:val="0"/>
              <w:kinsoku/>
              <w:wordWrap/>
              <w:overflowPunct/>
              <w:topLinePunct w:val="0"/>
              <w:bidi w:val="0"/>
              <w:spacing w:line="460" w:lineRule="exact"/>
              <w:ind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3</w:t>
            </w:r>
            <w:r>
              <w:rPr>
                <w:rFonts w:hint="default" w:ascii="Times New Roman" w:hAnsi="Times New Roman" w:eastAsia="仿宋" w:cs="Times New Roman"/>
                <w:b/>
                <w:bCs/>
                <w:color w:val="auto"/>
                <w:sz w:val="24"/>
                <w:szCs w:val="24"/>
              </w:rPr>
              <w:t>、基础设施规划</w:t>
            </w:r>
          </w:p>
          <w:p w14:paraId="78509F49">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（1）给水工程规划</w:t>
            </w:r>
          </w:p>
          <w:p w14:paraId="4B097F8B">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开发区一期和二期用水由江河港武水务有限公司湖塘水厂供给，三期用水由礼河水厂供给，水源均来自长江。</w:t>
            </w:r>
          </w:p>
          <w:p w14:paraId="487EAEDC">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一期市政DN800主干管沿延政路和创业北路敷设，给水管网为环状，敷设在道路东侧和南侧，管径为DN300－DN200，并分别与花果桥、中心桥和稻香路与创业北路干管预留头相接，确保供水可靠安全。</w:t>
            </w:r>
          </w:p>
          <w:p w14:paraId="47DA4E67">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二期市政DN800主干管沿延政西路、创业北路敷设，水管网为环状，敷设在道路东侧和南侧，管径为DN300-DN200。并分别与花果桥、中心桥和稻香路与创业北路交叉口干管预留头相接。</w:t>
            </w:r>
          </w:p>
          <w:p w14:paraId="4B4E8133">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三期长汀路DN500-DN600管道作为配水干管，沿其它道路敷设DN300-DN400配水支管成环布置。</w:t>
            </w:r>
          </w:p>
          <w:p w14:paraId="03D262E3">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（2）污水系统规划</w:t>
            </w:r>
          </w:p>
          <w:p w14:paraId="6B287D1C">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雨水管网：雨水排放出口主要为南北十字河、东西十字河、中沟河、丰泽河、场北河等河道，根据地块开发和道路建设敷设雨水管，完善雨水排放系统。</w:t>
            </w:r>
          </w:p>
          <w:p w14:paraId="1C1CA95C">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污水收集：已建果香路泵站，规模0.3万m³/d；已建祥云路污水泵站，规模2.5万m³/d；已建东方南路污水泵站，园区规模6.0万m³/d；已建凤苑路污水泵站，近期规模2.0万m³/d，远期规模6.0万m³/d。</w:t>
            </w:r>
          </w:p>
          <w:p w14:paraId="5172A5A6">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开发区采用雨污分流的排水体制，生活污水和工业企业废水收集后进入滨湖污水处理厂集中处理。保留延政西大道d1000污水干管，及祥云路DN600，凤苑路DN500、腾龙路DN700污水管网基础上，污水干管敷设在环湖路、腾龙路、凤苑路。目前本规划区污水管网已经覆盖全区，现有污水管网密度为1776米/平方公里，规划实施后达到1950米/平方公里，满足接管要求。开发区污水全部接至滨湖污水处理厂处理。</w:t>
            </w:r>
          </w:p>
          <w:p w14:paraId="5A51EB54">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滨湖污水处理厂位于开发区三期东北侧区域，总体规划规模为10万m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/d，一期工程规模为5万m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/d。目前一期工程（5万m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已建成，污水处理采用的工艺为“粗格栅+进水泵房+细格栅+曝气沉砂池+膜格栅＋A2/O+膜生物反应器（MBR）＋消毒接触”，已配套建设人工湿地生态安全缓冲区，废水组成比例大致为生活污水约占80%，工业废水占20%。</w:t>
            </w:r>
          </w:p>
          <w:p w14:paraId="1ECFF304">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滨湖污水处理厂服务范围北至振东路，南至沿江高速，西至金坛界，东至长江路（淹城路），包括滨湖新城北片区、滨湖新城南片区、嘉泽以及牛塘4片区。总服务面积约为175km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，服务人口约为52万。武进经济开发区位于其收水范围内。</w:t>
            </w:r>
          </w:p>
          <w:p w14:paraId="4BE2E6AE">
            <w:pPr>
              <w:keepNext w:val="0"/>
              <w:keepLines w:val="0"/>
              <w:pageBreakBefore w:val="0"/>
              <w:widowControl w:val="0"/>
              <w:kinsoku/>
              <w:wordWrap/>
              <w:overflowPunct/>
              <w:topLinePunct w:val="0"/>
              <w:bidi w:val="0"/>
              <w:spacing w:line="460" w:lineRule="exact"/>
              <w:ind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rPr>
              <w:t>目前本项目所在地污水管网已敷设到位，产生的生活污水接管至滨湖污水处理厂集中处理</w:t>
            </w:r>
            <w:r>
              <w:rPr>
                <w:rFonts w:hint="default"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lang w:val="en-US" w:eastAsia="zh-CN"/>
              </w:rPr>
              <w:t>园区已办理排水许可证（苏2024字第247（B）号）</w:t>
            </w:r>
            <w:r>
              <w:rPr>
                <w:rFonts w:hint="default" w:ascii="Times New Roman" w:hAnsi="Times New Roman" w:eastAsia="仿宋" w:cs="Times New Roman"/>
                <w:b/>
                <w:bCs/>
                <w:color w:val="auto"/>
                <w:sz w:val="24"/>
                <w:szCs w:val="24"/>
              </w:rPr>
              <w:t>。</w:t>
            </w:r>
          </w:p>
          <w:p w14:paraId="74D765E3">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（3）供电工程</w:t>
            </w:r>
          </w:p>
          <w:p w14:paraId="713E1359">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供电电源及线路布置：保留现状110kV兴湖变，保留现状110kV农场变，规划新建110kV丰泽变。由110kV兴湖变、110kV农场变和110kV丰泽变向本规划区协同供电。保留现状沿孟津河500kV接地线及220kV架空线，按规划沿环湖路、腾龙路、西太湖大道等主要道路敷设10kV埋地电缆武宜运河东侧现状500kV接地线在征得相关部门同意后，可将其东移至常泰高速处。</w:t>
            </w:r>
          </w:p>
          <w:p w14:paraId="50689C26">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（4）燃气工程规划</w:t>
            </w:r>
          </w:p>
          <w:p w14:paraId="3ADE84FE">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气源：以天然气为主气源，气化率达100%。</w:t>
            </w:r>
          </w:p>
          <w:p w14:paraId="0A339F66">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燃气设施及管网：供气压力采用中低压二级制。保留环湖路现有高压燃气管，保留延政西大道、腾龙路、环湖路现有高压燃气管，沿未建道路敷设DN160-DN250中压燃气管，形成中压燃气环状管网，保障供气系统的可靠性。</w:t>
            </w:r>
          </w:p>
          <w:p w14:paraId="58B7BD20">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（5）集中供热工程</w:t>
            </w:r>
          </w:p>
          <w:p w14:paraId="5B9BFEB9">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规划区未设置集中供热工程，区内需用热的企业自建供热设施，使用天然气或电等清洁能源。</w:t>
            </w:r>
          </w:p>
          <w:p w14:paraId="230D39FD">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（6）危废处置工程</w:t>
            </w:r>
          </w:p>
          <w:p w14:paraId="2516C455">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规划区未设置危废处置工程。区域内设有一处危险废物集中收集贮存中心-云禾环境科技（常州）有限公司，将众多小微企业的危险废物“化零为整”，分类集中贮存，交由其他有资质的危废处置单位最终处置或资源化利用，发挥规模化处置优势。收集对象为10吨以下的企事业单位产生的危险废物，科研院所、高等学校、各类检测机构等产生的实验室废物（医疗废物除外），机动车维修机构、加油站等产生的危险废物。</w:t>
            </w:r>
          </w:p>
          <w:p w14:paraId="22BAB9E3">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对于其他产生危险废物的企业，自行委托有资质单位处置。</w:t>
            </w:r>
          </w:p>
          <w:p w14:paraId="493457B3">
            <w:pPr>
              <w:keepNext w:val="0"/>
              <w:keepLines w:val="0"/>
              <w:pageBreakBefore w:val="0"/>
              <w:widowControl w:val="0"/>
              <w:numPr>
                <w:ilvl w:val="0"/>
                <w:numId w:val="3"/>
              </w:numPr>
              <w:kinsoku/>
              <w:wordWrap/>
              <w:overflowPunct/>
              <w:topLinePunct w:val="0"/>
              <w:autoSpaceDE w:val="0"/>
              <w:autoSpaceDN w:val="0"/>
              <w:bidi w:val="0"/>
              <w:adjustRightInd w:val="0"/>
              <w:snapToGrid w:val="0"/>
              <w:spacing w:line="46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规划环境影响评价相符性分析</w:t>
            </w:r>
          </w:p>
          <w:p w14:paraId="1BA534FA">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本项目与《关于</w:t>
            </w:r>
            <w:r>
              <w:rPr>
                <w:rFonts w:hint="default" w:ascii="Times New Roman" w:hAnsi="Times New Roman" w:eastAsia="仿宋" w:cs="Times New Roman"/>
                <w:color w:val="auto"/>
                <w:sz w:val="24"/>
                <w:szCs w:val="24"/>
              </w:rPr>
              <w:t>江苏武进经济开发区产业发展规划（2020-2030年）环境影响报告书</w:t>
            </w:r>
            <w:r>
              <w:rPr>
                <w:rFonts w:hint="default" w:ascii="Times New Roman" w:hAnsi="Times New Roman" w:eastAsia="仿宋" w:cs="Times New Roman"/>
                <w:color w:val="auto"/>
                <w:sz w:val="24"/>
                <w:szCs w:val="24"/>
                <w:lang w:val="en-US" w:eastAsia="zh-CN"/>
              </w:rPr>
              <w:t>的审查意见》</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苏环审[2022]59号</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对照分析情况如下表</w:t>
            </w:r>
            <w:r>
              <w:rPr>
                <w:rFonts w:hint="default" w:ascii="Times New Roman" w:hAnsi="Times New Roman" w:eastAsia="仿宋" w:cs="Times New Roman"/>
                <w:color w:val="auto"/>
                <w:sz w:val="24"/>
                <w:szCs w:val="24"/>
              </w:rPr>
              <w:t>。</w:t>
            </w:r>
          </w:p>
          <w:p w14:paraId="7A6FFD55">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p>
          <w:p w14:paraId="0424AB84">
            <w:pPr>
              <w:keepNext w:val="0"/>
              <w:keepLines w:val="0"/>
              <w:pageBreakBefore w:val="0"/>
              <w:widowControl w:val="0"/>
              <w:kinsoku/>
              <w:wordWrap/>
              <w:overflowPunct/>
              <w:topLinePunct w:val="0"/>
              <w:bidi w:val="0"/>
              <w:spacing w:line="460" w:lineRule="exact"/>
              <w:ind w:firstLine="480" w:firstLineChars="200"/>
              <w:textAlignment w:val="auto"/>
              <w:rPr>
                <w:rFonts w:hint="default" w:ascii="Times New Roman" w:hAnsi="Times New Roman" w:eastAsia="仿宋" w:cs="Times New Roman"/>
                <w:color w:val="auto"/>
                <w:sz w:val="24"/>
                <w:szCs w:val="24"/>
              </w:rPr>
            </w:pPr>
          </w:p>
          <w:p w14:paraId="0281738C">
            <w:pPr>
              <w:pStyle w:val="3"/>
              <w:keepNext w:val="0"/>
              <w:keepLines w:val="0"/>
              <w:pageBreakBefore w:val="0"/>
              <w:widowControl w:val="0"/>
              <w:numPr>
                <w:ilvl w:val="0"/>
                <w:numId w:val="0"/>
              </w:numPr>
              <w:kinsoku/>
              <w:wordWrap/>
              <w:overflowPunct/>
              <w:topLinePunct w:val="0"/>
              <w:bidi w:val="0"/>
              <w:spacing w:line="480" w:lineRule="exact"/>
              <w:jc w:val="both"/>
              <w:textAlignment w:val="auto"/>
              <w:rPr>
                <w:rFonts w:hint="default" w:ascii="Times New Roman" w:hAnsi="Times New Roman" w:eastAsia="仿宋" w:cs="Times New Roman"/>
                <w:color w:val="auto"/>
                <w:sz w:val="24"/>
                <w:szCs w:val="24"/>
              </w:rPr>
            </w:pPr>
          </w:p>
          <w:p w14:paraId="43D54442">
            <w:pPr>
              <w:keepNext w:val="0"/>
              <w:keepLines w:val="0"/>
              <w:pageBreakBefore w:val="0"/>
              <w:widowControl w:val="0"/>
              <w:kinsoku/>
              <w:wordWrap/>
              <w:overflowPunct/>
              <w:topLinePunct w:val="0"/>
              <w:bidi w:val="0"/>
              <w:spacing w:line="480" w:lineRule="exact"/>
              <w:textAlignment w:val="auto"/>
              <w:rPr>
                <w:rFonts w:hint="default" w:ascii="Times New Roman" w:hAnsi="Times New Roman" w:eastAsia="仿宋" w:cs="Times New Roman"/>
                <w:color w:val="auto"/>
                <w:sz w:val="24"/>
                <w:szCs w:val="24"/>
              </w:rPr>
            </w:pPr>
          </w:p>
        </w:tc>
      </w:tr>
    </w:tbl>
    <w:p w14:paraId="57F4B794">
      <w:pPr>
        <w:tabs>
          <w:tab w:val="left" w:pos="1875"/>
        </w:tabs>
        <w:rPr>
          <w:rFonts w:hint="default" w:ascii="Times New Roman" w:hAnsi="Times New Roman" w:eastAsia="仿宋" w:cs="Times New Roman"/>
          <w:color w:val="auto"/>
          <w:sz w:val="21"/>
          <w:szCs w:val="21"/>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12874"/>
      </w:tblGrid>
      <w:tr w14:paraId="1D8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5" w:type="pct"/>
            <w:noWrap w:val="0"/>
            <w:vAlign w:val="center"/>
          </w:tcPr>
          <w:p w14:paraId="346FD429">
            <w:pPr>
              <w:pStyle w:val="2"/>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rPr>
              <w:t>规划及规划环境影响评价符合性分析</w:t>
            </w:r>
          </w:p>
        </w:tc>
        <w:tc>
          <w:tcPr>
            <w:tcW w:w="4714" w:type="pct"/>
            <w:noWrap w:val="0"/>
            <w:vAlign w:val="top"/>
          </w:tcPr>
          <w:p w14:paraId="32D2F8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2</w:t>
            </w:r>
            <w:r>
              <w:rPr>
                <w:rFonts w:hint="default" w:ascii="Times New Roman" w:hAnsi="Times New Roman" w:eastAsia="仿宋" w:cs="Times New Roman"/>
                <w:b/>
                <w:bCs/>
                <w:color w:val="auto"/>
                <w:sz w:val="21"/>
                <w:szCs w:val="21"/>
              </w:rPr>
              <w:t xml:space="preserve">  </w:t>
            </w:r>
            <w:r>
              <w:rPr>
                <w:rFonts w:hint="default" w:ascii="Times New Roman" w:hAnsi="Times New Roman" w:eastAsia="仿宋" w:cs="Times New Roman"/>
                <w:b/>
                <w:bCs/>
                <w:color w:val="auto"/>
                <w:sz w:val="21"/>
                <w:szCs w:val="21"/>
                <w:lang w:val="en-US" w:eastAsia="zh-CN"/>
              </w:rPr>
              <w:t>本项目与审查意见（苏环审[2022]59号）相符性分析一览表</w:t>
            </w:r>
          </w:p>
          <w:tbl>
            <w:tblPr>
              <w:tblStyle w:val="24"/>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5295"/>
              <w:gridCol w:w="4224"/>
              <w:gridCol w:w="1206"/>
            </w:tblGrid>
            <w:tr w14:paraId="199809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3D88B6A5">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5295" w:type="dxa"/>
                  <w:noWrap w:val="0"/>
                  <w:vAlign w:val="center"/>
                </w:tcPr>
                <w:p w14:paraId="1B4FB21E">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审查意见内容</w:t>
                  </w:r>
                </w:p>
              </w:tc>
              <w:tc>
                <w:tcPr>
                  <w:tcW w:w="4224" w:type="dxa"/>
                  <w:noWrap w:val="0"/>
                  <w:vAlign w:val="center"/>
                </w:tcPr>
                <w:p w14:paraId="4F482A33">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本项目建设情况</w:t>
                  </w:r>
                </w:p>
              </w:tc>
              <w:tc>
                <w:tcPr>
                  <w:tcW w:w="1206" w:type="dxa"/>
                  <w:noWrap w:val="0"/>
                  <w:vAlign w:val="center"/>
                </w:tcPr>
                <w:p w14:paraId="6DBE8EC9">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相符性分析</w:t>
                  </w:r>
                </w:p>
              </w:tc>
            </w:tr>
            <w:tr w14:paraId="2A4AE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17A37CD4">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深入践行习近平生态文明思想，完整准确全面贯彻新发展理念，坚持绿色发展、协调发展，加强《规划》引导</w:t>
                  </w:r>
                </w:p>
              </w:tc>
              <w:tc>
                <w:tcPr>
                  <w:tcW w:w="5295" w:type="dxa"/>
                  <w:noWrap w:val="0"/>
                  <w:vAlign w:val="center"/>
                </w:tcPr>
                <w:p w14:paraId="60FA1069">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突出生态优先、集约高效，以生态环境质量改善为核心，进一步优化《规划》用地布局、发展规模、产业结构等，做好与各级国土空间规划和生态环境分区管控体系的协调衔接。</w:t>
                  </w:r>
                </w:p>
              </w:tc>
              <w:tc>
                <w:tcPr>
                  <w:tcW w:w="4224" w:type="dxa"/>
                  <w:noWrap w:val="0"/>
                  <w:vAlign w:val="center"/>
                </w:tcPr>
                <w:p w14:paraId="73B1F4E8">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土地用途为工业用地；属于</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lang w:val="en-US" w:eastAsia="zh-CN"/>
                    </w:rPr>
                    <w:t>最近的生态空间管控区域</w:t>
                  </w:r>
                  <w:r>
                    <w:rPr>
                      <w:rFonts w:hint="default" w:ascii="Times New Roman" w:hAnsi="Times New Roman" w:eastAsia="仿宋" w:cs="Times New Roman"/>
                      <w:color w:val="auto"/>
                      <w:sz w:val="21"/>
                      <w:szCs w:val="21"/>
                    </w:rPr>
                    <w:t>武进滆湖省级湿地公园</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距离为4.8</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不在生态空间管控范围内。</w:t>
                  </w:r>
                </w:p>
              </w:tc>
              <w:tc>
                <w:tcPr>
                  <w:tcW w:w="1206" w:type="dxa"/>
                  <w:noWrap w:val="0"/>
                  <w:vAlign w:val="center"/>
                </w:tcPr>
                <w:p w14:paraId="0E80EE1B">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lang w:val="en-US" w:eastAsia="zh-CN"/>
                    </w:rPr>
                  </w:pPr>
                  <w:r>
                    <w:rPr>
                      <w:rFonts w:hint="default" w:ascii="Times New Roman" w:hAnsi="Times New Roman" w:eastAsia="仿宋" w:cs="Times New Roman"/>
                      <w:color w:val="auto"/>
                      <w:spacing w:val="-8"/>
                      <w:sz w:val="21"/>
                      <w:szCs w:val="21"/>
                      <w:lang w:val="en-US" w:eastAsia="zh-CN"/>
                    </w:rPr>
                    <w:t>相符</w:t>
                  </w:r>
                </w:p>
              </w:tc>
            </w:tr>
            <w:tr w14:paraId="3E317C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43BEBBF3">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严格空间管控，优化空间布局</w:t>
                  </w:r>
                </w:p>
              </w:tc>
              <w:tc>
                <w:tcPr>
                  <w:tcW w:w="5295" w:type="dxa"/>
                  <w:noWrap w:val="0"/>
                  <w:vAlign w:val="center"/>
                </w:tcPr>
                <w:p w14:paraId="71A15AE3">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落实武进</w:t>
                  </w:r>
                  <w:r>
                    <w:rPr>
                      <w:rFonts w:hint="default" w:ascii="Times New Roman" w:hAnsi="Times New Roman" w:eastAsia="仿宋" w:cs="Times New Roman"/>
                      <w:color w:val="auto"/>
                      <w:sz w:val="21"/>
                      <w:szCs w:val="21"/>
                      <w:lang w:val="en-US" w:eastAsia="zh-CN"/>
                    </w:rPr>
                    <w:t>滆湖</w:t>
                  </w:r>
                  <w:r>
                    <w:rPr>
                      <w:rFonts w:hint="default" w:ascii="Times New Roman" w:hAnsi="Times New Roman" w:eastAsia="仿宋" w:cs="Times New Roman"/>
                      <w:color w:val="auto"/>
                      <w:sz w:val="21"/>
                      <w:szCs w:val="21"/>
                    </w:rPr>
                    <w:t>省级湿地公园合理利用区生态空间管控要求</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以及《太湖流域管理条例》《江苏省太湖水污染防治条例》等相关管理要求。落实《报告书》提出的企业拆迁、整改计划，强化工业企业退出和产业升级过程中的污染防治。加快区域内居民拆迁安置工作，减缓工居混杂。加快开发区产业转型升级和结构优化，现有不符合用地规划且与生态保护要求相冲突的污染企业应逐步升级改造、搬迁、淘汰。做好重污染企业存续期间环境管控和风险防控</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强化</w:t>
                  </w:r>
                  <w:r>
                    <w:rPr>
                      <w:rFonts w:hint="default" w:ascii="Times New Roman" w:hAnsi="Times New Roman" w:eastAsia="仿宋" w:cs="Times New Roman"/>
                      <w:color w:val="auto"/>
                      <w:sz w:val="21"/>
                      <w:szCs w:val="21"/>
                      <w:lang w:val="en-US" w:eastAsia="zh-CN"/>
                    </w:rPr>
                    <w:t>腾</w:t>
                  </w:r>
                  <w:r>
                    <w:rPr>
                      <w:rFonts w:hint="default" w:ascii="Times New Roman" w:hAnsi="Times New Roman" w:eastAsia="仿宋" w:cs="Times New Roman"/>
                      <w:color w:val="auto"/>
                      <w:sz w:val="21"/>
                      <w:szCs w:val="21"/>
                    </w:rPr>
                    <w:t>退企业遗留场地的土壤环境调查和风险评估，合理确定土地利用方式。确保开发区产业布局与生态环境保护、人居环境安全相协调。</w:t>
                  </w:r>
                </w:p>
              </w:tc>
              <w:tc>
                <w:tcPr>
                  <w:tcW w:w="4224" w:type="dxa"/>
                  <w:noWrap w:val="0"/>
                  <w:vAlign w:val="center"/>
                </w:tcPr>
                <w:p w14:paraId="54B5AB92">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土地用途为工业用地；距离</w:t>
                  </w:r>
                  <w:r>
                    <w:rPr>
                      <w:rFonts w:hint="default" w:ascii="Times New Roman" w:hAnsi="Times New Roman" w:eastAsia="仿宋" w:cs="Times New Roman"/>
                      <w:color w:val="auto"/>
                      <w:sz w:val="21"/>
                      <w:szCs w:val="21"/>
                    </w:rPr>
                    <w:t>武进滆湖省级湿地公园</w:t>
                  </w:r>
                  <w:r>
                    <w:rPr>
                      <w:rFonts w:hint="default" w:ascii="Times New Roman" w:hAnsi="Times New Roman" w:eastAsia="仿宋" w:cs="Times New Roman"/>
                      <w:color w:val="auto"/>
                      <w:sz w:val="21"/>
                      <w:szCs w:val="21"/>
                      <w:lang w:val="en-US" w:eastAsia="zh-CN"/>
                    </w:rPr>
                    <w:t>4.8</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eastAsia="zh-CN"/>
                    </w:rPr>
                    <w:t>；</w:t>
                  </w:r>
                  <w:r>
                    <w:rPr>
                      <w:rFonts w:hint="eastAsia" w:ascii="Times New Roman" w:hAnsi="Times New Roman" w:eastAsia="仿宋" w:cs="Times New Roman"/>
                      <w:color w:val="auto"/>
                      <w:sz w:val="21"/>
                      <w:szCs w:val="21"/>
                      <w:lang w:val="en-US" w:eastAsia="zh-CN"/>
                    </w:rPr>
                    <w:t>清洗废液</w:t>
                  </w:r>
                  <w:r>
                    <w:rPr>
                      <w:rFonts w:hint="default" w:ascii="Times New Roman" w:hAnsi="Times New Roman" w:eastAsia="仿宋" w:cs="Times New Roman"/>
                      <w:color w:val="auto"/>
                      <w:sz w:val="21"/>
                      <w:szCs w:val="21"/>
                      <w:lang w:val="en-US" w:eastAsia="zh-CN"/>
                    </w:rPr>
                    <w:t>作为危废</w:t>
                  </w:r>
                  <w:r>
                    <w:rPr>
                      <w:rFonts w:hint="default" w:ascii="Times New Roman" w:hAnsi="Times New Roman" w:eastAsia="仿宋" w:cs="Times New Roman"/>
                      <w:color w:val="auto"/>
                      <w:sz w:val="21"/>
                      <w:szCs w:val="21"/>
                    </w:rPr>
                    <w:t>委托有资质单位处理；生活污水经厂区污水管网收集后接入区域污水管网进滨湖污水处理厂处理</w:t>
                  </w:r>
                  <w:r>
                    <w:rPr>
                      <w:rFonts w:hint="default" w:ascii="Times New Roman" w:hAnsi="Times New Roman" w:eastAsia="仿宋" w:cs="Times New Roman"/>
                      <w:color w:val="auto"/>
                      <w:sz w:val="21"/>
                      <w:szCs w:val="21"/>
                      <w:lang w:eastAsia="zh-CN"/>
                    </w:rPr>
                    <w:t>。</w:t>
                  </w:r>
                </w:p>
              </w:tc>
              <w:tc>
                <w:tcPr>
                  <w:tcW w:w="1206" w:type="dxa"/>
                  <w:noWrap w:val="0"/>
                  <w:vAlign w:val="center"/>
                </w:tcPr>
                <w:p w14:paraId="74FBC3AB">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lang w:val="en-US" w:eastAsia="zh-CN"/>
                    </w:rPr>
                    <w:t>相符</w:t>
                  </w:r>
                </w:p>
              </w:tc>
            </w:tr>
            <w:tr w14:paraId="6407AE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7B81F8C6">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严守环境质量底线，实施污染物排放限值限量管理</w:t>
                  </w:r>
                </w:p>
              </w:tc>
              <w:tc>
                <w:tcPr>
                  <w:tcW w:w="5295" w:type="dxa"/>
                  <w:noWrap w:val="0"/>
                  <w:vAlign w:val="center"/>
                </w:tcPr>
                <w:p w14:paraId="35DB9522">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根据国家和江苏省关于大气、水、土壤污染防治和区域生态环境分区管控相关要求，建立以环境质量为核心的污染物总量控制管理体系。落实生态环境准入清单中的污染物排放管控要求，推进主要污染物排放浓度和总量“双管控”，为区域环境质量持续改善作出积极贡献</w:t>
                  </w:r>
                </w:p>
              </w:tc>
              <w:tc>
                <w:tcPr>
                  <w:tcW w:w="4224" w:type="dxa"/>
                  <w:noWrap w:val="0"/>
                  <w:vAlign w:val="center"/>
                </w:tcPr>
                <w:p w14:paraId="1744E2A2">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本项目生产过程中</w:t>
                  </w:r>
                  <w:r>
                    <w:rPr>
                      <w:rFonts w:hint="default" w:ascii="Times New Roman" w:hAnsi="Times New Roman" w:eastAsia="仿宋" w:cs="Times New Roman"/>
                      <w:color w:val="auto"/>
                      <w:sz w:val="21"/>
                      <w:szCs w:val="21"/>
                      <w:lang w:eastAsia="zh-CN"/>
                    </w:rPr>
                    <w:t>各污染物总量在区域内平衡。</w:t>
                  </w:r>
                </w:p>
              </w:tc>
              <w:tc>
                <w:tcPr>
                  <w:tcW w:w="1206" w:type="dxa"/>
                  <w:noWrap w:val="0"/>
                  <w:vAlign w:val="center"/>
                </w:tcPr>
                <w:p w14:paraId="74262812">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6"/>
                      <w:sz w:val="21"/>
                      <w:szCs w:val="21"/>
                      <w:lang w:eastAsia="zh-CN"/>
                    </w:rPr>
                  </w:pPr>
                  <w:r>
                    <w:rPr>
                      <w:rFonts w:hint="default" w:ascii="Times New Roman" w:hAnsi="Times New Roman" w:eastAsia="仿宋" w:cs="Times New Roman"/>
                      <w:color w:val="auto"/>
                      <w:spacing w:val="-6"/>
                      <w:sz w:val="21"/>
                      <w:szCs w:val="21"/>
                      <w:lang w:val="en-US" w:eastAsia="zh-CN"/>
                    </w:rPr>
                    <w:t>相符</w:t>
                  </w:r>
                </w:p>
              </w:tc>
            </w:tr>
            <w:tr w14:paraId="59EED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1C77D58B">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加强源头治理，协同推进减污降碳</w:t>
                  </w:r>
                </w:p>
              </w:tc>
              <w:tc>
                <w:tcPr>
                  <w:tcW w:w="5295" w:type="dxa"/>
                  <w:noWrap w:val="0"/>
                  <w:vAlign w:val="center"/>
                </w:tcPr>
                <w:p w14:paraId="736BA51C">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强化企业特征污染物排放控制、高效治理设施建设以及精细化管控要求。严格落实生态环境准入清单，执行最严格的行业废水、废气排放控制要求。引进项目的生产工艺、设备，以及资源能源利用、污染物排放、废物回收利用等应达到同行业先进水平。全面开展清洁生产审核，推动重点行业依法实施强制性审核，引导其他行业自觉自愿开展审核。推进开发区绿色低碳转型发展，实现减污降碳协同增效目标</w:t>
                  </w:r>
                </w:p>
              </w:tc>
              <w:tc>
                <w:tcPr>
                  <w:tcW w:w="4224" w:type="dxa"/>
                  <w:noWrap w:val="0"/>
                  <w:vAlign w:val="center"/>
                </w:tcPr>
                <w:p w14:paraId="1D188B57">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废水污染防治措施：本项目清洗废液作为危废委托有资质单位处理；生活污水经厂区污水管网收集后接入区域污水管网进滨湖污水处理厂处理。</w:t>
                  </w:r>
                </w:p>
              </w:tc>
              <w:tc>
                <w:tcPr>
                  <w:tcW w:w="1206" w:type="dxa"/>
                  <w:noWrap w:val="0"/>
                  <w:vAlign w:val="center"/>
                </w:tcPr>
                <w:p w14:paraId="41093FEF">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lang w:val="en-US" w:eastAsia="zh-CN"/>
                    </w:rPr>
                    <w:t>相符</w:t>
                  </w:r>
                </w:p>
              </w:tc>
            </w:tr>
            <w:tr w14:paraId="1EB315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76214C70">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完善环境基础设施</w:t>
                  </w:r>
                </w:p>
              </w:tc>
              <w:tc>
                <w:tcPr>
                  <w:tcW w:w="5295" w:type="dxa"/>
                  <w:noWrap w:val="0"/>
                  <w:vAlign w:val="center"/>
                </w:tcPr>
                <w:p w14:paraId="1BFAB5BD">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推进滨湖污水处理厂二期扩建工程及管网建设，确保开发区废水全收集、全处理。推进区内生产废水和生活污水分类收集处理，完善企业废水预处理措施，对工业废水接入滨湖污水处理厂的企业应开展排查评估并按要求整改。推进区内入河排污口排查整治，建立名录，强化日常监管。加强开发区固体废物减量化、资源化、无害化处理，一般工业固废、危险废物应依法依规收集、处理处置，做到“就地分类收集、就近转移处置”</w:t>
                  </w:r>
                </w:p>
              </w:tc>
              <w:tc>
                <w:tcPr>
                  <w:tcW w:w="4224" w:type="dxa"/>
                  <w:noWrap w:val="0"/>
                  <w:vAlign w:val="center"/>
                </w:tcPr>
                <w:p w14:paraId="6C897226">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本项目清洗废液作为危废委托有资质单位处理；生活污水经厂区污水管网收集后接入区域污水管网进滨湖污水处理厂处理，达标后尾水排入新京杭运河。各类固体废弃物均得到了有效地处理处置，固废控制率达到100%。</w:t>
                  </w:r>
                </w:p>
              </w:tc>
              <w:tc>
                <w:tcPr>
                  <w:tcW w:w="1206" w:type="dxa"/>
                  <w:noWrap w:val="0"/>
                  <w:vAlign w:val="center"/>
                </w:tcPr>
                <w:p w14:paraId="09C7104D">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rPr>
                  </w:pPr>
                  <w:r>
                    <w:rPr>
                      <w:rFonts w:hint="default" w:ascii="Times New Roman" w:hAnsi="Times New Roman" w:eastAsia="仿宋" w:cs="Times New Roman"/>
                      <w:color w:val="auto"/>
                      <w:spacing w:val="-8"/>
                      <w:sz w:val="21"/>
                      <w:szCs w:val="21"/>
                      <w:lang w:val="en-US" w:eastAsia="zh-CN"/>
                    </w:rPr>
                    <w:t>相符</w:t>
                  </w:r>
                </w:p>
              </w:tc>
            </w:tr>
            <w:tr w14:paraId="412F4B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1DB5074E">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健全环境监测</w:t>
                  </w:r>
                </w:p>
                <w:p w14:paraId="41E6A918">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监控体系</w:t>
                  </w:r>
                </w:p>
              </w:tc>
              <w:tc>
                <w:tcPr>
                  <w:tcW w:w="5295" w:type="dxa"/>
                  <w:noWrap w:val="0"/>
                  <w:vAlign w:val="center"/>
                </w:tcPr>
                <w:p w14:paraId="17D6D496">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开展包括环境空气、地表水、地下水、土壤、底泥等环境要素的跟踪监测。严格落实开发区环境质量监测要求，布设空气质量自动监测站点，同时根据实际情况在开发区周边河流布设水质自动监测站点。指导区内企业规范安装在线监测设备，推进区内排污许可重点管理单位自动监测全覆盖</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暂不具备安装在线监测设备条件的企业，指导企业做好委托监测工作。</w:t>
                  </w:r>
                </w:p>
              </w:tc>
              <w:tc>
                <w:tcPr>
                  <w:tcW w:w="4224" w:type="dxa"/>
                  <w:noWrap w:val="0"/>
                  <w:vAlign w:val="center"/>
                </w:tcPr>
                <w:p w14:paraId="54D10EDA">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0"/>
                      <w:sz w:val="21"/>
                      <w:szCs w:val="21"/>
                      <w:lang w:val="en-US" w:eastAsia="zh-CN"/>
                    </w:rPr>
                  </w:pPr>
                  <w:r>
                    <w:rPr>
                      <w:rFonts w:hint="default" w:ascii="Times New Roman" w:hAnsi="Times New Roman" w:eastAsia="仿宋" w:cs="Times New Roman"/>
                      <w:color w:val="auto"/>
                      <w:spacing w:val="0"/>
                      <w:sz w:val="21"/>
                      <w:szCs w:val="21"/>
                      <w:lang w:val="en-US" w:eastAsia="zh-CN"/>
                    </w:rPr>
                    <w:t>本项目建成后按照《报告表》及排污许可管理要求委托专业单位进行检测</w:t>
                  </w:r>
                </w:p>
              </w:tc>
              <w:tc>
                <w:tcPr>
                  <w:tcW w:w="1206" w:type="dxa"/>
                  <w:noWrap w:val="0"/>
                  <w:vAlign w:val="center"/>
                </w:tcPr>
                <w:p w14:paraId="7A5A7600">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8"/>
                      <w:sz w:val="21"/>
                      <w:szCs w:val="21"/>
                      <w:lang w:val="en-US" w:eastAsia="zh-CN"/>
                    </w:rPr>
                  </w:pPr>
                  <w:r>
                    <w:rPr>
                      <w:rFonts w:hint="default" w:ascii="Times New Roman" w:hAnsi="Times New Roman" w:eastAsia="仿宋" w:cs="Times New Roman"/>
                      <w:color w:val="auto"/>
                      <w:spacing w:val="-8"/>
                      <w:sz w:val="21"/>
                      <w:szCs w:val="21"/>
                      <w:lang w:val="en-US" w:eastAsia="zh-CN"/>
                    </w:rPr>
                    <w:t>相符</w:t>
                  </w:r>
                </w:p>
              </w:tc>
            </w:tr>
            <w:tr w14:paraId="46468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28" w:type="dxa"/>
                  <w:noWrap w:val="0"/>
                  <w:vAlign w:val="center"/>
                </w:tcPr>
                <w:p w14:paraId="48292C0A">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健全开发区环境风险防控体系</w:t>
                  </w:r>
                </w:p>
              </w:tc>
              <w:tc>
                <w:tcPr>
                  <w:tcW w:w="5295" w:type="dxa"/>
                  <w:noWrap w:val="0"/>
                  <w:vAlign w:val="center"/>
                </w:tcPr>
                <w:p w14:paraId="0C73585C">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环境应急管理制度，提升环境应急能力。完成开发区三级环境防控体系建设，完善环境风险防控基础设施，落实风险防范措施。制定环境应急预案，健全应急响应联动机制，建立定期隐患排查治理制度。配备充足的应急装备物资和应急救援队伍，定期开展演练。做好污染防治过程中的安全防范</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组织对开发区建设的重点环保治理设施和项目开展安全风险评估和隐患排查治理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指导区内企业对污染防治设施开展安全风险评估和隐患排查治理。</w:t>
                  </w:r>
                </w:p>
              </w:tc>
              <w:tc>
                <w:tcPr>
                  <w:tcW w:w="4224" w:type="dxa"/>
                  <w:noWrap w:val="0"/>
                  <w:vAlign w:val="center"/>
                </w:tcPr>
                <w:p w14:paraId="63487AA6">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0"/>
                      <w:sz w:val="21"/>
                      <w:szCs w:val="21"/>
                      <w:lang w:val="en-US" w:eastAsia="zh-CN"/>
                    </w:rPr>
                  </w:pPr>
                  <w:r>
                    <w:rPr>
                      <w:rFonts w:hint="default" w:ascii="Times New Roman" w:hAnsi="Times New Roman" w:eastAsia="仿宋" w:cs="Times New Roman"/>
                      <w:color w:val="auto"/>
                      <w:spacing w:val="0"/>
                      <w:sz w:val="21"/>
                      <w:szCs w:val="21"/>
                      <w:lang w:val="en-US" w:eastAsia="zh-CN"/>
                    </w:rPr>
                    <w:t>本项目建成后将加强风险防范措施，并积极与江苏武进经济开发区应急预案联动。</w:t>
                  </w:r>
                </w:p>
              </w:tc>
              <w:tc>
                <w:tcPr>
                  <w:tcW w:w="1206" w:type="dxa"/>
                  <w:noWrap w:val="0"/>
                  <w:vAlign w:val="center"/>
                </w:tcPr>
                <w:p w14:paraId="08B1506D">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 w:cs="Times New Roman"/>
                      <w:color w:val="auto"/>
                      <w:spacing w:val="0"/>
                      <w:sz w:val="21"/>
                      <w:szCs w:val="21"/>
                      <w:lang w:val="en-US" w:eastAsia="zh-CN"/>
                    </w:rPr>
                  </w:pPr>
                  <w:r>
                    <w:rPr>
                      <w:rFonts w:hint="default" w:ascii="Times New Roman" w:hAnsi="Times New Roman" w:eastAsia="仿宋" w:cs="Times New Roman"/>
                      <w:color w:val="auto"/>
                      <w:spacing w:val="0"/>
                      <w:sz w:val="21"/>
                      <w:szCs w:val="21"/>
                      <w:lang w:val="en-US" w:eastAsia="zh-CN"/>
                    </w:rPr>
                    <w:t>相符</w:t>
                  </w:r>
                </w:p>
              </w:tc>
            </w:tr>
          </w:tbl>
          <w:p w14:paraId="564273D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本项目与《江苏武进经济开发区产业发展规划（2020-2030年）环境影响报告书的审查意见》（苏环审[2022]59号）中附件2生态环境准入清单对照分析情况如下表。</w:t>
            </w:r>
          </w:p>
          <w:p w14:paraId="1DF6DDE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3</w:t>
            </w:r>
            <w:r>
              <w:rPr>
                <w:rFonts w:hint="default" w:ascii="Times New Roman" w:hAnsi="Times New Roman" w:eastAsia="仿宋" w:cs="Times New Roman"/>
                <w:b/>
                <w:bCs/>
                <w:color w:val="auto"/>
                <w:sz w:val="21"/>
                <w:szCs w:val="21"/>
              </w:rPr>
              <w:t xml:space="preserve">  </w:t>
            </w:r>
            <w:r>
              <w:rPr>
                <w:rFonts w:hint="default" w:ascii="Times New Roman" w:hAnsi="Times New Roman" w:eastAsia="仿宋" w:cs="Times New Roman"/>
                <w:b/>
                <w:bCs/>
                <w:color w:val="auto"/>
                <w:sz w:val="21"/>
                <w:szCs w:val="21"/>
                <w:lang w:val="en-US" w:eastAsia="zh-CN"/>
              </w:rPr>
              <w:t>与</w:t>
            </w:r>
            <w:r>
              <w:rPr>
                <w:rFonts w:hint="default" w:ascii="Times New Roman" w:hAnsi="Times New Roman" w:eastAsia="仿宋" w:cs="Times New Roman"/>
                <w:b/>
                <w:bCs/>
                <w:color w:val="auto"/>
                <w:sz w:val="21"/>
                <w:szCs w:val="21"/>
              </w:rPr>
              <w:t>江苏武进经济开发区生态环境准入清单</w:t>
            </w:r>
            <w:r>
              <w:rPr>
                <w:rFonts w:hint="default" w:ascii="Times New Roman" w:hAnsi="Times New Roman" w:eastAsia="仿宋" w:cs="Times New Roman"/>
                <w:b/>
                <w:bCs/>
                <w:color w:val="auto"/>
                <w:sz w:val="21"/>
                <w:szCs w:val="21"/>
                <w:lang w:val="en-US" w:eastAsia="zh-CN"/>
              </w:rPr>
              <w:t>相符性分析</w:t>
            </w:r>
          </w:p>
          <w:tbl>
            <w:tblPr>
              <w:tblStyle w:val="2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1"/>
              <w:gridCol w:w="8365"/>
              <w:gridCol w:w="2257"/>
              <w:gridCol w:w="879"/>
            </w:tblGrid>
            <w:tr w14:paraId="4274A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gridSpan w:val="2"/>
                  <w:noWrap w:val="0"/>
                  <w:vAlign w:val="center"/>
                </w:tcPr>
                <w:p w14:paraId="421CE857">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3303" w:type="pct"/>
                  <w:noWrap w:val="0"/>
                  <w:vAlign w:val="center"/>
                </w:tcPr>
                <w:p w14:paraId="27439C0C">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准入内容</w:t>
                  </w:r>
                </w:p>
              </w:tc>
              <w:tc>
                <w:tcPr>
                  <w:tcW w:w="891" w:type="pct"/>
                  <w:noWrap w:val="0"/>
                  <w:vAlign w:val="center"/>
                </w:tcPr>
                <w:p w14:paraId="6787BF51">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本项目建设情况</w:t>
                  </w:r>
                </w:p>
              </w:tc>
              <w:tc>
                <w:tcPr>
                  <w:tcW w:w="347" w:type="pct"/>
                  <w:noWrap w:val="0"/>
                  <w:vAlign w:val="center"/>
                </w:tcPr>
                <w:p w14:paraId="608E9BAC">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相符性分析</w:t>
                  </w:r>
                </w:p>
              </w:tc>
            </w:tr>
            <w:tr w14:paraId="12C8F5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 w:type="pct"/>
                  <w:vMerge w:val="restart"/>
                  <w:noWrap w:val="0"/>
                  <w:vAlign w:val="center"/>
                </w:tcPr>
                <w:p w14:paraId="38468926">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项目准入</w:t>
                  </w:r>
                </w:p>
              </w:tc>
              <w:tc>
                <w:tcPr>
                  <w:tcW w:w="289" w:type="pct"/>
                  <w:noWrap w:val="0"/>
                  <w:vAlign w:val="center"/>
                </w:tcPr>
                <w:p w14:paraId="0EC3052A">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优先引入</w:t>
                  </w:r>
                </w:p>
              </w:tc>
              <w:tc>
                <w:tcPr>
                  <w:tcW w:w="3303" w:type="pct"/>
                  <w:noWrap w:val="0"/>
                  <w:vAlign w:val="center"/>
                </w:tcPr>
                <w:p w14:paraId="0D0E4086">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新材料产业：石墨烯新材料、人工复合材料和改性材料</w:t>
                  </w:r>
                </w:p>
                <w:p w14:paraId="4398F439">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健康医疗产业：医疗器械、生物制药、医疗服务</w:t>
                  </w:r>
                </w:p>
                <w:p w14:paraId="04F700F4">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现代服务产业：传统互联网、工业互联网、数字娱乐、现代物流、生态旅游、总部经济、文化影视</w:t>
                  </w:r>
                </w:p>
                <w:p w14:paraId="10868C2F">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智能装备制造业：汽车零部件制造、机器人制造、计算机、通信和其他电子设备制造业、电气机械和器材制造业</w:t>
                  </w:r>
                </w:p>
              </w:tc>
              <w:tc>
                <w:tcPr>
                  <w:tcW w:w="891" w:type="pct"/>
                  <w:vMerge w:val="restart"/>
                  <w:noWrap w:val="0"/>
                  <w:vAlign w:val="center"/>
                </w:tcPr>
                <w:p w14:paraId="05A9C93D">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w:t>
                  </w:r>
                  <w:r>
                    <w:rPr>
                      <w:rFonts w:hint="default" w:ascii="Times New Roman" w:hAnsi="Times New Roman" w:eastAsia="仿宋" w:cs="Times New Roman"/>
                      <w:color w:val="auto"/>
                      <w:sz w:val="21"/>
                      <w:szCs w:val="21"/>
                      <w:lang w:val="en-US" w:eastAsia="zh-CN"/>
                    </w:rPr>
                    <w:t>主要生产电机、驱动器</w:t>
                  </w:r>
                  <w:r>
                    <w:rPr>
                      <w:rFonts w:hint="default" w:ascii="Times New Roman" w:hAnsi="Times New Roman" w:eastAsia="仿宋" w:cs="Times New Roman"/>
                      <w:color w:val="auto"/>
                      <w:sz w:val="21"/>
                      <w:szCs w:val="21"/>
                    </w:rPr>
                    <w:t>；不使用高VOCs含量的溶剂型涂料、油墨、胶粘剂；</w:t>
                  </w:r>
                  <w:r>
                    <w:rPr>
                      <w:rFonts w:hint="eastAsia" w:ascii="Times New Roman" w:hAnsi="Times New Roman" w:eastAsia="仿宋" w:cs="Times New Roman"/>
                      <w:color w:val="auto"/>
                      <w:spacing w:val="-6"/>
                      <w:sz w:val="21"/>
                      <w:szCs w:val="21"/>
                      <w:lang w:val="en-US" w:eastAsia="zh-CN"/>
                    </w:rPr>
                    <w:t>清洗废液</w:t>
                  </w:r>
                  <w:r>
                    <w:rPr>
                      <w:rFonts w:hint="default" w:ascii="Times New Roman" w:hAnsi="Times New Roman" w:eastAsia="仿宋" w:cs="Times New Roman"/>
                      <w:color w:val="auto"/>
                      <w:spacing w:val="-6"/>
                      <w:sz w:val="21"/>
                      <w:szCs w:val="21"/>
                      <w:lang w:val="en-US" w:eastAsia="zh-CN"/>
                    </w:rPr>
                    <w:t>作为危废委托有资质单位处理</w:t>
                  </w:r>
                  <w:r>
                    <w:rPr>
                      <w:rFonts w:hint="default" w:ascii="Times New Roman" w:hAnsi="Times New Roman" w:eastAsia="仿宋" w:cs="Times New Roman"/>
                      <w:color w:val="auto"/>
                      <w:sz w:val="21"/>
                      <w:szCs w:val="21"/>
                    </w:rPr>
                    <w:t>；生活污水经厂区污水管网收集后排入滨湖污水处理厂；</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rPr>
                    <w:t>过程中不涉及排放重金属污染物；不属于“高污染、高环境风险”项目；项目厂址500m范围内</w:t>
                  </w:r>
                  <w:r>
                    <w:rPr>
                      <w:rFonts w:hint="default" w:ascii="Times New Roman" w:hAnsi="Times New Roman" w:eastAsia="仿宋" w:cs="Times New Roman"/>
                      <w:color w:val="auto"/>
                      <w:sz w:val="21"/>
                      <w:szCs w:val="21"/>
                      <w:lang w:val="en-US" w:eastAsia="zh-CN"/>
                    </w:rPr>
                    <w:t>无</w:t>
                  </w:r>
                  <w:r>
                    <w:rPr>
                      <w:rFonts w:hint="default" w:ascii="Times New Roman" w:hAnsi="Times New Roman" w:eastAsia="仿宋" w:cs="Times New Roman"/>
                      <w:color w:val="auto"/>
                      <w:sz w:val="21"/>
                      <w:szCs w:val="21"/>
                    </w:rPr>
                    <w:t>敏感点；为</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，不属于《产业结构调整指导目录（2</w:t>
                  </w:r>
                  <w:r>
                    <w:rPr>
                      <w:rFonts w:hint="default" w:ascii="Times New Roman" w:hAnsi="Times New Roman" w:eastAsia="仿宋" w:cs="Times New Roman"/>
                      <w:color w:val="auto"/>
                      <w:sz w:val="21"/>
                      <w:szCs w:val="21"/>
                      <w:lang w:val="en-US" w:eastAsia="zh-CN"/>
                    </w:rPr>
                    <w:t>024</w:t>
                  </w:r>
                  <w:r>
                    <w:rPr>
                      <w:rFonts w:hint="default" w:ascii="Times New Roman" w:hAnsi="Times New Roman" w:eastAsia="仿宋" w:cs="Times New Roman"/>
                      <w:color w:val="auto"/>
                      <w:sz w:val="21"/>
                      <w:szCs w:val="21"/>
                    </w:rPr>
                    <w:t>年本）》中限制类</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淘汰</w:t>
                  </w:r>
                  <w:r>
                    <w:rPr>
                      <w:rFonts w:hint="default" w:ascii="Times New Roman" w:hAnsi="Times New Roman" w:eastAsia="仿宋" w:cs="Times New Roman"/>
                      <w:color w:val="auto"/>
                      <w:sz w:val="21"/>
                      <w:szCs w:val="21"/>
                    </w:rPr>
                    <w:t>项目</w:t>
                  </w:r>
                  <w:r>
                    <w:rPr>
                      <w:rFonts w:hint="default" w:ascii="Times New Roman" w:hAnsi="Times New Roman" w:eastAsia="仿宋" w:cs="Times New Roman"/>
                      <w:color w:val="auto"/>
                      <w:sz w:val="21"/>
                      <w:szCs w:val="21"/>
                      <w:lang w:eastAsia="zh-CN"/>
                    </w:rPr>
                    <w:t>。</w:t>
                  </w:r>
                </w:p>
              </w:tc>
              <w:tc>
                <w:tcPr>
                  <w:tcW w:w="347" w:type="pct"/>
                  <w:vMerge w:val="restart"/>
                  <w:noWrap w:val="0"/>
                  <w:vAlign w:val="center"/>
                </w:tcPr>
                <w:p w14:paraId="37A3C1A8">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4AAB8A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 w:type="pct"/>
                  <w:vMerge w:val="continue"/>
                  <w:noWrap w:val="0"/>
                  <w:vAlign w:val="center"/>
                </w:tcPr>
                <w:p w14:paraId="75D92CB7">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p>
              </w:tc>
              <w:tc>
                <w:tcPr>
                  <w:tcW w:w="289" w:type="pct"/>
                  <w:noWrap w:val="0"/>
                  <w:vAlign w:val="center"/>
                </w:tcPr>
                <w:p w14:paraId="7E21B919">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禁止引入</w:t>
                  </w:r>
                </w:p>
              </w:tc>
              <w:tc>
                <w:tcPr>
                  <w:tcW w:w="3303" w:type="pct"/>
                  <w:noWrap w:val="0"/>
                  <w:vAlign w:val="center"/>
                </w:tcPr>
                <w:p w14:paraId="72FA5C7C">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使用高VOCs含量的溶剂型涂料、油墨、胶粘剂等项目；</w:t>
                  </w:r>
                </w:p>
                <w:p w14:paraId="59D29DFF">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不符合《太湖流域管理条例》和《江苏省太湖水污染防治条例》的企业或项目；</w:t>
                  </w:r>
                </w:p>
                <w:p w14:paraId="67E6D839">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新建、扩建排放重点重金属污染物（铅、汞、镉、铬、砷、铊、锑）的项目；</w:t>
                  </w:r>
                </w:p>
                <w:p w14:paraId="0F96FE57">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严格限制现有电镀项目规模，禁止新、改、扩建电镀项目；</w:t>
                  </w:r>
                </w:p>
                <w:p w14:paraId="3B197ED0">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其他：属于《环境保护综合名录（2021年版）》中“高污染、高环境风险”产品名录的项目；其他国家和地方产业政策淘汰类或禁止类的建设项目和工艺；</w:t>
                  </w:r>
                </w:p>
                <w:p w14:paraId="51C392D9">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不能满足环境防护距离，或风险防范措施、应急措施难以落实到位的项目；</w:t>
                  </w:r>
                </w:p>
                <w:p w14:paraId="28CBB675">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对生态红线保护区域产生明显不良环境影响的项目；</w:t>
                  </w:r>
                </w:p>
                <w:p w14:paraId="3BC5833C">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绿化防护不能满足环境和生态保护要求的项目；</w:t>
                  </w:r>
                </w:p>
                <w:p w14:paraId="64EBB78F">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新材料产业：国民经济行业分类（2017 年版）中“C265合成材料制造”项目；</w:t>
                  </w:r>
                </w:p>
                <w:p w14:paraId="5BAE6B52">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pacing w:val="-6"/>
                      <w:sz w:val="21"/>
                      <w:szCs w:val="21"/>
                    </w:rPr>
                  </w:pPr>
                  <w:r>
                    <w:rPr>
                      <w:rFonts w:hint="default" w:ascii="Times New Roman" w:hAnsi="Times New Roman" w:eastAsia="仿宋" w:cs="Times New Roman"/>
                      <w:color w:val="auto"/>
                      <w:sz w:val="21"/>
                      <w:szCs w:val="21"/>
                    </w:rPr>
                    <w:t>健康医疗产业：</w:t>
                  </w:r>
                  <w:r>
                    <w:rPr>
                      <w:rFonts w:hint="default" w:ascii="Times New Roman" w:hAnsi="Times New Roman" w:eastAsia="仿宋" w:cs="Times New Roman"/>
                      <w:color w:val="auto"/>
                      <w:spacing w:val="-6"/>
                      <w:sz w:val="21"/>
                      <w:szCs w:val="21"/>
                    </w:rPr>
                    <w:t>化学药品原料药制造（C2710）、医药中间体项目；</w:t>
                  </w:r>
                </w:p>
                <w:p w14:paraId="084FCF35">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现代服务业：破坏基本农田的生态文旅类项目、含危险化学品仓储、运输的物流类项目；</w:t>
                  </w:r>
                </w:p>
                <w:p w14:paraId="2A78CACE">
                  <w:pPr>
                    <w:pStyle w:val="52"/>
                    <w:keepNext w:val="0"/>
                    <w:keepLines w:val="0"/>
                    <w:pageBreakBefore w:val="0"/>
                    <w:widowControl w:val="0"/>
                    <w:numPr>
                      <w:ilvl w:val="0"/>
                      <w:numId w:val="5"/>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智能装备制造业：含电镀工序类金属表面处理项目、含湿法刻蚀等污染较重工艺的光电材料生产项目、含传统含铬钝化等污染较大的前处理工艺的项目。</w:t>
                  </w:r>
                </w:p>
              </w:tc>
              <w:tc>
                <w:tcPr>
                  <w:tcW w:w="891" w:type="pct"/>
                  <w:vMerge w:val="continue"/>
                  <w:noWrap w:val="0"/>
                  <w:vAlign w:val="center"/>
                </w:tcPr>
                <w:p w14:paraId="3AF51804">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p>
              </w:tc>
              <w:tc>
                <w:tcPr>
                  <w:tcW w:w="347" w:type="pct"/>
                  <w:vMerge w:val="continue"/>
                  <w:noWrap w:val="0"/>
                  <w:vAlign w:val="center"/>
                </w:tcPr>
                <w:p w14:paraId="4ADB0A16">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p>
              </w:tc>
            </w:tr>
            <w:tr w14:paraId="45C2F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 w:type="pct"/>
                  <w:vMerge w:val="continue"/>
                  <w:noWrap w:val="0"/>
                  <w:vAlign w:val="center"/>
                </w:tcPr>
                <w:p w14:paraId="12132EAA">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p>
              </w:tc>
              <w:tc>
                <w:tcPr>
                  <w:tcW w:w="289" w:type="pct"/>
                  <w:noWrap w:val="0"/>
                  <w:vAlign w:val="center"/>
                </w:tcPr>
                <w:p w14:paraId="7B1984C5">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限制引入</w:t>
                  </w:r>
                </w:p>
              </w:tc>
              <w:tc>
                <w:tcPr>
                  <w:tcW w:w="3303" w:type="pct"/>
                  <w:noWrap w:val="0"/>
                  <w:vAlign w:val="center"/>
                </w:tcPr>
                <w:p w14:paraId="442C90B2">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1、《产业结构调整指导目录（2019年本）》中限制类项目；</w:t>
                  </w:r>
                </w:p>
                <w:p w14:paraId="456E89CE">
                  <w:pPr>
                    <w:pStyle w:val="52"/>
                    <w:keepNext w:val="0"/>
                    <w:keepLines w:val="0"/>
                    <w:pageBreakBefore w:val="0"/>
                    <w:widowControl w:val="0"/>
                    <w:kinsoku/>
                    <w:wordWrap/>
                    <w:overflowPunct/>
                    <w:topLinePunct w:val="0"/>
                    <w:autoSpaceDE/>
                    <w:autoSpaceDN/>
                    <w:bidi w:val="0"/>
                    <w:spacing w:line="240" w:lineRule="auto"/>
                    <w:jc w:val="left"/>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2、《江苏省工业和信息产业结构调整限制淘汰目录和能耗限额》中限制类项目</w:t>
                  </w:r>
                  <w:r>
                    <w:rPr>
                      <w:rFonts w:hint="eastAsia" w:eastAsia="仿宋" w:cs="Times New Roman"/>
                      <w:color w:val="auto"/>
                      <w:sz w:val="21"/>
                      <w:szCs w:val="21"/>
                      <w:lang w:eastAsia="zh-CN"/>
                    </w:rPr>
                    <w:t>。</w:t>
                  </w:r>
                </w:p>
              </w:tc>
              <w:tc>
                <w:tcPr>
                  <w:tcW w:w="891" w:type="pct"/>
                  <w:vMerge w:val="continue"/>
                  <w:noWrap w:val="0"/>
                  <w:vAlign w:val="center"/>
                </w:tcPr>
                <w:p w14:paraId="04E32961">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p>
              </w:tc>
              <w:tc>
                <w:tcPr>
                  <w:tcW w:w="347" w:type="pct"/>
                  <w:vMerge w:val="continue"/>
                  <w:noWrap w:val="0"/>
                  <w:vAlign w:val="center"/>
                </w:tcPr>
                <w:p w14:paraId="529587B7">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p>
              </w:tc>
            </w:tr>
            <w:tr w14:paraId="1CD648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7" w:type="pct"/>
                  <w:gridSpan w:val="2"/>
                  <w:noWrap w:val="0"/>
                  <w:vAlign w:val="center"/>
                </w:tcPr>
                <w:p w14:paraId="03473FAF">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空间管</w:t>
                  </w:r>
                </w:p>
                <w:p w14:paraId="599C6E93">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制要求</w:t>
                  </w:r>
                </w:p>
              </w:tc>
              <w:tc>
                <w:tcPr>
                  <w:tcW w:w="3303" w:type="pct"/>
                  <w:noWrap w:val="0"/>
                  <w:vAlign w:val="center"/>
                </w:tcPr>
                <w:p w14:paraId="756431EB">
                  <w:pPr>
                    <w:pStyle w:val="52"/>
                    <w:keepNext w:val="0"/>
                    <w:keepLines w:val="0"/>
                    <w:pageBreakBefore w:val="0"/>
                    <w:widowControl w:val="0"/>
                    <w:numPr>
                      <w:ilvl w:val="0"/>
                      <w:numId w:val="6"/>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落实《江苏省生态空间管控区域规划》《江苏省生态空间管控区域调整管理办法》《江苏省生态空间管控区域监督管理办法》，武进隔湖省级湿地公园合理利用区内不得开展有损主导生态功能的开发建设活动；</w:t>
                  </w:r>
                </w:p>
                <w:p w14:paraId="2FFA71E8">
                  <w:pPr>
                    <w:pStyle w:val="52"/>
                    <w:keepNext w:val="0"/>
                    <w:keepLines w:val="0"/>
                    <w:pageBreakBefore w:val="0"/>
                    <w:widowControl w:val="0"/>
                    <w:numPr>
                      <w:ilvl w:val="0"/>
                      <w:numId w:val="6"/>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禁止在居住用地周边布局排放恶臭气体的工业企业；</w:t>
                  </w:r>
                </w:p>
                <w:p w14:paraId="41DB099E">
                  <w:pPr>
                    <w:pStyle w:val="52"/>
                    <w:keepNext w:val="0"/>
                    <w:keepLines w:val="0"/>
                    <w:pageBreakBefore w:val="0"/>
                    <w:widowControl w:val="0"/>
                    <w:numPr>
                      <w:ilvl w:val="0"/>
                      <w:numId w:val="6"/>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区内规划的水域和防护绿地，禁止一切与环境保护功能无关的建设活动；</w:t>
                  </w:r>
                </w:p>
                <w:p w14:paraId="6D60809A">
                  <w:pPr>
                    <w:pStyle w:val="52"/>
                    <w:keepNext w:val="0"/>
                    <w:keepLines w:val="0"/>
                    <w:pageBreakBefore w:val="0"/>
                    <w:widowControl w:val="0"/>
                    <w:numPr>
                      <w:ilvl w:val="0"/>
                      <w:numId w:val="6"/>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规划工业用地建设项目入区时，严格按照建设项目环评设置相应的卫生防护距离，确保该范围内不涉及住宅、学校等敏感目标</w:t>
                  </w:r>
                </w:p>
                <w:p w14:paraId="002F7607">
                  <w:pPr>
                    <w:pStyle w:val="52"/>
                    <w:keepNext w:val="0"/>
                    <w:keepLines w:val="0"/>
                    <w:pageBreakBefore w:val="0"/>
                    <w:widowControl w:val="0"/>
                    <w:numPr>
                      <w:ilvl w:val="0"/>
                      <w:numId w:val="6"/>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区内永久基本农田区域实行严格保护，除法律规定的重点建设项目选址确实无法避让外，其他任何项目不得占用。</w:t>
                  </w:r>
                </w:p>
              </w:tc>
              <w:tc>
                <w:tcPr>
                  <w:tcW w:w="891" w:type="pct"/>
                  <w:noWrap w:val="0"/>
                  <w:vAlign w:val="center"/>
                </w:tcPr>
                <w:p w14:paraId="3443DF2F">
                  <w:pPr>
                    <w:keepNext w:val="0"/>
                    <w:keepLines w:val="0"/>
                    <w:pageBreakBefore w:val="0"/>
                    <w:widowControl w:val="0"/>
                    <w:tabs>
                      <w:tab w:val="left" w:pos="4500"/>
                    </w:tabs>
                    <w:kinsoku/>
                    <w:wordWrap/>
                    <w:overflowPunct/>
                    <w:topLinePunct w:val="0"/>
                    <w:autoSpaceDE/>
                    <w:autoSpaceDN/>
                    <w:bidi w:val="0"/>
                    <w:spacing w:line="240" w:lineRule="auto"/>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6"/>
                      <w:sz w:val="21"/>
                      <w:szCs w:val="21"/>
                    </w:rPr>
                    <w:t>本项目位于江苏武进经济开发区</w:t>
                  </w:r>
                  <w:r>
                    <w:rPr>
                      <w:rFonts w:hint="default" w:ascii="Times New Roman" w:hAnsi="Times New Roman" w:eastAsia="仿宋" w:cs="Times New Roman"/>
                      <w:color w:val="auto"/>
                      <w:spacing w:val="6"/>
                      <w:sz w:val="21"/>
                      <w:szCs w:val="21"/>
                      <w:lang w:eastAsia="zh-CN"/>
                    </w:rPr>
                    <w:t>西湖街道长秀路8号（坤鼎常州创新产业基地9幢）</w:t>
                  </w:r>
                  <w:r>
                    <w:rPr>
                      <w:rFonts w:hint="default" w:ascii="Times New Roman" w:hAnsi="Times New Roman" w:eastAsia="仿宋" w:cs="Times New Roman"/>
                      <w:color w:val="auto"/>
                      <w:spacing w:val="6"/>
                      <w:sz w:val="21"/>
                      <w:szCs w:val="21"/>
                    </w:rPr>
                    <w:t>，距离本项目最近的国家级生态保护红线区域为武进滆湖省级湿地公园，位于项目南侧</w:t>
                  </w:r>
                  <w:r>
                    <w:rPr>
                      <w:rFonts w:hint="default" w:ascii="Times New Roman" w:hAnsi="Times New Roman" w:eastAsia="仿宋" w:cs="Times New Roman"/>
                      <w:color w:val="auto"/>
                      <w:spacing w:val="6"/>
                      <w:sz w:val="21"/>
                      <w:szCs w:val="21"/>
                      <w:lang w:val="en-US" w:eastAsia="zh-CN"/>
                    </w:rPr>
                    <w:t>4.8</w:t>
                  </w:r>
                  <w:r>
                    <w:rPr>
                      <w:rFonts w:hint="default" w:ascii="Times New Roman" w:hAnsi="Times New Roman" w:eastAsia="仿宋" w:cs="Times New Roman"/>
                      <w:color w:val="auto"/>
                      <w:spacing w:val="6"/>
                      <w:sz w:val="21"/>
                      <w:szCs w:val="21"/>
                    </w:rPr>
                    <w:t>km处，项目不在已划定的生态空间管控区域和生态红线区内；项目主要进行</w:t>
                  </w:r>
                  <w:r>
                    <w:rPr>
                      <w:rFonts w:hint="default" w:ascii="Times New Roman" w:hAnsi="Times New Roman" w:eastAsia="仿宋" w:cs="Times New Roman"/>
                      <w:color w:val="auto"/>
                      <w:spacing w:val="6"/>
                      <w:sz w:val="21"/>
                      <w:szCs w:val="21"/>
                      <w:lang w:val="en-US" w:eastAsia="zh-CN"/>
                    </w:rPr>
                    <w:t>电机、驱动器制造</w:t>
                  </w:r>
                  <w:r>
                    <w:rPr>
                      <w:rFonts w:hint="default" w:ascii="Times New Roman" w:hAnsi="Times New Roman" w:eastAsia="仿宋" w:cs="Times New Roman"/>
                      <w:color w:val="auto"/>
                      <w:spacing w:val="6"/>
                      <w:sz w:val="21"/>
                      <w:szCs w:val="21"/>
                    </w:rPr>
                    <w:t>，不涉及排放恶臭气体；企业项目所在地为工业用地，不涉及水域和防护绿地；本项目不涉及占用永久基本农田区域</w:t>
                  </w:r>
                  <w:r>
                    <w:rPr>
                      <w:rFonts w:hint="default" w:ascii="Times New Roman" w:hAnsi="Times New Roman" w:eastAsia="仿宋" w:cs="Times New Roman"/>
                      <w:color w:val="auto"/>
                      <w:spacing w:val="6"/>
                      <w:sz w:val="21"/>
                      <w:szCs w:val="21"/>
                      <w:lang w:eastAsia="zh-CN"/>
                    </w:rPr>
                    <w:t>。</w:t>
                  </w:r>
                </w:p>
              </w:tc>
              <w:tc>
                <w:tcPr>
                  <w:tcW w:w="347" w:type="pct"/>
                  <w:noWrap w:val="0"/>
                  <w:vAlign w:val="center"/>
                </w:tcPr>
                <w:p w14:paraId="013B7DF8">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2F8D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1" w:hRule="atLeast"/>
              </w:trPr>
              <w:tc>
                <w:tcPr>
                  <w:tcW w:w="457" w:type="pct"/>
                  <w:gridSpan w:val="2"/>
                  <w:noWrap w:val="0"/>
                  <w:vAlign w:val="center"/>
                </w:tcPr>
                <w:p w14:paraId="6820F8F3">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w:t>
                  </w:r>
                </w:p>
                <w:p w14:paraId="7DD8AD04">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排放总</w:t>
                  </w:r>
                </w:p>
                <w:p w14:paraId="5E9F365B">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量控制</w:t>
                  </w:r>
                </w:p>
              </w:tc>
              <w:tc>
                <w:tcPr>
                  <w:tcW w:w="3303" w:type="pct"/>
                  <w:noWrap w:val="0"/>
                  <w:vAlign w:val="center"/>
                </w:tcPr>
                <w:p w14:paraId="0695564D">
                  <w:pPr>
                    <w:pStyle w:val="52"/>
                    <w:keepNext w:val="0"/>
                    <w:keepLines w:val="0"/>
                    <w:pageBreakBefore w:val="0"/>
                    <w:widowControl w:val="0"/>
                    <w:numPr>
                      <w:ilvl w:val="0"/>
                      <w:numId w:val="7"/>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环境质量：大气环境质量达到《环境空气质量标准》二级标准、《环境影响评价技术导则大气环境》（HJ2.2-2018）附录D其他污染物空气质量浓度参考限值，2025年PM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年均浓度达到32微克/立方米；滆湖、孟津河、武南河、新京杭大运河（又名江南运河绕城段）环境质量达《地表水环境质量标准》（GB3838-2002）Ⅲ类，武宜运河、扁担河、十字河环境质量达Ⅳ类；土壤环境质量达到《土壤环境质量建设用地土壤污染风险管控标准（试行）》（GB36600-2018）筛选值中的第一类、第二类用地标准。</w:t>
                  </w:r>
                </w:p>
                <w:p w14:paraId="0CCDC958">
                  <w:pPr>
                    <w:pStyle w:val="52"/>
                    <w:keepNext w:val="0"/>
                    <w:keepLines w:val="0"/>
                    <w:pageBreakBefore w:val="0"/>
                    <w:widowControl w:val="0"/>
                    <w:numPr>
                      <w:ilvl w:val="0"/>
                      <w:numId w:val="7"/>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总量控制：大气主要污染物，二氧化硫40.964吨/年、氮氧化物164.717吨/年、颗粒物88.278吨/年、挥发性有机物98.363吨/年。水主要污染物，废水量3754583吨/年、化学需氧量187.762吨/年、氨氮29.334吨/年、总氮55.764吨/年、总磷1.880吨/年。</w:t>
                  </w:r>
                </w:p>
                <w:p w14:paraId="3396FB61">
                  <w:pPr>
                    <w:pStyle w:val="52"/>
                    <w:keepNext w:val="0"/>
                    <w:keepLines w:val="0"/>
                    <w:pageBreakBefore w:val="0"/>
                    <w:widowControl w:val="0"/>
                    <w:numPr>
                      <w:ilvl w:val="0"/>
                      <w:numId w:val="7"/>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其他要求：产生危险废物及一般固体废物的企事业单位，在贮存、转移、利用固体废物（含危险废物）过程中，应配套防扬散、防流失、防渗漏及其他防止污染环境的措施。</w:t>
                  </w:r>
                </w:p>
              </w:tc>
              <w:tc>
                <w:tcPr>
                  <w:tcW w:w="891" w:type="pct"/>
                  <w:noWrap w:val="0"/>
                  <w:vAlign w:val="center"/>
                </w:tcPr>
                <w:p w14:paraId="03776B62">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本项目厂区实施雨污分流，</w:t>
                  </w:r>
                  <w:r>
                    <w:rPr>
                      <w:rFonts w:hint="eastAsia" w:ascii="Times New Roman" w:hAnsi="Times New Roman" w:eastAsia="仿宋" w:cs="Times New Roman"/>
                      <w:color w:val="auto"/>
                      <w:sz w:val="21"/>
                      <w:szCs w:val="21"/>
                      <w:lang w:val="en-US" w:eastAsia="zh-CN"/>
                    </w:rPr>
                    <w:t>清洗废液</w:t>
                  </w:r>
                  <w:r>
                    <w:rPr>
                      <w:rFonts w:hint="default" w:ascii="Times New Roman" w:hAnsi="Times New Roman" w:eastAsia="仿宋" w:cs="Times New Roman"/>
                      <w:color w:val="auto"/>
                      <w:sz w:val="21"/>
                      <w:szCs w:val="21"/>
                      <w:lang w:val="en-US" w:eastAsia="zh-CN"/>
                    </w:rPr>
                    <w:t>作为危废委托有资质单位处理</w:t>
                  </w:r>
                  <w:r>
                    <w:rPr>
                      <w:rFonts w:hint="default" w:ascii="Times New Roman" w:hAnsi="Times New Roman" w:eastAsia="仿宋" w:cs="Times New Roman"/>
                      <w:color w:val="auto"/>
                      <w:sz w:val="21"/>
                      <w:szCs w:val="21"/>
                    </w:rPr>
                    <w:t>；生活污水接入滨湖污水处理厂处理。</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rPr>
                    <w:t>过程中产生的一般固废和危险固废分类堆放，一般工业固废外售综合利用，危险固废委托有资质单位处置。</w:t>
                  </w:r>
                </w:p>
              </w:tc>
              <w:tc>
                <w:tcPr>
                  <w:tcW w:w="347" w:type="pct"/>
                  <w:noWrap w:val="0"/>
                  <w:vAlign w:val="center"/>
                </w:tcPr>
                <w:p w14:paraId="61BCEA82">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09503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gridSpan w:val="2"/>
                  <w:noWrap w:val="0"/>
                  <w:vAlign w:val="center"/>
                </w:tcPr>
                <w:p w14:paraId="7FFCF3DC">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环境风险防控</w:t>
                  </w:r>
                </w:p>
              </w:tc>
              <w:tc>
                <w:tcPr>
                  <w:tcW w:w="3303" w:type="pct"/>
                  <w:noWrap w:val="0"/>
                  <w:vAlign w:val="center"/>
                </w:tcPr>
                <w:p w14:paraId="361163CA">
                  <w:pPr>
                    <w:pStyle w:val="52"/>
                    <w:keepNext w:val="0"/>
                    <w:keepLines w:val="0"/>
                    <w:pageBreakBefore w:val="0"/>
                    <w:widowControl w:val="0"/>
                    <w:numPr>
                      <w:ilvl w:val="0"/>
                      <w:numId w:val="8"/>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使用、储存危险化学品或其他存在环境风险的企业，应编制环境风险应急预案和风险评估报告并备案，严格按要求做好风险防范措施，定期开展演练；开发区应编制环境风险评估报告和应急预案，并及时修编备案。</w:t>
                  </w:r>
                </w:p>
                <w:p w14:paraId="0F9BBF6B">
                  <w:pPr>
                    <w:pStyle w:val="52"/>
                    <w:keepNext w:val="0"/>
                    <w:keepLines w:val="0"/>
                    <w:pageBreakBefore w:val="0"/>
                    <w:widowControl w:val="0"/>
                    <w:numPr>
                      <w:ilvl w:val="0"/>
                      <w:numId w:val="8"/>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tc>
              <w:tc>
                <w:tcPr>
                  <w:tcW w:w="891" w:type="pct"/>
                  <w:noWrap w:val="0"/>
                  <w:vAlign w:val="center"/>
                </w:tcPr>
                <w:p w14:paraId="6F3DCA76">
                  <w:pPr>
                    <w:pStyle w:val="52"/>
                    <w:keepNext w:val="0"/>
                    <w:keepLines w:val="0"/>
                    <w:pageBreakBefore w:val="0"/>
                    <w:widowControl w:val="0"/>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本项目建成后将加强风险防范措施，并积极与江苏武进经济开发区应急预案联动。</w:t>
                  </w:r>
                </w:p>
              </w:tc>
              <w:tc>
                <w:tcPr>
                  <w:tcW w:w="347" w:type="pct"/>
                  <w:noWrap w:val="0"/>
                  <w:vAlign w:val="center"/>
                </w:tcPr>
                <w:p w14:paraId="467BB020">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F0497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7" w:type="pct"/>
                  <w:gridSpan w:val="2"/>
                  <w:noWrap w:val="0"/>
                  <w:vAlign w:val="center"/>
                </w:tcPr>
                <w:p w14:paraId="54B43166">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资源开发利用要求</w:t>
                  </w:r>
                </w:p>
              </w:tc>
              <w:tc>
                <w:tcPr>
                  <w:tcW w:w="3303" w:type="pct"/>
                  <w:noWrap w:val="0"/>
                  <w:vAlign w:val="center"/>
                </w:tcPr>
                <w:p w14:paraId="175F8007">
                  <w:pPr>
                    <w:pStyle w:val="52"/>
                    <w:keepNext w:val="0"/>
                    <w:keepLines w:val="0"/>
                    <w:pageBreakBefore w:val="0"/>
                    <w:widowControl w:val="0"/>
                    <w:numPr>
                      <w:ilvl w:val="0"/>
                      <w:numId w:val="9"/>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土地资源可利用总面积上限54.6平方公里，建设用地总面积上限40.89平方公里，工业用地总面积上限11.12平方公里。</w:t>
                  </w:r>
                </w:p>
                <w:p w14:paraId="726C1DF2">
                  <w:pPr>
                    <w:pStyle w:val="52"/>
                    <w:keepNext w:val="0"/>
                    <w:keepLines w:val="0"/>
                    <w:pageBreakBefore w:val="0"/>
                    <w:widowControl w:val="0"/>
                    <w:numPr>
                      <w:ilvl w:val="0"/>
                      <w:numId w:val="9"/>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单位工业增加值综合能耗达到0.05吨标煤/万元，单位工业增加值新鲜水耗达到1.5立方米/万元，工业用水重复利用率达到80%。</w:t>
                  </w:r>
                </w:p>
                <w:p w14:paraId="0DABBEF7">
                  <w:pPr>
                    <w:pStyle w:val="52"/>
                    <w:keepNext w:val="0"/>
                    <w:keepLines w:val="0"/>
                    <w:pageBreakBefore w:val="0"/>
                    <w:widowControl w:val="0"/>
                    <w:numPr>
                      <w:ilvl w:val="0"/>
                      <w:numId w:val="9"/>
                    </w:numPr>
                    <w:kinsoku/>
                    <w:wordWrap/>
                    <w:overflowPunct/>
                    <w:topLinePunct w:val="0"/>
                    <w:autoSpaceDE/>
                    <w:autoSpaceDN/>
                    <w:bidi w:val="0"/>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销售使用燃料为“Ⅲ类”（严格），具体包括：①煤炭及其制品（包括原煤、散煤、煤矸石、煤泥、煤粉、水煤浆、型煤、焦炭、兰炭等）②石油焦、油页岩、原油、重油、渣油、焦油；③非专用锅炉或未配置高效除尘设施的专用锅炉燃用的生物质成型燃料；④国家规定的其它高污染燃料。</w:t>
                  </w:r>
                </w:p>
              </w:tc>
              <w:tc>
                <w:tcPr>
                  <w:tcW w:w="891" w:type="pct"/>
                  <w:noWrap w:val="0"/>
                  <w:vAlign w:val="center"/>
                </w:tcPr>
                <w:p w14:paraId="1BFD8036">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6"/>
                      <w:sz w:val="21"/>
                      <w:szCs w:val="21"/>
                    </w:rPr>
                    <w:t>本项目使用水和电能，属于清洁能源。</w:t>
                  </w:r>
                </w:p>
              </w:tc>
              <w:tc>
                <w:tcPr>
                  <w:tcW w:w="347" w:type="pct"/>
                  <w:noWrap w:val="0"/>
                  <w:vAlign w:val="center"/>
                </w:tcPr>
                <w:p w14:paraId="3E38220D">
                  <w:pPr>
                    <w:pStyle w:val="52"/>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4594964C">
            <w:pPr>
              <w:spacing w:line="360" w:lineRule="exact"/>
              <w:ind w:firstLine="480" w:firstLineChars="200"/>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综上，本项目与</w:t>
            </w:r>
            <w:r>
              <w:rPr>
                <w:rFonts w:hint="default" w:ascii="Times New Roman" w:hAnsi="Times New Roman" w:eastAsia="仿宋" w:cs="Times New Roman"/>
                <w:color w:val="auto"/>
                <w:sz w:val="24"/>
                <w:szCs w:val="24"/>
                <w:lang w:val="en-US" w:eastAsia="zh-CN"/>
              </w:rPr>
              <w:t>江苏武进经济开发区产业发展</w:t>
            </w:r>
            <w:r>
              <w:rPr>
                <w:rFonts w:hint="default" w:ascii="Times New Roman" w:hAnsi="Times New Roman" w:eastAsia="仿宋" w:cs="Times New Roman"/>
                <w:color w:val="auto"/>
                <w:sz w:val="24"/>
                <w:szCs w:val="24"/>
              </w:rPr>
              <w:t>的生态环境准入清单相符。</w:t>
            </w:r>
          </w:p>
          <w:p w14:paraId="407B1446">
            <w:pPr>
              <w:pStyle w:val="2"/>
              <w:rPr>
                <w:rFonts w:hint="default" w:ascii="Times New Roman" w:hAnsi="Times New Roman" w:eastAsia="仿宋" w:cs="Times New Roman"/>
                <w:color w:val="auto"/>
                <w:sz w:val="24"/>
                <w:szCs w:val="24"/>
                <w:lang w:val="en-US" w:eastAsia="zh-CN"/>
              </w:rPr>
            </w:pPr>
          </w:p>
          <w:p w14:paraId="53A43D0A">
            <w:pPr>
              <w:pStyle w:val="3"/>
              <w:widowControl w:val="0"/>
              <w:numPr>
                <w:ilvl w:val="0"/>
                <w:numId w:val="0"/>
              </w:numPr>
              <w:jc w:val="both"/>
              <w:rPr>
                <w:rFonts w:hint="default" w:ascii="Times New Roman" w:hAnsi="Times New Roman" w:eastAsia="仿宋" w:cs="Times New Roman"/>
                <w:color w:val="auto"/>
                <w:sz w:val="24"/>
                <w:szCs w:val="24"/>
                <w:lang w:val="en-US" w:eastAsia="zh-CN"/>
              </w:rPr>
            </w:pPr>
          </w:p>
          <w:p w14:paraId="13B4431B">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2EB3CB87">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29B2BBC9">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1D572B8A">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71C9C483">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3FB13DF8">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027C5E0C">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376CDCE0">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519526BC">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67263654">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77816B03">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02CA28FA">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401DCB13">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166DD3EA">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17EE8D7D">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587DBA0E">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42741216">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5FB6D66A">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02C788D4">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62C28183">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1E286C88">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180AF34D">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298F175D">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p w14:paraId="02C8F0D8">
            <w:pPr>
              <w:pStyle w:val="3"/>
              <w:widowControl w:val="0"/>
              <w:numPr>
                <w:ilvl w:val="0"/>
                <w:numId w:val="0"/>
              </w:numPr>
              <w:jc w:val="both"/>
              <w:rPr>
                <w:rFonts w:hint="default" w:ascii="Times New Roman" w:hAnsi="Times New Roman" w:eastAsia="仿宋" w:cs="Times New Roman"/>
                <w:color w:val="auto"/>
                <w:sz w:val="21"/>
                <w:szCs w:val="21"/>
                <w:lang w:val="en-US" w:eastAsia="zh-CN"/>
              </w:rPr>
            </w:pPr>
          </w:p>
        </w:tc>
      </w:tr>
    </w:tbl>
    <w:p w14:paraId="39EDE095">
      <w:pPr>
        <w:pStyle w:val="3"/>
        <w:widowControl w:val="0"/>
        <w:numPr>
          <w:ilvl w:val="0"/>
          <w:numId w:val="0"/>
        </w:numPr>
        <w:jc w:val="both"/>
        <w:rPr>
          <w:rFonts w:hint="default" w:ascii="Times New Roman" w:hAnsi="Times New Roman" w:eastAsia="仿宋" w:cs="Times New Roman"/>
          <w:color w:val="auto"/>
          <w:sz w:val="21"/>
          <w:szCs w:val="21"/>
        </w:rPr>
      </w:pPr>
    </w:p>
    <w:p w14:paraId="0C79C1FF">
      <w:pPr>
        <w:pStyle w:val="3"/>
        <w:widowControl w:val="0"/>
        <w:numPr>
          <w:ilvl w:val="0"/>
          <w:numId w:val="0"/>
        </w:numPr>
        <w:jc w:val="both"/>
        <w:rPr>
          <w:rFonts w:hint="default" w:ascii="Times New Roman" w:hAnsi="Times New Roman" w:eastAsia="仿宋" w:cs="Times New Roman"/>
          <w:color w:val="auto"/>
          <w:sz w:val="21"/>
          <w:szCs w:val="21"/>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8464"/>
      </w:tblGrid>
      <w:tr w14:paraId="73F3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noWrap w:val="0"/>
            <w:vAlign w:val="center"/>
          </w:tcPr>
          <w:p w14:paraId="0BEDE436">
            <w:pPr>
              <w:pStyle w:val="3"/>
              <w:numPr>
                <w:ilvl w:val="0"/>
                <w:numId w:val="0"/>
              </w:numPr>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其他符合性分析</w:t>
            </w:r>
          </w:p>
        </w:tc>
        <w:tc>
          <w:tcPr>
            <w:tcW w:w="8464" w:type="dxa"/>
            <w:noWrap w:val="0"/>
            <w:vAlign w:val="top"/>
          </w:tcPr>
          <w:p w14:paraId="212CA82D">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与产业政策相符性分析</w:t>
            </w:r>
          </w:p>
          <w:p w14:paraId="56AAE38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本项目产业政策相符性分析具体见表1-</w:t>
            </w:r>
            <w:r>
              <w:rPr>
                <w:rFonts w:hint="default"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w:t>
            </w:r>
          </w:p>
          <w:p w14:paraId="59C983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4</w:t>
            </w:r>
            <w:r>
              <w:rPr>
                <w:rFonts w:hint="default" w:ascii="Times New Roman" w:hAnsi="Times New Roman" w:eastAsia="仿宋" w:cs="Times New Roman"/>
                <w:b/>
                <w:bCs/>
                <w:color w:val="auto"/>
                <w:sz w:val="21"/>
                <w:szCs w:val="21"/>
              </w:rPr>
              <w:t xml:space="preserve">  本项目产业政策相符性分析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4"/>
              <w:gridCol w:w="6776"/>
              <w:gridCol w:w="825"/>
            </w:tblGrid>
            <w:tr w14:paraId="2756B7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noWrap w:val="0"/>
                  <w:vAlign w:val="center"/>
                </w:tcPr>
                <w:p w14:paraId="57AC15B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判断</w:t>
                  </w:r>
                </w:p>
                <w:p w14:paraId="7E01104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类型</w:t>
                  </w:r>
                </w:p>
              </w:tc>
              <w:tc>
                <w:tcPr>
                  <w:tcW w:w="4107" w:type="pct"/>
                  <w:noWrap w:val="0"/>
                  <w:vAlign w:val="center"/>
                </w:tcPr>
                <w:p w14:paraId="0A1C3A3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对照简析</w:t>
                  </w:r>
                </w:p>
              </w:tc>
              <w:tc>
                <w:tcPr>
                  <w:tcW w:w="500" w:type="pct"/>
                  <w:noWrap w:val="0"/>
                  <w:vAlign w:val="center"/>
                </w:tcPr>
                <w:p w14:paraId="76AD593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是否满足要求</w:t>
                  </w:r>
                </w:p>
              </w:tc>
            </w:tr>
            <w:tr w14:paraId="7F8D1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restart"/>
                  <w:noWrap w:val="0"/>
                  <w:vAlign w:val="center"/>
                </w:tcPr>
                <w:p w14:paraId="3DB3D0DA">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产业</w:t>
                  </w:r>
                </w:p>
                <w:p w14:paraId="4CADEF94">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政策</w:t>
                  </w:r>
                </w:p>
              </w:tc>
              <w:tc>
                <w:tcPr>
                  <w:tcW w:w="4107" w:type="pct"/>
                  <w:noWrap w:val="0"/>
                  <w:vAlign w:val="center"/>
                </w:tcPr>
                <w:p w14:paraId="59924CA2">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6"/>
                      <w:sz w:val="21"/>
                      <w:szCs w:val="21"/>
                    </w:rPr>
                    <w:t>本项目属于</w:t>
                  </w:r>
                  <w:r>
                    <w:rPr>
                      <w:rFonts w:hint="default" w:ascii="Times New Roman" w:hAnsi="Times New Roman" w:eastAsia="仿宋" w:cs="Times New Roman"/>
                      <w:color w:val="auto"/>
                      <w:spacing w:val="-6"/>
                      <w:sz w:val="21"/>
                      <w:szCs w:val="21"/>
                      <w:lang w:eastAsia="zh-CN"/>
                    </w:rPr>
                    <w:t>C3813微特电机及组件制造</w:t>
                  </w:r>
                  <w:r>
                    <w:rPr>
                      <w:rFonts w:hint="default" w:ascii="Times New Roman" w:hAnsi="Times New Roman" w:eastAsia="仿宋" w:cs="Times New Roman"/>
                      <w:color w:val="auto"/>
                      <w:spacing w:val="-6"/>
                      <w:sz w:val="21"/>
                      <w:szCs w:val="21"/>
                    </w:rPr>
                    <w:t>，不属于《产业结构调整指导目录（20</w:t>
                  </w:r>
                  <w:r>
                    <w:rPr>
                      <w:rFonts w:hint="default" w:ascii="Times New Roman" w:hAnsi="Times New Roman" w:eastAsia="仿宋" w:cs="Times New Roman"/>
                      <w:color w:val="auto"/>
                      <w:spacing w:val="-6"/>
                      <w:sz w:val="21"/>
                      <w:szCs w:val="21"/>
                      <w:lang w:val="en-US" w:eastAsia="zh-CN"/>
                    </w:rPr>
                    <w:t>24</w:t>
                  </w:r>
                  <w:r>
                    <w:rPr>
                      <w:rFonts w:hint="default" w:ascii="Times New Roman" w:hAnsi="Times New Roman" w:eastAsia="仿宋" w:cs="Times New Roman"/>
                      <w:color w:val="auto"/>
                      <w:spacing w:val="-6"/>
                      <w:sz w:val="21"/>
                      <w:szCs w:val="21"/>
                    </w:rPr>
                    <w:t>年本）》中的限制及淘汰类</w:t>
                  </w:r>
                </w:p>
              </w:tc>
              <w:tc>
                <w:tcPr>
                  <w:tcW w:w="500" w:type="pct"/>
                  <w:noWrap w:val="0"/>
                  <w:vAlign w:val="center"/>
                </w:tcPr>
                <w:p w14:paraId="639B1CB7">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67000C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28B729CD">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p>
              </w:tc>
              <w:tc>
                <w:tcPr>
                  <w:tcW w:w="4107" w:type="pct"/>
                  <w:noWrap w:val="0"/>
                  <w:vAlign w:val="center"/>
                </w:tcPr>
                <w:p w14:paraId="4BC21EE3">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pacing w:val="-6"/>
                      <w:sz w:val="21"/>
                      <w:szCs w:val="21"/>
                      <w:lang w:val="en-US" w:eastAsia="zh-CN"/>
                    </w:rPr>
                  </w:pPr>
                  <w:r>
                    <w:rPr>
                      <w:rFonts w:hint="eastAsia" w:ascii="Times New Roman" w:hAnsi="Times New Roman" w:eastAsia="仿宋" w:cs="Times New Roman"/>
                      <w:color w:val="auto"/>
                      <w:spacing w:val="-6"/>
                      <w:sz w:val="21"/>
                      <w:szCs w:val="21"/>
                      <w:lang w:val="en-US" w:eastAsia="zh-CN"/>
                    </w:rPr>
                    <w:t>本企业属于外商投资企业，对照《外商投资准入特别管理措施（负面清单）》（2021年版），本项目不属于需由中方控股的和禁止生产的项目</w:t>
                  </w:r>
                </w:p>
              </w:tc>
              <w:tc>
                <w:tcPr>
                  <w:tcW w:w="500" w:type="pct"/>
                  <w:noWrap w:val="0"/>
                  <w:vAlign w:val="center"/>
                </w:tcPr>
                <w:p w14:paraId="0C7DB73F">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4824D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4E04C5AD">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p>
              </w:tc>
              <w:tc>
                <w:tcPr>
                  <w:tcW w:w="4107" w:type="pct"/>
                  <w:noWrap w:val="0"/>
                  <w:vAlign w:val="center"/>
                </w:tcPr>
                <w:p w14:paraId="74F6D54C">
                  <w:pPr>
                    <w:pStyle w:val="6"/>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w:t>
                  </w:r>
                  <w:r>
                    <w:rPr>
                      <w:rFonts w:hint="default" w:ascii="Times New Roman" w:hAnsi="Times New Roman" w:eastAsia="仿宋" w:cs="Times New Roman"/>
                      <w:color w:val="auto"/>
                      <w:kern w:val="44"/>
                      <w:sz w:val="21"/>
                      <w:szCs w:val="21"/>
                    </w:rPr>
                    <w:t>属于</w:t>
                  </w:r>
                  <w:r>
                    <w:rPr>
                      <w:rFonts w:hint="default" w:ascii="Times New Roman" w:hAnsi="Times New Roman" w:eastAsia="仿宋" w:cs="Times New Roman"/>
                      <w:color w:val="auto"/>
                      <w:spacing w:val="-6"/>
                      <w:sz w:val="21"/>
                      <w:szCs w:val="21"/>
                      <w:lang w:eastAsia="zh-CN"/>
                    </w:rPr>
                    <w:t>C3813微特电机及组件制造</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kern w:val="44"/>
                      <w:sz w:val="21"/>
                      <w:szCs w:val="21"/>
                    </w:rPr>
                    <w:t>不属于《江苏省产业结构调整限制、淘汰和禁止目录（2018年本）》中的限制、淘汰及禁止类</w:t>
                  </w:r>
                </w:p>
              </w:tc>
              <w:tc>
                <w:tcPr>
                  <w:tcW w:w="500" w:type="pct"/>
                  <w:noWrap w:val="0"/>
                  <w:vAlign w:val="center"/>
                </w:tcPr>
                <w:p w14:paraId="0B67EEF0">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1A496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21AD432F">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p>
              </w:tc>
              <w:tc>
                <w:tcPr>
                  <w:tcW w:w="4107" w:type="pct"/>
                  <w:noWrap w:val="0"/>
                  <w:vAlign w:val="center"/>
                </w:tcPr>
                <w:p w14:paraId="72056B6F">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pacing w:val="-4"/>
                      <w:sz w:val="21"/>
                      <w:szCs w:val="21"/>
                    </w:rPr>
                  </w:pPr>
                  <w:r>
                    <w:rPr>
                      <w:rFonts w:hint="default" w:ascii="Times New Roman" w:hAnsi="Times New Roman" w:eastAsia="仿宋" w:cs="Times New Roman"/>
                      <w:color w:val="auto"/>
                      <w:sz w:val="21"/>
                      <w:szCs w:val="21"/>
                    </w:rPr>
                    <w:t>本项目不属于《限制用地项目目录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2012年本</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》和《禁止用地项目目录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2012年本</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》中的限制类及禁止类项目</w:t>
                  </w:r>
                </w:p>
              </w:tc>
              <w:tc>
                <w:tcPr>
                  <w:tcW w:w="500" w:type="pct"/>
                  <w:noWrap w:val="0"/>
                  <w:vAlign w:val="center"/>
                </w:tcPr>
                <w:p w14:paraId="3FFE1F65">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5580A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64A198F1">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p>
              </w:tc>
              <w:tc>
                <w:tcPr>
                  <w:tcW w:w="4107" w:type="pct"/>
                  <w:noWrap w:val="0"/>
                  <w:vAlign w:val="center"/>
                </w:tcPr>
                <w:p w14:paraId="5067BAAA">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pacing w:val="-4"/>
                      <w:sz w:val="21"/>
                      <w:szCs w:val="21"/>
                    </w:rPr>
                  </w:pPr>
                  <w:r>
                    <w:rPr>
                      <w:rFonts w:hint="default" w:ascii="Times New Roman" w:hAnsi="Times New Roman" w:eastAsia="仿宋" w:cs="Times New Roman"/>
                      <w:color w:val="auto"/>
                      <w:kern w:val="2"/>
                      <w:sz w:val="21"/>
                      <w:szCs w:val="21"/>
                    </w:rPr>
                    <w:t>本项目属于</w:t>
                  </w:r>
                  <w:r>
                    <w:rPr>
                      <w:rFonts w:hint="default" w:ascii="Times New Roman" w:hAnsi="Times New Roman" w:eastAsia="仿宋" w:cs="Times New Roman"/>
                      <w:color w:val="auto"/>
                      <w:spacing w:val="-6"/>
                      <w:sz w:val="21"/>
                      <w:szCs w:val="21"/>
                      <w:lang w:eastAsia="zh-CN"/>
                    </w:rPr>
                    <w:t>C3813微特电机及组件制造</w:t>
                  </w:r>
                  <w:r>
                    <w:rPr>
                      <w:rFonts w:hint="default" w:ascii="Times New Roman" w:hAnsi="Times New Roman" w:eastAsia="仿宋" w:cs="Times New Roman"/>
                      <w:color w:val="auto"/>
                      <w:kern w:val="2"/>
                      <w:sz w:val="21"/>
                      <w:szCs w:val="21"/>
                    </w:rPr>
                    <w:t>，不</w:t>
                  </w:r>
                  <w:r>
                    <w:rPr>
                      <w:rFonts w:hint="default" w:ascii="Times New Roman" w:hAnsi="Times New Roman" w:eastAsia="仿宋" w:cs="Times New Roman"/>
                      <w:color w:val="auto"/>
                      <w:sz w:val="21"/>
                      <w:szCs w:val="21"/>
                    </w:rPr>
                    <w:t>属于《长江经济带发展负面清单指南》（试行，2022年版）、《关于印发&lt;长江经济带发展负面清单指南&gt;（试行，2022年版）江苏省实施细则》的通知（苏长江办发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55号）中的禁止类项目，不属于《市场准入负面清单（2022年版）》中的禁止类项目</w:t>
                  </w:r>
                </w:p>
              </w:tc>
              <w:tc>
                <w:tcPr>
                  <w:tcW w:w="500" w:type="pct"/>
                  <w:noWrap w:val="0"/>
                  <w:vAlign w:val="center"/>
                </w:tcPr>
                <w:p w14:paraId="1E5D9BC5">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040EF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3" w:hRule="atLeast"/>
              </w:trPr>
              <w:tc>
                <w:tcPr>
                  <w:tcW w:w="391" w:type="pct"/>
                  <w:vMerge w:val="continue"/>
                  <w:noWrap w:val="0"/>
                  <w:vAlign w:val="center"/>
                </w:tcPr>
                <w:p w14:paraId="2335932B">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p>
              </w:tc>
              <w:tc>
                <w:tcPr>
                  <w:tcW w:w="4107" w:type="pct"/>
                  <w:noWrap w:val="0"/>
                  <w:vAlign w:val="center"/>
                </w:tcPr>
                <w:p w14:paraId="4EBF1A5B">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本项目已在江苏武进经济开发区管委会进行了备案（备案号：</w:t>
                  </w:r>
                  <w:r>
                    <w:rPr>
                      <w:rFonts w:hint="default" w:ascii="Times New Roman" w:hAnsi="Times New Roman" w:eastAsia="仿宋" w:cs="Times New Roman"/>
                      <w:color w:val="auto"/>
                      <w:sz w:val="21"/>
                      <w:szCs w:val="21"/>
                      <w:lang w:eastAsia="zh-CN"/>
                    </w:rPr>
                    <w:t>武经发管备[2024]109号</w:t>
                  </w:r>
                  <w:r>
                    <w:rPr>
                      <w:rFonts w:hint="default" w:ascii="Times New Roman" w:hAnsi="Times New Roman" w:eastAsia="仿宋" w:cs="Times New Roman"/>
                      <w:color w:val="auto"/>
                      <w:sz w:val="21"/>
                      <w:szCs w:val="21"/>
                    </w:rPr>
                    <w:t>），符合区域产业政策</w:t>
                  </w:r>
                </w:p>
              </w:tc>
              <w:tc>
                <w:tcPr>
                  <w:tcW w:w="500" w:type="pct"/>
                  <w:noWrap w:val="0"/>
                  <w:vAlign w:val="center"/>
                </w:tcPr>
                <w:p w14:paraId="170C4494">
                  <w:pPr>
                    <w:pStyle w:val="64"/>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bl>
          <w:p w14:paraId="7101FB7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由上表可知，本项目符合国家及地方产业政策。</w:t>
            </w:r>
          </w:p>
          <w:p w14:paraId="2126F078">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与“三线一单”相符性分析</w:t>
            </w:r>
          </w:p>
          <w:p w14:paraId="733208D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根据《关于以改善环境质量为核心加强环境影响评价管理的通知》（环环评[2016]150号）《关于印发常州市“三线一单”生态环境分区管控实施方案的通知》（常环</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2020</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rPr>
              <w:t>95号），本项目与“三线一单”相符性分析见表1-</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w:t>
            </w:r>
          </w:p>
          <w:p w14:paraId="608F64B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5</w:t>
            </w:r>
            <w:r>
              <w:rPr>
                <w:rFonts w:hint="default" w:ascii="Times New Roman" w:hAnsi="Times New Roman" w:eastAsia="仿宋" w:cs="Times New Roman"/>
                <w:b/>
                <w:bCs/>
                <w:color w:val="auto"/>
                <w:sz w:val="21"/>
                <w:szCs w:val="21"/>
              </w:rPr>
              <w:t xml:space="preserve">  与“三线一单”符合性分析</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16"/>
              <w:gridCol w:w="6352"/>
              <w:gridCol w:w="877"/>
            </w:tblGrid>
            <w:tr w14:paraId="29B172B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64DDA542">
                  <w:pPr>
                    <w:keepNext w:val="0"/>
                    <w:keepLines w:val="0"/>
                    <w:pageBreakBefore w:val="0"/>
                    <w:tabs>
                      <w:tab w:val="left" w:pos="470"/>
                    </w:tabs>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tc>
              <w:tc>
                <w:tcPr>
                  <w:tcW w:w="3852" w:type="pct"/>
                  <w:noWrap w:val="0"/>
                  <w:vAlign w:val="center"/>
                </w:tcPr>
                <w:p w14:paraId="21CA970A">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符合性分析</w:t>
                  </w:r>
                </w:p>
              </w:tc>
              <w:tc>
                <w:tcPr>
                  <w:tcW w:w="531" w:type="pct"/>
                  <w:noWrap w:val="0"/>
                  <w:vAlign w:val="center"/>
                </w:tcPr>
                <w:p w14:paraId="5CB143B9">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w:t>
                  </w:r>
                </w:p>
                <w:p w14:paraId="1DC34C79">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w:t>
                  </w:r>
                </w:p>
              </w:tc>
            </w:tr>
            <w:tr w14:paraId="7A5716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5A494651">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w:t>
                  </w:r>
                </w:p>
              </w:tc>
              <w:tc>
                <w:tcPr>
                  <w:tcW w:w="3852" w:type="pct"/>
                  <w:noWrap w:val="0"/>
                  <w:vAlign w:val="center"/>
                </w:tcPr>
                <w:p w14:paraId="7181CCAA">
                  <w:pPr>
                    <w:pStyle w:val="62"/>
                    <w:keepNext w:val="0"/>
                    <w:keepLines w:val="0"/>
                    <w:pageBreakBefore w:val="0"/>
                    <w:kinsoku/>
                    <w:wordWrap/>
                    <w:overflowPunct/>
                    <w:topLinePunct w:val="0"/>
                    <w:autoSpaceDE/>
                    <w:autoSpaceDN/>
                    <w:bidi w:val="0"/>
                    <w:adjustRightInd/>
                    <w:spacing w:line="240" w:lineRule="auto"/>
                    <w:ind w:left="7" w:hanging="55"/>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根据关于印发《江苏省生态空间管控区域规划》的通知苏政发[2020]1号及《江苏省国家级生态保护红线规划》（苏政发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2018</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74号），对照常州市生态红线区域名录，最近的国家级生态保护红线为武进滆湖省级湿地公园，位于项目南侧</w:t>
                  </w:r>
                  <w:r>
                    <w:rPr>
                      <w:rFonts w:hint="default" w:ascii="Times New Roman" w:hAnsi="Times New Roman" w:eastAsia="仿宋" w:cs="Times New Roman"/>
                      <w:color w:val="auto"/>
                      <w:sz w:val="21"/>
                      <w:szCs w:val="21"/>
                      <w:lang w:val="en-US" w:eastAsia="zh-CN"/>
                    </w:rPr>
                    <w:t>4.8</w:t>
                  </w:r>
                  <w:r>
                    <w:rPr>
                      <w:rFonts w:hint="default" w:ascii="Times New Roman" w:hAnsi="Times New Roman" w:eastAsia="仿宋" w:cs="Times New Roman"/>
                      <w:color w:val="auto"/>
                      <w:sz w:val="21"/>
                      <w:szCs w:val="21"/>
                    </w:rPr>
                    <w:t>km处，本项目不在江苏省常州市生态红线管控区域范围内；根据《关于印发常州市“三线一单”生态环境分区管控实施方案的通知》（常环</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95号）中分类，本项目位于江苏武进经济开发区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，属于重点管控单元，其项目性质不属于该文件所列空间布局约束中所列项，且满足污染物排放管控要求，故本项目满足常州市生态环境准入清单。</w:t>
                  </w:r>
                </w:p>
              </w:tc>
              <w:tc>
                <w:tcPr>
                  <w:tcW w:w="531" w:type="pct"/>
                  <w:noWrap w:val="0"/>
                  <w:vAlign w:val="center"/>
                </w:tcPr>
                <w:p w14:paraId="64964233">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420C3B7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0061DFCD">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环境质量底线</w:t>
                  </w:r>
                </w:p>
              </w:tc>
              <w:tc>
                <w:tcPr>
                  <w:tcW w:w="3852" w:type="pct"/>
                  <w:noWrap w:val="0"/>
                  <w:vAlign w:val="center"/>
                </w:tcPr>
                <w:p w14:paraId="1DFAF2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b/>
                      <w:color w:val="auto"/>
                      <w:sz w:val="21"/>
                      <w:szCs w:val="21"/>
                    </w:rPr>
                    <w:t>大气环境质量底线：</w:t>
                  </w:r>
                  <w:r>
                    <w:rPr>
                      <w:rFonts w:hint="default" w:ascii="Times New Roman" w:hAnsi="Times New Roman" w:eastAsia="仿宋" w:cs="Times New Roman"/>
                      <w:color w:val="auto"/>
                      <w:sz w:val="21"/>
                      <w:szCs w:val="21"/>
                    </w:rPr>
                    <w:t>根据《</w:t>
                  </w:r>
                  <w:r>
                    <w:rPr>
                      <w:rFonts w:hint="default" w:ascii="Times New Roman" w:hAnsi="Times New Roman" w:eastAsia="仿宋" w:cs="Times New Roman"/>
                      <w:color w:val="auto"/>
                      <w:sz w:val="21"/>
                      <w:szCs w:val="21"/>
                      <w:lang w:eastAsia="zh-CN"/>
                    </w:rPr>
                    <w:t>2023年常州市生态环境状况公报</w:t>
                  </w:r>
                  <w:r>
                    <w:rPr>
                      <w:rFonts w:hint="default" w:ascii="Times New Roman" w:hAnsi="Times New Roman" w:eastAsia="仿宋" w:cs="Times New Roman"/>
                      <w:color w:val="auto"/>
                      <w:sz w:val="21"/>
                      <w:szCs w:val="21"/>
                    </w:rPr>
                    <w:t>》可知，细颗粒（PM</w:t>
                  </w:r>
                  <w:r>
                    <w:rPr>
                      <w:rFonts w:hint="default" w:ascii="Times New Roman" w:hAnsi="Times New Roman" w:eastAsia="仿宋" w:cs="Times New Roman"/>
                      <w:color w:val="auto"/>
                      <w:sz w:val="21"/>
                      <w:szCs w:val="21"/>
                      <w:vertAlign w:val="subscript"/>
                    </w:rPr>
                    <w:t>2.5</w:t>
                  </w:r>
                  <w:r>
                    <w:rPr>
                      <w:rFonts w:hint="default" w:ascii="Times New Roman" w:hAnsi="Times New Roman" w:eastAsia="仿宋" w:cs="Times New Roman"/>
                      <w:color w:val="auto"/>
                      <w:sz w:val="21"/>
                      <w:szCs w:val="21"/>
                    </w:rPr>
                    <w:t>）日均值达标率为9</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.6%，可吸入颗粒物（PM</w:t>
                  </w:r>
                  <w:r>
                    <w:rPr>
                      <w:rFonts w:hint="default" w:ascii="Times New Roman" w:hAnsi="Times New Roman" w:eastAsia="仿宋" w:cs="Times New Roman"/>
                      <w:color w:val="auto"/>
                      <w:sz w:val="21"/>
                      <w:szCs w:val="21"/>
                      <w:vertAlign w:val="subscript"/>
                    </w:rPr>
                    <w:t>10</w:t>
                  </w:r>
                  <w:r>
                    <w:rPr>
                      <w:rFonts w:hint="default" w:ascii="Times New Roman" w:hAnsi="Times New Roman" w:eastAsia="仿宋" w:cs="Times New Roman"/>
                      <w:color w:val="auto"/>
                      <w:sz w:val="21"/>
                      <w:szCs w:val="21"/>
                    </w:rPr>
                    <w:t>）日均值达标率为98.</w:t>
                  </w:r>
                  <w:r>
                    <w:rPr>
                      <w:rFonts w:hint="default" w:ascii="Times New Roman" w:hAnsi="Times New Roman" w:eastAsia="仿宋" w:cs="Times New Roman"/>
                      <w:color w:val="auto"/>
                      <w:sz w:val="21"/>
                      <w:szCs w:val="21"/>
                      <w:lang w:val="en-US" w:eastAsia="zh-CN"/>
                    </w:rPr>
                    <w:t>8</w:t>
                  </w:r>
                  <w:r>
                    <w:rPr>
                      <w:rFonts w:hint="default" w:ascii="Times New Roman" w:hAnsi="Times New Roman" w:eastAsia="仿宋" w:cs="Times New Roman"/>
                      <w:color w:val="auto"/>
                      <w:sz w:val="21"/>
                      <w:szCs w:val="21"/>
                    </w:rPr>
                    <w:t>%，臭氧（O</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）达标率为8</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.5%，二氧化硫（SO</w:t>
                  </w:r>
                  <w:r>
                    <w:rPr>
                      <w:rFonts w:hint="default" w:ascii="Times New Roman" w:hAnsi="Times New Roman" w:eastAsia="仿宋" w:cs="Times New Roman"/>
                      <w:color w:val="auto"/>
                      <w:sz w:val="21"/>
                      <w:szCs w:val="21"/>
                      <w:vertAlign w:val="subscript"/>
                    </w:rPr>
                    <w:t>2</w:t>
                  </w:r>
                  <w:r>
                    <w:rPr>
                      <w:rFonts w:hint="default" w:ascii="Times New Roman" w:hAnsi="Times New Roman" w:eastAsia="仿宋" w:cs="Times New Roman"/>
                      <w:color w:val="auto"/>
                      <w:sz w:val="21"/>
                      <w:szCs w:val="21"/>
                    </w:rPr>
                    <w:t>）达标率为100%，二氧化氮（NO</w:t>
                  </w:r>
                  <w:r>
                    <w:rPr>
                      <w:rFonts w:hint="default" w:ascii="Times New Roman" w:hAnsi="Times New Roman" w:eastAsia="仿宋" w:cs="Times New Roman"/>
                      <w:color w:val="auto"/>
                      <w:sz w:val="21"/>
                      <w:szCs w:val="21"/>
                      <w:vertAlign w:val="subscript"/>
                    </w:rPr>
                    <w:t>2</w:t>
                  </w:r>
                  <w:r>
                    <w:rPr>
                      <w:rFonts w:hint="default" w:ascii="Times New Roman" w:hAnsi="Times New Roman" w:eastAsia="仿宋" w:cs="Times New Roman"/>
                      <w:color w:val="auto"/>
                      <w:sz w:val="21"/>
                      <w:szCs w:val="21"/>
                    </w:rPr>
                    <w:t>）达标率为98.1%，一氧化碳（CO）日均达标率为100%，因此判定为不达标区，通过</w:t>
                  </w:r>
                  <w:r>
                    <w:rPr>
                      <w:rFonts w:hint="default" w:ascii="Times New Roman" w:hAnsi="Times New Roman" w:eastAsia="仿宋" w:cs="Times New Roman"/>
                      <w:color w:val="auto"/>
                      <w:sz w:val="21"/>
                      <w:szCs w:val="21"/>
                      <w:lang w:val="en-US" w:eastAsia="zh-CN"/>
                    </w:rPr>
                    <w:t>产业结构优化调整、挥发性有机物治理、工地扬尘裸土治理、港口码头污染防治、实施“绿色车轮计划”、移动源排气监管</w:t>
                  </w:r>
                  <w:r>
                    <w:rPr>
                      <w:rFonts w:hint="default" w:ascii="Times New Roman" w:hAnsi="Times New Roman" w:eastAsia="仿宋" w:cs="Times New Roman"/>
                      <w:color w:val="auto"/>
                      <w:sz w:val="21"/>
                      <w:szCs w:val="21"/>
                    </w:rPr>
                    <w:t>等措施，大气环境质量状况可以得到进一步改善。根据现状</w:t>
                  </w:r>
                  <w:r>
                    <w:rPr>
                      <w:rFonts w:hint="eastAsia" w:eastAsia="仿宋" w:cs="Times New Roman"/>
                      <w:color w:val="auto"/>
                      <w:sz w:val="21"/>
                      <w:szCs w:val="21"/>
                      <w:lang w:val="en-US" w:eastAsia="zh-CN"/>
                    </w:rPr>
                    <w:t>引用</w:t>
                  </w:r>
                  <w:r>
                    <w:rPr>
                      <w:rFonts w:hint="default" w:ascii="Times New Roman" w:hAnsi="Times New Roman" w:eastAsia="仿宋" w:cs="Times New Roman"/>
                      <w:color w:val="auto"/>
                      <w:sz w:val="21"/>
                      <w:szCs w:val="21"/>
                    </w:rPr>
                    <w:t>报告可</w:t>
                  </w:r>
                  <w:r>
                    <w:rPr>
                      <w:rFonts w:hint="default" w:eastAsia="仿宋" w:cs="Times New Roman"/>
                      <w:color w:val="auto"/>
                      <w:sz w:val="21"/>
                      <w:szCs w:val="21"/>
                      <w:lang w:val="en-US" w:eastAsia="zh-CN"/>
                    </w:rPr>
                    <w:t>知，非甲烷总烃在引用点未出现超标现象，建设项目所在地周围大气环境质量较好。本项目</w:t>
                  </w:r>
                  <w:r>
                    <w:rPr>
                      <w:rFonts w:hint="eastAsia" w:eastAsia="仿宋" w:cs="Times New Roman"/>
                      <w:color w:val="auto"/>
                      <w:sz w:val="21"/>
                      <w:szCs w:val="21"/>
                      <w:lang w:val="en-US" w:eastAsia="zh-CN"/>
                    </w:rPr>
                    <w:t>焊接烟尘经移动</w:t>
                  </w:r>
                  <w:r>
                    <w:rPr>
                      <w:rFonts w:hint="eastAsia" w:ascii="Times New Roman" w:hAnsi="Times New Roman" w:eastAsia="仿宋" w:cs="Times New Roman"/>
                      <w:color w:val="auto"/>
                      <w:sz w:val="21"/>
                      <w:szCs w:val="21"/>
                      <w:highlight w:val="none"/>
                      <w:lang w:val="en-US" w:eastAsia="zh-CN"/>
                    </w:rPr>
                    <w:t>式焊烟净化装置收集处理后在车间无组织排放</w:t>
                  </w:r>
                  <w:r>
                    <w:rPr>
                      <w:rFonts w:hint="default" w:ascii="Times New Roman" w:hAnsi="Times New Roman" w:eastAsia="仿宋" w:cs="Times New Roman"/>
                      <w:color w:val="auto"/>
                      <w:sz w:val="21"/>
                      <w:szCs w:val="21"/>
                      <w:highlight w:val="none"/>
                    </w:rPr>
                    <w:t>。</w:t>
                  </w:r>
                </w:p>
                <w:p w14:paraId="536210C6">
                  <w:pPr>
                    <w:keepNext w:val="0"/>
                    <w:keepLines w:val="0"/>
                    <w:pageBreakBefore w:val="0"/>
                    <w:kinsoku/>
                    <w:wordWrap/>
                    <w:overflowPunct/>
                    <w:topLinePunct w:val="0"/>
                    <w:autoSpaceDE/>
                    <w:autoSpaceDN/>
                    <w:bidi w:val="0"/>
                    <w:adjustRightInd/>
                    <w:spacing w:line="240" w:lineRule="auto"/>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color w:val="auto"/>
                      <w:sz w:val="21"/>
                      <w:szCs w:val="21"/>
                    </w:rPr>
                    <w:t>地表水环境质量底线：</w:t>
                  </w:r>
                  <w:r>
                    <w:rPr>
                      <w:rFonts w:hint="default" w:ascii="Times New Roman" w:hAnsi="Times New Roman" w:eastAsia="仿宋" w:cs="Times New Roman"/>
                      <w:color w:val="auto"/>
                      <w:sz w:val="21"/>
                      <w:szCs w:val="21"/>
                    </w:rPr>
                    <w:t>根据《</w:t>
                  </w:r>
                  <w:r>
                    <w:rPr>
                      <w:rFonts w:hint="default" w:ascii="Times New Roman" w:hAnsi="Times New Roman" w:eastAsia="仿宋" w:cs="Times New Roman"/>
                      <w:color w:val="auto"/>
                      <w:sz w:val="21"/>
                      <w:szCs w:val="21"/>
                      <w:lang w:eastAsia="zh-CN"/>
                    </w:rPr>
                    <w:t>2023年常州市生态环境状况公报</w:t>
                  </w:r>
                  <w:r>
                    <w:rPr>
                      <w:rFonts w:hint="default" w:ascii="Times New Roman" w:hAnsi="Times New Roman" w:eastAsia="仿宋" w:cs="Times New Roman"/>
                      <w:color w:val="auto"/>
                      <w:sz w:val="21"/>
                      <w:szCs w:val="21"/>
                    </w:rPr>
                    <w:t>》可知，202</w:t>
                  </w: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年，常州市纳入“十四五”国家地表水环境质量考核的20个断面中，年均水质达到或好于《地表水环境质量标准》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GB3838-2002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Ⅲ类标准的断面比例为8</w:t>
                  </w: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%，无劣V类断面。纳入江苏省“十四五”水环境质量目标考核51个断面，年均水质达到或好于Ⅲ类的比例为9</w:t>
                  </w:r>
                  <w:r>
                    <w:rPr>
                      <w:rFonts w:hint="default" w:ascii="Times New Roman" w:hAnsi="Times New Roman" w:eastAsia="仿宋" w:cs="Times New Roman"/>
                      <w:color w:val="auto"/>
                      <w:sz w:val="21"/>
                      <w:szCs w:val="21"/>
                      <w:lang w:val="en-US" w:eastAsia="zh-CN"/>
                    </w:rPr>
                    <w:t>4.1</w:t>
                  </w:r>
                  <w:r>
                    <w:rPr>
                      <w:rFonts w:hint="default" w:ascii="Times New Roman" w:hAnsi="Times New Roman" w:eastAsia="仿宋" w:cs="Times New Roman"/>
                      <w:color w:val="auto"/>
                      <w:sz w:val="21"/>
                      <w:szCs w:val="21"/>
                    </w:rPr>
                    <w:t>%，无劣V类断面。根据现状</w:t>
                  </w:r>
                  <w:r>
                    <w:rPr>
                      <w:rFonts w:hint="eastAsia" w:eastAsia="仿宋" w:cs="Times New Roman"/>
                      <w:color w:val="auto"/>
                      <w:sz w:val="21"/>
                      <w:szCs w:val="21"/>
                      <w:lang w:val="en-US" w:eastAsia="zh-CN"/>
                    </w:rPr>
                    <w:t>引用</w:t>
                  </w:r>
                  <w:r>
                    <w:rPr>
                      <w:rFonts w:hint="default" w:ascii="Times New Roman" w:hAnsi="Times New Roman" w:eastAsia="仿宋" w:cs="Times New Roman"/>
                      <w:color w:val="auto"/>
                      <w:sz w:val="21"/>
                      <w:szCs w:val="21"/>
                    </w:rPr>
                    <w:t>报告可知，本项目纳污河道新京杭运河各监测断面水质现状监测值均达到《地表水环境质量标准》（GB3838-2002）中Ⅲ类水质标准要求。</w:t>
                  </w:r>
                </w:p>
                <w:p w14:paraId="28DC7D74">
                  <w:pPr>
                    <w:pStyle w:val="2"/>
                    <w:keepNext w:val="0"/>
                    <w:keepLines w:val="0"/>
                    <w:pageBreakBefore w:val="0"/>
                    <w:kinsoku/>
                    <w:wordWrap/>
                    <w:overflowPunct/>
                    <w:topLinePunct w:val="0"/>
                    <w:autoSpaceDE/>
                    <w:autoSpaceDN/>
                    <w:bidi w:val="0"/>
                    <w:adjustRightInd/>
                    <w:spacing w:before="0" w:after="0" w:line="240" w:lineRule="auto"/>
                    <w:textAlignment w:val="auto"/>
                    <w:rPr>
                      <w:rFonts w:hint="default" w:ascii="Times New Roman" w:hAnsi="Times New Roman" w:eastAsia="仿宋" w:cs="Times New Roman"/>
                      <w:color w:val="auto"/>
                      <w:kern w:val="2"/>
                      <w:sz w:val="21"/>
                      <w:szCs w:val="21"/>
                      <w:lang w:val="en-US" w:eastAsia="zh-CN"/>
                    </w:rPr>
                  </w:pPr>
                  <w:r>
                    <w:rPr>
                      <w:rFonts w:hint="default" w:ascii="Times New Roman" w:hAnsi="Times New Roman" w:eastAsia="仿宋" w:cs="Times New Roman"/>
                      <w:b/>
                      <w:color w:val="auto"/>
                      <w:kern w:val="2"/>
                      <w:sz w:val="21"/>
                      <w:szCs w:val="21"/>
                      <w:lang w:val="en-US" w:eastAsia="zh-CN"/>
                    </w:rPr>
                    <w:t>声环境质量底线：</w:t>
                  </w:r>
                  <w:r>
                    <w:rPr>
                      <w:rFonts w:hint="default" w:ascii="Times New Roman" w:hAnsi="Times New Roman" w:eastAsia="仿宋" w:cs="Times New Roman"/>
                      <w:color w:val="auto"/>
                      <w:spacing w:val="-6"/>
                      <w:kern w:val="2"/>
                      <w:sz w:val="21"/>
                      <w:szCs w:val="21"/>
                      <w:lang w:val="en-US" w:eastAsia="zh-CN"/>
                    </w:rPr>
                    <w:t>根据厂界噪声预测，本项目各厂界均能达到《声环境质量标准》（GB3096-2008）3类标准。</w:t>
                  </w:r>
                </w:p>
                <w:p w14:paraId="541225A8">
                  <w:pPr>
                    <w:pStyle w:val="2"/>
                    <w:keepNext w:val="0"/>
                    <w:keepLines w:val="0"/>
                    <w:pageBreakBefore w:val="0"/>
                    <w:kinsoku/>
                    <w:wordWrap/>
                    <w:overflowPunct/>
                    <w:topLinePunct w:val="0"/>
                    <w:autoSpaceDE/>
                    <w:autoSpaceDN/>
                    <w:bidi w:val="0"/>
                    <w:adjustRightInd/>
                    <w:spacing w:before="0" w:after="0" w:line="240" w:lineRule="auto"/>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rPr>
                    <w:t>因此，本项目不会改变区域环境功能区质量要求，能维持环境功能区质量现状，不会降低周边环境质量。</w:t>
                  </w:r>
                </w:p>
              </w:tc>
              <w:tc>
                <w:tcPr>
                  <w:tcW w:w="531" w:type="pct"/>
                  <w:noWrap w:val="0"/>
                  <w:vAlign w:val="center"/>
                </w:tcPr>
                <w:p w14:paraId="49FDB43F">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7BC9B5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16" w:type="pct"/>
                  <w:noWrap w:val="0"/>
                  <w:vAlign w:val="center"/>
                </w:tcPr>
                <w:p w14:paraId="0D0FF66D">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资源利用上线</w:t>
                  </w:r>
                </w:p>
              </w:tc>
              <w:tc>
                <w:tcPr>
                  <w:tcW w:w="3852" w:type="pct"/>
                  <w:noWrap w:val="0"/>
                  <w:vAlign w:val="center"/>
                </w:tcPr>
                <w:p w14:paraId="5A70D863">
                  <w:pPr>
                    <w:pStyle w:val="2"/>
                    <w:keepNext w:val="0"/>
                    <w:keepLines w:val="0"/>
                    <w:pageBreakBefore w:val="0"/>
                    <w:kinsoku/>
                    <w:wordWrap/>
                    <w:overflowPunct/>
                    <w:topLinePunct w:val="0"/>
                    <w:autoSpaceDE/>
                    <w:autoSpaceDN/>
                    <w:bidi w:val="0"/>
                    <w:adjustRightInd/>
                    <w:spacing w:before="0" w:after="0" w:line="240" w:lineRule="auto"/>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kern w:val="2"/>
                      <w:sz w:val="21"/>
                      <w:szCs w:val="21"/>
                      <w:lang w:val="en-US" w:eastAsia="zh-CN"/>
                    </w:rPr>
                    <w:t>本项目不属于高耗能行业，所使用的能源主要为水、电能，用水量为</w:t>
                  </w:r>
                  <w:r>
                    <w:rPr>
                      <w:rFonts w:hint="default" w:ascii="Times New Roman" w:hAnsi="Times New Roman" w:eastAsia="仿宋" w:cs="Times New Roman"/>
                      <w:color w:val="auto"/>
                      <w:kern w:val="2"/>
                      <w:sz w:val="21"/>
                      <w:szCs w:val="21"/>
                      <w:highlight w:val="none"/>
                      <w:lang w:val="en-US" w:eastAsia="zh-CN"/>
                    </w:rPr>
                    <w:t>2455</w:t>
                  </w:r>
                  <w:r>
                    <w:rPr>
                      <w:rFonts w:hint="default" w:ascii="Times New Roman" w:hAnsi="Times New Roman" w:eastAsia="仿宋" w:cs="Times New Roman"/>
                      <w:color w:val="auto"/>
                      <w:kern w:val="2"/>
                      <w:sz w:val="21"/>
                      <w:szCs w:val="21"/>
                      <w:lang w:val="en-US" w:eastAsia="zh-CN"/>
                    </w:rPr>
                    <w:t>m</w:t>
                  </w:r>
                  <w:r>
                    <w:rPr>
                      <w:rFonts w:hint="default" w:ascii="Times New Roman" w:hAnsi="Times New Roman" w:eastAsia="仿宋" w:cs="Times New Roman"/>
                      <w:color w:val="auto"/>
                      <w:kern w:val="2"/>
                      <w:sz w:val="21"/>
                      <w:szCs w:val="21"/>
                      <w:vertAlign w:val="superscript"/>
                      <w:lang w:val="en-US" w:eastAsia="zh-CN"/>
                    </w:rPr>
                    <w:t>3</w:t>
                  </w:r>
                  <w:r>
                    <w:rPr>
                      <w:rFonts w:hint="default" w:ascii="Times New Roman" w:hAnsi="Times New Roman" w:eastAsia="仿宋" w:cs="Times New Roman"/>
                      <w:color w:val="auto"/>
                      <w:kern w:val="2"/>
                      <w:sz w:val="21"/>
                      <w:szCs w:val="21"/>
                      <w:lang w:val="en-US" w:eastAsia="zh-CN"/>
                    </w:rPr>
                    <w:t>/a，用电量为51.4万kWh/年，项目所在地不属于资源、能源紧缺区域。企业生产过程中采取有效的节水、节电措施，降低能耗；同时选用高效、先进的设备，自动化程度较高，节约了能源，故本项目建成后不会突破资源利用上线。</w:t>
                  </w:r>
                </w:p>
              </w:tc>
              <w:tc>
                <w:tcPr>
                  <w:tcW w:w="531" w:type="pct"/>
                  <w:noWrap w:val="0"/>
                  <w:vAlign w:val="center"/>
                </w:tcPr>
                <w:p w14:paraId="11D1190F">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r w14:paraId="5780C0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616" w:type="pct"/>
                  <w:noWrap w:val="0"/>
                  <w:vAlign w:val="center"/>
                </w:tcPr>
                <w:p w14:paraId="41FBB0CC">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环境准入负面清单</w:t>
                  </w:r>
                </w:p>
              </w:tc>
              <w:tc>
                <w:tcPr>
                  <w:tcW w:w="3852" w:type="pct"/>
                  <w:noWrap w:val="0"/>
                  <w:vAlign w:val="center"/>
                </w:tcPr>
                <w:p w14:paraId="24A9E104">
                  <w:pPr>
                    <w:pStyle w:val="65"/>
                    <w:keepNext w:val="0"/>
                    <w:keepLines w:val="0"/>
                    <w:pageBreakBefore w:val="0"/>
                    <w:kinsoku/>
                    <w:wordWrap/>
                    <w:overflowPunct/>
                    <w:topLinePunct w:val="0"/>
                    <w:autoSpaceDE/>
                    <w:autoSpaceDN/>
                    <w:bidi w:val="0"/>
                    <w:adjustRightInd/>
                    <w:spacing w:line="240" w:lineRule="auto"/>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本项目符合现行国家产业、行业政策。经查《长江经济带发展负面清单指南》（试行，2022年版）、《关于印发&lt;长江经济带发展负面清单指南&gt;（试行，2022年版）江苏省实施细则》的通知（苏长江办发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55号）、《市场准入负面清单》（2022年版）、《环境保护综合名录》（2021年版）以及《省发展改革委 省工业和信息化厅关于坚决遏制“两高”项目盲目发展的通知》（苏发改资环发[2021]837号），本项目不在其禁止准入类和限制准入类中，因此本项目符合环境准入负面清单相关要求</w:t>
                  </w:r>
                </w:p>
              </w:tc>
              <w:tc>
                <w:tcPr>
                  <w:tcW w:w="531" w:type="pct"/>
                  <w:noWrap w:val="0"/>
                  <w:vAlign w:val="center"/>
                </w:tcPr>
                <w:p w14:paraId="2D5EA2FC">
                  <w:pPr>
                    <w:keepNext w:val="0"/>
                    <w:keepLines w:val="0"/>
                    <w:pageBreakBefore w:val="0"/>
                    <w:widowControl/>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是</w:t>
                  </w:r>
                </w:p>
              </w:tc>
            </w:tr>
          </w:tbl>
          <w:p w14:paraId="742C34A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由上表可知，本项目符合“三线一单”（即生态保护红线、环境质量底线、资源利用上线、生态环境准入清单）管理机制的要求。</w:t>
            </w:r>
          </w:p>
          <w:p w14:paraId="4C57C1ED">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与</w:t>
            </w:r>
            <w:r>
              <w:rPr>
                <w:rFonts w:hint="eastAsia" w:ascii="Times New Roman" w:hAnsi="Times New Roman" w:eastAsia="仿宋" w:cs="Times New Roman"/>
                <w:b/>
                <w:bCs/>
                <w:color w:val="auto"/>
                <w:sz w:val="24"/>
                <w:szCs w:val="24"/>
                <w:lang w:eastAsia="zh-CN"/>
              </w:rPr>
              <w:t>《</w:t>
            </w:r>
            <w:r>
              <w:rPr>
                <w:rFonts w:hint="eastAsia" w:ascii="Times New Roman" w:hAnsi="Times New Roman" w:eastAsia="仿宋" w:cs="Times New Roman"/>
                <w:b/>
                <w:bCs/>
                <w:color w:val="auto"/>
                <w:sz w:val="24"/>
                <w:szCs w:val="24"/>
              </w:rPr>
              <w:t>常州市生态环境分区管控动态更新成果（2023年版）</w:t>
            </w:r>
            <w:r>
              <w:rPr>
                <w:rFonts w:hint="eastAsia" w:ascii="Times New Roman" w:hAnsi="Times New Roman" w:eastAsia="仿宋" w:cs="Times New Roman"/>
                <w:b/>
                <w:bCs/>
                <w:color w:val="auto"/>
                <w:sz w:val="24"/>
                <w:szCs w:val="24"/>
                <w:lang w:eastAsia="zh-CN"/>
              </w:rPr>
              <w:t>》</w:t>
            </w:r>
            <w:r>
              <w:rPr>
                <w:rFonts w:hint="default" w:ascii="Times New Roman" w:hAnsi="Times New Roman" w:eastAsia="仿宋" w:cs="Times New Roman"/>
                <w:b/>
                <w:bCs/>
                <w:color w:val="auto"/>
                <w:sz w:val="24"/>
                <w:szCs w:val="24"/>
                <w:lang w:val="en-US" w:eastAsia="zh-CN"/>
              </w:rPr>
              <w:t>相符性</w:t>
            </w:r>
            <w:r>
              <w:rPr>
                <w:rFonts w:hint="default" w:ascii="Times New Roman" w:hAnsi="Times New Roman" w:eastAsia="仿宋" w:cs="Times New Roman"/>
                <w:b/>
                <w:bCs/>
                <w:color w:val="auto"/>
                <w:sz w:val="24"/>
                <w:szCs w:val="24"/>
              </w:rPr>
              <w:t>分析</w:t>
            </w:r>
          </w:p>
          <w:p w14:paraId="466EA97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6</w:t>
            </w:r>
            <w:r>
              <w:rPr>
                <w:rFonts w:hint="default" w:ascii="Times New Roman" w:hAnsi="Times New Roman" w:eastAsia="仿宋" w:cs="Times New Roman"/>
                <w:b/>
                <w:bCs/>
                <w:color w:val="auto"/>
                <w:sz w:val="21"/>
                <w:szCs w:val="21"/>
              </w:rPr>
              <w:t xml:space="preserve"> </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与常州市生态环境管控要求对照分析</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1"/>
              <w:gridCol w:w="3919"/>
              <w:gridCol w:w="2723"/>
              <w:gridCol w:w="777"/>
            </w:tblGrid>
            <w:tr w14:paraId="0DCE62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28ACBF6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管控</w:t>
                  </w:r>
                </w:p>
                <w:p w14:paraId="697AC44D">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2378" w:type="pct"/>
                  <w:noWrap w:val="0"/>
                  <w:vAlign w:val="center"/>
                </w:tcPr>
                <w:p w14:paraId="3AC4E36F">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重点管控要求</w:t>
                  </w:r>
                </w:p>
              </w:tc>
              <w:tc>
                <w:tcPr>
                  <w:tcW w:w="1652" w:type="pct"/>
                  <w:noWrap w:val="0"/>
                  <w:vAlign w:val="center"/>
                </w:tcPr>
                <w:p w14:paraId="319C2F2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对照分析</w:t>
                  </w:r>
                </w:p>
              </w:tc>
              <w:tc>
                <w:tcPr>
                  <w:tcW w:w="471" w:type="pct"/>
                  <w:noWrap w:val="0"/>
                  <w:vAlign w:val="center"/>
                </w:tcPr>
                <w:p w14:paraId="2F466F54">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是否满足要求</w:t>
                  </w:r>
                </w:p>
              </w:tc>
            </w:tr>
            <w:tr w14:paraId="4CE35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0FEAF9E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空间布局约束</w:t>
                  </w:r>
                </w:p>
              </w:tc>
              <w:tc>
                <w:tcPr>
                  <w:tcW w:w="2378" w:type="pct"/>
                  <w:noWrap w:val="0"/>
                  <w:vAlign w:val="center"/>
                </w:tcPr>
                <w:p w14:paraId="5AB0ABDB">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1</w:t>
                  </w:r>
                  <w:r>
                    <w:rPr>
                      <w:rFonts w:hint="eastAsia" w:ascii="Times New Roman" w:hAnsi="Times New Roman" w:eastAsia="仿宋" w:cs="Times New Roman"/>
                      <w:color w:val="auto"/>
                      <w:spacing w:val="-6"/>
                      <w:sz w:val="21"/>
                      <w:szCs w:val="21"/>
                    </w:rPr>
                    <w:t>）严格执行《江苏省“三线一单”生态环境分区管控方案》（苏政发〔</w:t>
                  </w:r>
                  <w:r>
                    <w:rPr>
                      <w:rFonts w:hint="default" w:ascii="Times New Roman" w:hAnsi="Times New Roman" w:eastAsia="仿宋" w:cs="Times New Roman"/>
                      <w:color w:val="auto"/>
                      <w:spacing w:val="-6"/>
                      <w:sz w:val="21"/>
                      <w:szCs w:val="21"/>
                    </w:rPr>
                    <w:t>2020</w:t>
                  </w: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49</w:t>
                  </w:r>
                  <w:r>
                    <w:rPr>
                      <w:rFonts w:hint="eastAsia" w:ascii="Times New Roman" w:hAnsi="Times New Roman" w:eastAsia="仿宋" w:cs="Times New Roman"/>
                      <w:color w:val="auto"/>
                      <w:spacing w:val="-6"/>
                      <w:sz w:val="21"/>
                      <w:szCs w:val="21"/>
                    </w:rPr>
                    <w:t>号）附件</w:t>
                  </w:r>
                  <w:r>
                    <w:rPr>
                      <w:rFonts w:hint="default" w:ascii="Times New Roman" w:hAnsi="Times New Roman" w:eastAsia="仿宋" w:cs="Times New Roman"/>
                      <w:color w:val="auto"/>
                      <w:spacing w:val="-6"/>
                      <w:sz w:val="21"/>
                      <w:szCs w:val="21"/>
                    </w:rPr>
                    <w:t>3</w:t>
                  </w:r>
                  <w:r>
                    <w:rPr>
                      <w:rFonts w:hint="eastAsia" w:ascii="Times New Roman" w:hAnsi="Times New Roman" w:eastAsia="仿宋" w:cs="Times New Roman"/>
                      <w:color w:val="auto"/>
                      <w:spacing w:val="-6"/>
                      <w:sz w:val="21"/>
                      <w:szCs w:val="21"/>
                    </w:rPr>
                    <w:t>江苏省省域生态环境管控要求中“空间布局约束”的相关要求。</w:t>
                  </w:r>
                </w:p>
                <w:p w14:paraId="00B0D104">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2</w:t>
                  </w:r>
                  <w:r>
                    <w:rPr>
                      <w:rFonts w:hint="eastAsia" w:ascii="Times New Roman" w:hAnsi="Times New Roman" w:eastAsia="仿宋" w:cs="Times New Roman"/>
                      <w:color w:val="auto"/>
                      <w:spacing w:val="-6"/>
                      <w:sz w:val="21"/>
                      <w:szCs w:val="21"/>
                    </w:rPr>
                    <w:t>）严格执行《关于印发各设区市</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年深入打好污染防治攻坚战目标任务书的通知》（苏污防攻坚指办〔</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53</w:t>
                  </w:r>
                  <w:r>
                    <w:rPr>
                      <w:rFonts w:hint="eastAsia" w:ascii="Times New Roman" w:hAnsi="Times New Roman" w:eastAsia="仿宋" w:cs="Times New Roman"/>
                      <w:color w:val="auto"/>
                      <w:spacing w:val="-6"/>
                      <w:sz w:val="21"/>
                      <w:szCs w:val="21"/>
                    </w:rPr>
                    <w:t>号）《</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年常州市生态文明建设工作方案》（常政发〔</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23</w:t>
                  </w:r>
                  <w:r>
                    <w:rPr>
                      <w:rFonts w:hint="eastAsia" w:ascii="Times New Roman" w:hAnsi="Times New Roman" w:eastAsia="仿宋" w:cs="Times New Roman"/>
                      <w:color w:val="auto"/>
                      <w:spacing w:val="-6"/>
                      <w:sz w:val="21"/>
                      <w:szCs w:val="21"/>
                    </w:rPr>
                    <w:t>号）等文件要求。</w:t>
                  </w:r>
                </w:p>
                <w:p w14:paraId="7DFE21DC">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3</w:t>
                  </w:r>
                  <w:r>
                    <w:rPr>
                      <w:rFonts w:hint="eastAsia" w:ascii="Times New Roman" w:hAnsi="Times New Roman" w:eastAsia="仿宋" w:cs="Times New Roman"/>
                      <w:color w:val="auto"/>
                      <w:spacing w:val="-6"/>
                      <w:sz w:val="21"/>
                      <w:szCs w:val="21"/>
                    </w:rPr>
                    <w:t>）禁止引进：列入《产业结构调整指导目录（</w:t>
                  </w:r>
                  <w:r>
                    <w:rPr>
                      <w:rFonts w:hint="default" w:ascii="Times New Roman" w:hAnsi="Times New Roman" w:eastAsia="仿宋" w:cs="Times New Roman"/>
                      <w:color w:val="auto"/>
                      <w:spacing w:val="-6"/>
                      <w:sz w:val="21"/>
                      <w:szCs w:val="21"/>
                    </w:rPr>
                    <w:t>2019</w:t>
                  </w:r>
                  <w:r>
                    <w:rPr>
                      <w:rFonts w:hint="eastAsia" w:ascii="Times New Roman" w:hAnsi="Times New Roman" w:eastAsia="仿宋" w:cs="Times New Roman"/>
                      <w:color w:val="auto"/>
                      <w:spacing w:val="-6"/>
                      <w:sz w:val="21"/>
                      <w:szCs w:val="21"/>
                    </w:rPr>
                    <w:t>年本）》、《江苏省产业结构调整限制、淘汰和禁止目录》、《江苏省工业和信息产业结构调整、限制、淘汰目录及能耗限额》淘汰类的产业；列入《外商投资产业指导目录》禁止类的产业。</w:t>
                  </w:r>
                </w:p>
                <w:p w14:paraId="2495627E">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4</w:t>
                  </w:r>
                  <w:r>
                    <w:rPr>
                      <w:rFonts w:hint="eastAsia" w:ascii="Times New Roman" w:hAnsi="Times New Roman" w:eastAsia="仿宋" w:cs="Times New Roman"/>
                      <w:color w:val="auto"/>
                      <w:spacing w:val="-6"/>
                      <w:sz w:val="21"/>
                      <w:szCs w:val="21"/>
                    </w:rPr>
                    <w:t>）根据《长江经济带发展负面清单指南</w:t>
                  </w:r>
                  <w:r>
                    <w:rPr>
                      <w:rFonts w:hint="default" w:ascii="Times New Roman" w:hAnsi="Times New Roman" w:eastAsia="仿宋" w:cs="Times New Roman"/>
                      <w:color w:val="auto"/>
                      <w:spacing w:val="-6"/>
                      <w:sz w:val="21"/>
                      <w:szCs w:val="21"/>
                    </w:rPr>
                    <w:t>(</w:t>
                  </w:r>
                  <w:r>
                    <w:rPr>
                      <w:rFonts w:hint="eastAsia" w:ascii="Times New Roman" w:hAnsi="Times New Roman" w:eastAsia="仿宋" w:cs="Times New Roman"/>
                      <w:color w:val="auto"/>
                      <w:spacing w:val="-6"/>
                      <w:sz w:val="21"/>
                      <w:szCs w:val="21"/>
                    </w:rPr>
                    <w:t>试行，</w:t>
                  </w:r>
                  <w:r>
                    <w:rPr>
                      <w:rFonts w:hint="default" w:ascii="Times New Roman" w:hAnsi="Times New Roman" w:eastAsia="仿宋" w:cs="Times New Roman"/>
                      <w:color w:val="auto"/>
                      <w:spacing w:val="-6"/>
                      <w:sz w:val="21"/>
                      <w:szCs w:val="21"/>
                    </w:rPr>
                    <w:t>2022</w:t>
                  </w:r>
                  <w:r>
                    <w:rPr>
                      <w:rFonts w:hint="eastAsia" w:ascii="Times New Roman" w:hAnsi="Times New Roman" w:eastAsia="仿宋" w:cs="Times New Roman"/>
                      <w:color w:val="auto"/>
                      <w:spacing w:val="-6"/>
                      <w:sz w:val="21"/>
                      <w:szCs w:val="21"/>
                    </w:rPr>
                    <w:t>年版</w:t>
                  </w:r>
                  <w:r>
                    <w:rPr>
                      <w:rFonts w:hint="default" w:ascii="Times New Roman" w:hAnsi="Times New Roman" w:eastAsia="仿宋" w:cs="Times New Roman"/>
                      <w:color w:val="auto"/>
                      <w:spacing w:val="-6"/>
                      <w:sz w:val="21"/>
                      <w:szCs w:val="21"/>
                    </w:rPr>
                    <w:t>)</w:t>
                  </w:r>
                  <w:r>
                    <w:rPr>
                      <w:rFonts w:hint="eastAsia" w:ascii="Times New Roman" w:hAnsi="Times New Roman" w:eastAsia="仿宋" w:cs="Times New Roman"/>
                      <w:color w:val="auto"/>
                      <w:spacing w:val="-6"/>
                      <w:sz w:val="21"/>
                      <w:szCs w:val="21"/>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default" w:ascii="Times New Roman" w:hAnsi="Times New Roman" w:eastAsia="仿宋" w:cs="Times New Roman"/>
                      <w:color w:val="auto"/>
                      <w:spacing w:val="-6"/>
                      <w:sz w:val="21"/>
                      <w:szCs w:val="21"/>
                    </w:rPr>
                    <w:t>(</w:t>
                  </w:r>
                  <w:r>
                    <w:rPr>
                      <w:rFonts w:hint="eastAsia" w:ascii="Times New Roman" w:hAnsi="Times New Roman" w:eastAsia="仿宋" w:cs="Times New Roman"/>
                      <w:color w:val="auto"/>
                      <w:spacing w:val="-6"/>
                      <w:sz w:val="21"/>
                      <w:szCs w:val="21"/>
                    </w:rPr>
                    <w:t>集中区</w:t>
                  </w:r>
                  <w:r>
                    <w:rPr>
                      <w:rFonts w:hint="default" w:ascii="Times New Roman" w:hAnsi="Times New Roman" w:eastAsia="仿宋" w:cs="Times New Roman"/>
                      <w:color w:val="auto"/>
                      <w:spacing w:val="-6"/>
                      <w:sz w:val="21"/>
                      <w:szCs w:val="21"/>
                    </w:rPr>
                    <w:t>)</w:t>
                  </w:r>
                  <w:r>
                    <w:rPr>
                      <w:rFonts w:hint="eastAsia" w:ascii="Times New Roman" w:hAnsi="Times New Roman" w:eastAsia="仿宋" w:cs="Times New Roman"/>
                      <w:color w:val="auto"/>
                      <w:spacing w:val="-6"/>
                      <w:sz w:val="21"/>
                      <w:szCs w:val="21"/>
                    </w:rPr>
                    <w:t>内新建化工项目。</w:t>
                  </w:r>
                </w:p>
              </w:tc>
              <w:tc>
                <w:tcPr>
                  <w:tcW w:w="1652" w:type="pct"/>
                  <w:noWrap w:val="0"/>
                  <w:vAlign w:val="center"/>
                </w:tcPr>
                <w:p w14:paraId="35619E4D">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（1）对照《省政府关于印发江苏省生态空间管控区域规划的通知》（苏政发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1号）以及《省政府关于印发江苏省国家级生态保护红线规划的通知》（苏政发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2018</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74号），本项目位于江苏武进经济开发区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，距离本项目最近的国家级生态保护红线区域为武进滆湖省级湿地公园，位于项目南侧</w:t>
                  </w:r>
                  <w:r>
                    <w:rPr>
                      <w:rFonts w:hint="default" w:ascii="Times New Roman" w:hAnsi="Times New Roman" w:eastAsia="仿宋" w:cs="Times New Roman"/>
                      <w:color w:val="auto"/>
                      <w:sz w:val="21"/>
                      <w:szCs w:val="21"/>
                      <w:lang w:val="en-US" w:eastAsia="zh-CN"/>
                    </w:rPr>
                    <w:t>4.8</w:t>
                  </w:r>
                  <w:r>
                    <w:rPr>
                      <w:rFonts w:hint="default" w:ascii="Times New Roman" w:hAnsi="Times New Roman" w:eastAsia="仿宋" w:cs="Times New Roman"/>
                      <w:color w:val="auto"/>
                      <w:sz w:val="21"/>
                      <w:szCs w:val="21"/>
                    </w:rPr>
                    <w:t>km处，符合《江苏省生态空间管控区域规划》中“空间布局约束”要求。</w:t>
                  </w:r>
                </w:p>
                <w:p w14:paraId="1FCD5512">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（2）本项目建设严格执行</w:t>
                  </w:r>
                  <w:r>
                    <w:rPr>
                      <w:rFonts w:hint="eastAsia" w:ascii="Times New Roman" w:hAnsi="Times New Roman" w:eastAsia="仿宋" w:cs="Times New Roman"/>
                      <w:color w:val="auto"/>
                      <w:spacing w:val="-6"/>
                      <w:sz w:val="21"/>
                      <w:szCs w:val="21"/>
                    </w:rPr>
                    <w:t>《关于印发各设区市</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年深入打好污染防治攻坚战目标任务书的通知》（苏污防攻坚指办〔</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53</w:t>
                  </w:r>
                  <w:r>
                    <w:rPr>
                      <w:rFonts w:hint="eastAsia" w:ascii="Times New Roman" w:hAnsi="Times New Roman" w:eastAsia="仿宋" w:cs="Times New Roman"/>
                      <w:color w:val="auto"/>
                      <w:spacing w:val="-6"/>
                      <w:sz w:val="21"/>
                      <w:szCs w:val="21"/>
                    </w:rPr>
                    <w:t>号）《</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年常州市生态文明建设工作方案》（常政发〔</w:t>
                  </w:r>
                  <w:r>
                    <w:rPr>
                      <w:rFonts w:hint="default" w:ascii="Times New Roman" w:hAnsi="Times New Roman" w:eastAsia="仿宋" w:cs="Times New Roman"/>
                      <w:color w:val="auto"/>
                      <w:spacing w:val="-6"/>
                      <w:sz w:val="21"/>
                      <w:szCs w:val="21"/>
                    </w:rPr>
                    <w:t>2023</w:t>
                  </w:r>
                  <w:r>
                    <w:rPr>
                      <w:rFonts w:hint="eastAsia"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rPr>
                    <w:t>23</w:t>
                  </w:r>
                  <w:r>
                    <w:rPr>
                      <w:rFonts w:hint="eastAsia" w:ascii="Times New Roman" w:hAnsi="Times New Roman" w:eastAsia="仿宋" w:cs="Times New Roman"/>
                      <w:color w:val="auto"/>
                      <w:spacing w:val="-6"/>
                      <w:sz w:val="21"/>
                      <w:szCs w:val="21"/>
                    </w:rPr>
                    <w:t>号）</w:t>
                  </w:r>
                  <w:r>
                    <w:rPr>
                      <w:rFonts w:hint="default" w:ascii="Times New Roman" w:hAnsi="Times New Roman" w:eastAsia="仿宋" w:cs="Times New Roman"/>
                      <w:color w:val="auto"/>
                      <w:sz w:val="21"/>
                      <w:szCs w:val="21"/>
                    </w:rPr>
                    <w:t>等文件要求。</w:t>
                  </w:r>
                </w:p>
                <w:p w14:paraId="3898F8E6">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（3）本项目为</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，不属于《产业结构调整指导目录（</w:t>
                  </w:r>
                  <w:r>
                    <w:rPr>
                      <w:rFonts w:hint="default" w:ascii="Times New Roman" w:hAnsi="Times New Roman" w:eastAsia="仿宋" w:cs="Times New Roman"/>
                      <w:color w:val="auto"/>
                      <w:sz w:val="21"/>
                      <w:szCs w:val="21"/>
                      <w:lang w:val="en-US" w:eastAsia="zh-CN"/>
                    </w:rPr>
                    <w:t>2024</w:t>
                  </w:r>
                  <w:r>
                    <w:rPr>
                      <w:rFonts w:hint="default" w:ascii="Times New Roman" w:hAnsi="Times New Roman" w:eastAsia="仿宋" w:cs="Times New Roman"/>
                      <w:color w:val="auto"/>
                      <w:sz w:val="21"/>
                      <w:szCs w:val="21"/>
                    </w:rPr>
                    <w:t>年本）》、《江苏省产业结构调整限制、淘汰和禁止目录》、《江苏省工业和信息产业结构调整、限制、淘汰目录及能耗限额》淘汰类</w:t>
                  </w:r>
                  <w:r>
                    <w:rPr>
                      <w:rFonts w:hint="eastAsia" w:eastAsia="仿宋" w:cs="Times New Roman"/>
                      <w:color w:val="auto"/>
                      <w:sz w:val="21"/>
                      <w:szCs w:val="21"/>
                      <w:lang w:eastAsia="zh-CN"/>
                    </w:rPr>
                    <w:t>，</w:t>
                  </w:r>
                  <w:r>
                    <w:rPr>
                      <w:rFonts w:hint="eastAsia" w:ascii="Times New Roman" w:hAnsi="Times New Roman" w:eastAsia="仿宋" w:cs="Times New Roman"/>
                      <w:color w:val="auto"/>
                      <w:spacing w:val="-6"/>
                      <w:sz w:val="21"/>
                      <w:szCs w:val="21"/>
                    </w:rPr>
                    <w:t>《外商投资产业指导目录》</w:t>
                  </w:r>
                  <w:r>
                    <w:rPr>
                      <w:rFonts w:hint="eastAsia" w:ascii="Times New Roman" w:hAnsi="Times New Roman" w:eastAsia="仿宋" w:cs="Times New Roman"/>
                      <w:color w:val="auto"/>
                      <w:spacing w:val="-6"/>
                      <w:sz w:val="21"/>
                      <w:szCs w:val="21"/>
                      <w:lang w:val="en-US" w:eastAsia="zh-CN"/>
                    </w:rPr>
                    <w:t>禁止类</w:t>
                  </w:r>
                  <w:r>
                    <w:rPr>
                      <w:rFonts w:hint="default" w:ascii="Times New Roman" w:hAnsi="Times New Roman" w:eastAsia="仿宋" w:cs="Times New Roman"/>
                      <w:color w:val="auto"/>
                      <w:sz w:val="21"/>
                      <w:szCs w:val="21"/>
                    </w:rPr>
                    <w:t>的产业。</w:t>
                  </w:r>
                </w:p>
                <w:p w14:paraId="76A0F321">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（4）本项目为</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，不属于《常州市长江保护修复攻坚战行动计划工作方案》（常污防攻坚指办</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pacing w:val="-6"/>
                      <w:sz w:val="21"/>
                      <w:szCs w:val="21"/>
                    </w:rPr>
                    <w:t>2019</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30号）禁止类项目</w:t>
                  </w:r>
                </w:p>
                <w:p w14:paraId="6DFAE595">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（5）本项目为</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，不</w:t>
                  </w:r>
                  <w:r>
                    <w:rPr>
                      <w:rFonts w:hint="eastAsia" w:eastAsia="仿宋" w:cs="Times New Roman"/>
                      <w:color w:val="auto"/>
                      <w:sz w:val="21"/>
                      <w:szCs w:val="21"/>
                      <w:lang w:val="en-US" w:eastAsia="zh-CN"/>
                    </w:rPr>
                    <w:t>在</w:t>
                  </w:r>
                  <w:r>
                    <w:rPr>
                      <w:rFonts w:hint="eastAsia" w:ascii="Times New Roman" w:hAnsi="Times New Roman" w:eastAsia="仿宋" w:cs="Times New Roman"/>
                      <w:color w:val="auto"/>
                      <w:spacing w:val="-6"/>
                      <w:sz w:val="21"/>
                      <w:szCs w:val="21"/>
                    </w:rPr>
                    <w:t>长江干流岸线三公里范围内</w:t>
                  </w:r>
                  <w:r>
                    <w:rPr>
                      <w:rFonts w:hint="eastAsia" w:ascii="Times New Roman" w:hAnsi="Times New Roman" w:eastAsia="仿宋" w:cs="Times New Roman"/>
                      <w:color w:val="auto"/>
                      <w:spacing w:val="-6"/>
                      <w:sz w:val="21"/>
                      <w:szCs w:val="21"/>
                      <w:lang w:eastAsia="zh-CN"/>
                    </w:rPr>
                    <w:t>，</w:t>
                  </w:r>
                  <w:r>
                    <w:rPr>
                      <w:rFonts w:hint="eastAsia" w:ascii="Times New Roman" w:hAnsi="Times New Roman" w:eastAsia="仿宋" w:cs="Times New Roman"/>
                      <w:color w:val="auto"/>
                      <w:spacing w:val="-6"/>
                      <w:sz w:val="21"/>
                      <w:szCs w:val="21"/>
                      <w:lang w:val="en-US" w:eastAsia="zh-CN"/>
                    </w:rPr>
                    <w:t>不属于</w:t>
                  </w:r>
                  <w:r>
                    <w:rPr>
                      <w:rFonts w:hint="eastAsia" w:ascii="Times New Roman" w:hAnsi="Times New Roman" w:eastAsia="仿宋" w:cs="Times New Roman"/>
                      <w:color w:val="auto"/>
                      <w:spacing w:val="-6"/>
                      <w:sz w:val="21"/>
                      <w:szCs w:val="21"/>
                    </w:rPr>
                    <w:t>《江苏省太湖水污染防治条例》禁止的投资建设活动</w:t>
                  </w:r>
                  <w:r>
                    <w:rPr>
                      <w:rFonts w:hint="eastAsia" w:ascii="Times New Roman" w:hAnsi="Times New Roman" w:eastAsia="仿宋" w:cs="Times New Roman"/>
                      <w:color w:val="auto"/>
                      <w:spacing w:val="-6"/>
                      <w:sz w:val="21"/>
                      <w:szCs w:val="21"/>
                      <w:lang w:eastAsia="zh-CN"/>
                    </w:rPr>
                    <w:t>，</w:t>
                  </w:r>
                  <w:r>
                    <w:rPr>
                      <w:rFonts w:hint="eastAsia" w:ascii="Times New Roman" w:hAnsi="Times New Roman" w:eastAsia="仿宋" w:cs="Times New Roman"/>
                      <w:color w:val="auto"/>
                      <w:spacing w:val="-6"/>
                      <w:sz w:val="21"/>
                      <w:szCs w:val="21"/>
                      <w:lang w:val="en-US" w:eastAsia="zh-CN"/>
                    </w:rPr>
                    <w:t>不属于高污染项目</w:t>
                  </w:r>
                  <w:r>
                    <w:rPr>
                      <w:rFonts w:hint="default" w:ascii="Times New Roman" w:hAnsi="Times New Roman" w:eastAsia="仿宋" w:cs="Times New Roman"/>
                      <w:color w:val="auto"/>
                      <w:sz w:val="21"/>
                      <w:szCs w:val="21"/>
                      <w:lang w:eastAsia="zh-CN"/>
                    </w:rPr>
                    <w:t>。</w:t>
                  </w:r>
                </w:p>
              </w:tc>
              <w:tc>
                <w:tcPr>
                  <w:tcW w:w="471" w:type="pct"/>
                  <w:noWrap w:val="0"/>
                  <w:vAlign w:val="center"/>
                </w:tcPr>
                <w:p w14:paraId="379EB77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448EF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13E0894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污染物排放管控</w:t>
                  </w:r>
                </w:p>
              </w:tc>
              <w:tc>
                <w:tcPr>
                  <w:tcW w:w="2378" w:type="pct"/>
                  <w:noWrap w:val="0"/>
                  <w:vAlign w:val="center"/>
                </w:tcPr>
                <w:p w14:paraId="3C0D46C1">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（1）坚持生态环境质量只能更好、不能变坏，实施污染物总量控制，以环境容量定产业、定项目、定规模，确保开发建设行为不突破生态环境承载力。</w:t>
                  </w:r>
                </w:p>
                <w:p w14:paraId="155AF733">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652" w:type="pct"/>
                  <w:noWrap w:val="0"/>
                  <w:vAlign w:val="center"/>
                </w:tcPr>
                <w:p w14:paraId="347AFA0A">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本项目类型及其选址、布局、规模等符合环境保护法律法规和相关法定规划，废水中各污染物总量在区域内平衡</w:t>
                  </w:r>
                  <w:r>
                    <w:rPr>
                      <w:rFonts w:hint="eastAsia" w:eastAsia="仿宋" w:cs="Times New Roman"/>
                      <w:color w:val="auto"/>
                      <w:sz w:val="21"/>
                      <w:szCs w:val="21"/>
                      <w:lang w:eastAsia="zh-CN"/>
                    </w:rPr>
                    <w:t>，</w:t>
                  </w:r>
                  <w:r>
                    <w:rPr>
                      <w:rFonts w:hint="eastAsia" w:ascii="Times New Roman" w:hAnsi="Times New Roman" w:eastAsia="仿宋" w:cs="Times New Roman"/>
                      <w:color w:val="auto"/>
                      <w:spacing w:val="-6"/>
                      <w:sz w:val="21"/>
                      <w:szCs w:val="21"/>
                    </w:rPr>
                    <w:t>建设行为不</w:t>
                  </w:r>
                  <w:r>
                    <w:rPr>
                      <w:rFonts w:hint="eastAsia" w:ascii="Times New Roman" w:hAnsi="Times New Roman" w:eastAsia="仿宋" w:cs="Times New Roman"/>
                      <w:color w:val="auto"/>
                      <w:spacing w:val="-6"/>
                      <w:sz w:val="21"/>
                      <w:szCs w:val="21"/>
                      <w:lang w:val="en-US" w:eastAsia="zh-CN"/>
                    </w:rPr>
                    <w:t>会</w:t>
                  </w:r>
                  <w:r>
                    <w:rPr>
                      <w:rFonts w:hint="eastAsia" w:ascii="Times New Roman" w:hAnsi="Times New Roman" w:eastAsia="仿宋" w:cs="Times New Roman"/>
                      <w:color w:val="auto"/>
                      <w:spacing w:val="-6"/>
                      <w:sz w:val="21"/>
                      <w:szCs w:val="21"/>
                    </w:rPr>
                    <w:t>突破生态环境承载力</w:t>
                  </w:r>
                  <w:r>
                    <w:rPr>
                      <w:rFonts w:hint="default" w:ascii="Times New Roman" w:hAnsi="Times New Roman" w:eastAsia="仿宋" w:cs="Times New Roman"/>
                      <w:color w:val="auto"/>
                      <w:sz w:val="21"/>
                      <w:szCs w:val="21"/>
                      <w:lang w:eastAsia="zh-CN"/>
                    </w:rPr>
                    <w:t>。</w:t>
                  </w:r>
                </w:p>
              </w:tc>
              <w:tc>
                <w:tcPr>
                  <w:tcW w:w="471" w:type="pct"/>
                  <w:noWrap w:val="0"/>
                  <w:vAlign w:val="center"/>
                </w:tcPr>
                <w:p w14:paraId="760C33A7">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7E809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5" w:hRule="atLeast"/>
              </w:trPr>
              <w:tc>
                <w:tcPr>
                  <w:tcW w:w="498" w:type="pct"/>
                  <w:noWrap w:val="0"/>
                  <w:vAlign w:val="center"/>
                </w:tcPr>
                <w:p w14:paraId="7C8B0A2C">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环境风险防控</w:t>
                  </w:r>
                </w:p>
              </w:tc>
              <w:tc>
                <w:tcPr>
                  <w:tcW w:w="2378" w:type="pct"/>
                  <w:noWrap w:val="0"/>
                  <w:vAlign w:val="center"/>
                </w:tcPr>
                <w:p w14:paraId="612BEA09">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（1）严格执行《江苏省“三线一单”生态环境分区管控方案》（苏政发〔2020〕49号）附件3江苏省省域生态环境管控要求中“环境风险防控”的相关要求。</w:t>
                  </w:r>
                </w:p>
                <w:p w14:paraId="441A0077">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4D213188">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（3）强化饮用水水源环境风险管控，建成应急水源工程。</w:t>
                  </w:r>
                </w:p>
                <w:p w14:paraId="3861B4C4">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652" w:type="pct"/>
                  <w:noWrap w:val="0"/>
                  <w:vAlign w:val="center"/>
                </w:tcPr>
                <w:p w14:paraId="281FA8FB">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w:t>
                  </w:r>
                  <w:r>
                    <w:rPr>
                      <w:rFonts w:hint="eastAsia" w:ascii="Times New Roman" w:hAnsi="Times New Roman" w:eastAsia="仿宋" w:cs="Times New Roman"/>
                      <w:color w:val="auto"/>
                      <w:sz w:val="21"/>
                      <w:szCs w:val="21"/>
                      <w:lang w:val="en-US" w:eastAsia="zh-CN"/>
                    </w:rPr>
                    <w:t>不在</w:t>
                  </w:r>
                  <w:r>
                    <w:rPr>
                      <w:rFonts w:hint="eastAsia" w:ascii="Times New Roman" w:hAnsi="Times New Roman" w:eastAsia="仿宋" w:cs="Times New Roman"/>
                      <w:color w:val="auto"/>
                      <w:spacing w:val="-6"/>
                      <w:sz w:val="21"/>
                      <w:szCs w:val="21"/>
                    </w:rPr>
                    <w:t>沿江1公里范围内</w:t>
                  </w:r>
                  <w:r>
                    <w:rPr>
                      <w:rFonts w:hint="eastAsia"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z w:val="21"/>
                      <w:szCs w:val="21"/>
                    </w:rPr>
                    <w:t>本项目将积极与区域应急体系联动</w:t>
                  </w:r>
                  <w:r>
                    <w:rPr>
                      <w:rFonts w:hint="default" w:ascii="Times New Roman" w:hAnsi="Times New Roman" w:eastAsia="仿宋" w:cs="Times New Roman"/>
                      <w:color w:val="auto"/>
                      <w:sz w:val="21"/>
                      <w:szCs w:val="21"/>
                      <w:lang w:eastAsia="zh-CN"/>
                    </w:rPr>
                    <w:t>。</w:t>
                  </w:r>
                </w:p>
              </w:tc>
              <w:tc>
                <w:tcPr>
                  <w:tcW w:w="471" w:type="pct"/>
                  <w:noWrap w:val="0"/>
                  <w:vAlign w:val="center"/>
                </w:tcPr>
                <w:p w14:paraId="798FAAC8">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75EEA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14:paraId="6B626DB5">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资源利用效率要求</w:t>
                  </w:r>
                </w:p>
              </w:tc>
              <w:tc>
                <w:tcPr>
                  <w:tcW w:w="2378" w:type="pct"/>
                  <w:noWrap w:val="0"/>
                  <w:vAlign w:val="center"/>
                </w:tcPr>
                <w:p w14:paraId="4FE0CEBE">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0A29D3E6">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（2）根据《常州市国土空间总体规划（2021-2035年）（上报稿）》，永久基本农田实际划定是7.53万公顷，2035年任务量为7.66万公顷。</w:t>
                  </w:r>
                </w:p>
                <w:p w14:paraId="76A908A3">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eastAsia"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II类”（较严），具体包括：除单台出力大于等于20蒸吨/小时锅炉以外燃用的煤炭及其制品；石油焦、油页岩、原油、重油、渣油、煤焦油。②“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70297922">
                  <w:pPr>
                    <w:keepNext w:val="0"/>
                    <w:keepLines w:val="0"/>
                    <w:pageBreakBefore w:val="0"/>
                    <w:widowControl w:val="0"/>
                    <w:kinsoku/>
                    <w:wordWrap/>
                    <w:overflowPunct/>
                    <w:topLinePunct w:val="0"/>
                    <w:autoSpaceDE/>
                    <w:autoSpaceDN/>
                    <w:bidi w:val="0"/>
                    <w:adjustRightInd/>
                    <w:snapToGrid/>
                    <w:spacing w:line="260" w:lineRule="exact"/>
                    <w:jc w:val="left"/>
                    <w:textAlignment w:val="auto"/>
                    <w:rPr>
                      <w:rFonts w:hint="default" w:ascii="Times New Roman" w:hAnsi="Times New Roman" w:eastAsia="仿宋" w:cs="Times New Roman"/>
                      <w:color w:val="auto"/>
                      <w:spacing w:val="-6"/>
                      <w:sz w:val="21"/>
                      <w:szCs w:val="21"/>
                    </w:rPr>
                  </w:pPr>
                  <w:r>
                    <w:rPr>
                      <w:rFonts w:hint="eastAsia" w:ascii="Times New Roman" w:hAnsi="Times New Roman" w:eastAsia="仿宋" w:cs="Times New Roman"/>
                      <w:color w:val="auto"/>
                      <w:spacing w:val="-6"/>
                      <w:sz w:val="21"/>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652" w:type="pct"/>
                  <w:noWrap w:val="0"/>
                  <w:vAlign w:val="center"/>
                </w:tcPr>
                <w:p w14:paraId="2B1C2E90">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本项目使用电能为清洁能源</w:t>
                  </w:r>
                  <w:r>
                    <w:rPr>
                      <w:rFonts w:hint="default" w:ascii="Times New Roman" w:hAnsi="Times New Roman" w:eastAsia="仿宋" w:cs="Times New Roman"/>
                      <w:color w:val="auto"/>
                      <w:sz w:val="21"/>
                      <w:szCs w:val="21"/>
                      <w:lang w:eastAsia="zh-CN"/>
                    </w:rPr>
                    <w:t>。</w:t>
                  </w:r>
                </w:p>
              </w:tc>
              <w:tc>
                <w:tcPr>
                  <w:tcW w:w="471" w:type="pct"/>
                  <w:noWrap w:val="0"/>
                  <w:vAlign w:val="center"/>
                </w:tcPr>
                <w:p w14:paraId="4917F1A6">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0ECF576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本项目位于江苏武进经济开发区</w:t>
            </w:r>
            <w:r>
              <w:rPr>
                <w:rFonts w:hint="default" w:ascii="Times New Roman" w:hAnsi="Times New Roman" w:eastAsia="仿宋" w:cs="Times New Roman"/>
                <w:color w:val="auto"/>
                <w:sz w:val="24"/>
                <w:szCs w:val="24"/>
                <w:lang w:eastAsia="zh-CN"/>
              </w:rPr>
              <w:t>西湖街道长秀路8号（坤鼎常州创新产业基地9幢）</w:t>
            </w:r>
            <w:r>
              <w:rPr>
                <w:rFonts w:hint="default" w:ascii="Times New Roman" w:hAnsi="Times New Roman" w:eastAsia="仿宋" w:cs="Times New Roman"/>
                <w:color w:val="auto"/>
                <w:sz w:val="24"/>
                <w:szCs w:val="24"/>
              </w:rPr>
              <w:t>，对照</w:t>
            </w:r>
            <w:r>
              <w:rPr>
                <w:rFonts w:hint="eastAsia" w:ascii="Times New Roman" w:hAnsi="Times New Roman" w:eastAsia="仿宋" w:cs="Times New Roman"/>
                <w:color w:val="auto"/>
                <w:sz w:val="24"/>
                <w:szCs w:val="24"/>
                <w:lang w:eastAsia="zh-CN"/>
              </w:rPr>
              <w:t>《</w:t>
            </w:r>
            <w:r>
              <w:rPr>
                <w:rFonts w:hint="eastAsia" w:ascii="Times New Roman" w:hAnsi="Times New Roman" w:eastAsia="仿宋" w:cs="Times New Roman"/>
                <w:color w:val="auto"/>
                <w:sz w:val="24"/>
                <w:szCs w:val="24"/>
              </w:rPr>
              <w:t>常州市生态环境分区管控动态更新成果（2023年版）</w:t>
            </w:r>
            <w:r>
              <w:rPr>
                <w:rFonts w:hint="eastAsia"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，属于江苏武进经济开发区，为重点管控单元，江苏武进经济开发区环境管控单元准入清单相符性分析如下：</w:t>
            </w:r>
          </w:p>
          <w:p w14:paraId="4C6FF0C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7</w:t>
            </w:r>
            <w:r>
              <w:rPr>
                <w:rFonts w:hint="default" w:ascii="Times New Roman" w:hAnsi="Times New Roman" w:eastAsia="仿宋" w:cs="Times New Roman"/>
                <w:b/>
                <w:bCs/>
                <w:color w:val="auto"/>
                <w:sz w:val="21"/>
                <w:szCs w:val="21"/>
              </w:rPr>
              <w:t xml:space="preserve"> </w:t>
            </w:r>
            <w:r>
              <w:rPr>
                <w:rFonts w:hint="default" w:ascii="Times New Roman" w:hAnsi="Times New Roman" w:eastAsia="仿宋" w:cs="Times New Roman"/>
                <w:b/>
                <w:bCs/>
                <w:color w:val="auto"/>
                <w:sz w:val="21"/>
                <w:szCs w:val="21"/>
                <w:lang w:val="en-US" w:eastAsia="zh-CN"/>
              </w:rPr>
              <w:t xml:space="preserve"> </w:t>
            </w:r>
            <w:r>
              <w:rPr>
                <w:rFonts w:hint="default" w:ascii="Times New Roman" w:hAnsi="Times New Roman" w:eastAsia="仿宋" w:cs="Times New Roman"/>
                <w:b/>
                <w:bCs/>
                <w:color w:val="auto"/>
                <w:sz w:val="21"/>
                <w:szCs w:val="21"/>
              </w:rPr>
              <w:t>与江苏武进经济开发区环境管控单元准入清单相符性分析</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0"/>
              <w:gridCol w:w="4080"/>
              <w:gridCol w:w="2506"/>
              <w:gridCol w:w="834"/>
            </w:tblGrid>
            <w:tr w14:paraId="668444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noWrap w:val="0"/>
                  <w:vAlign w:val="center"/>
                </w:tcPr>
                <w:p w14:paraId="4FFA228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管控</w:t>
                  </w:r>
                </w:p>
                <w:p w14:paraId="07E90E6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类别</w:t>
                  </w:r>
                </w:p>
              </w:tc>
              <w:tc>
                <w:tcPr>
                  <w:tcW w:w="2475" w:type="pct"/>
                  <w:noWrap w:val="0"/>
                  <w:vAlign w:val="center"/>
                </w:tcPr>
                <w:p w14:paraId="54C9756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生态环境准入清单</w:t>
                  </w:r>
                </w:p>
              </w:tc>
              <w:tc>
                <w:tcPr>
                  <w:tcW w:w="1520" w:type="pct"/>
                  <w:noWrap w:val="0"/>
                  <w:vAlign w:val="center"/>
                </w:tcPr>
                <w:p w14:paraId="53711CA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对照分析</w:t>
                  </w:r>
                </w:p>
              </w:tc>
              <w:tc>
                <w:tcPr>
                  <w:tcW w:w="506" w:type="pct"/>
                  <w:noWrap w:val="0"/>
                  <w:vAlign w:val="center"/>
                </w:tcPr>
                <w:p w14:paraId="5F15651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是否满足要求</w:t>
                  </w:r>
                </w:p>
              </w:tc>
            </w:tr>
            <w:tr w14:paraId="60A3E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14:paraId="566341C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空间布局约束</w:t>
                  </w:r>
                </w:p>
              </w:tc>
              <w:tc>
                <w:tcPr>
                  <w:tcW w:w="2475" w:type="pct"/>
                  <w:noWrap w:val="0"/>
                  <w:vAlign w:val="center"/>
                </w:tcPr>
                <w:p w14:paraId="5F0DAF8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（1）禁止引进印染、含电镀的机械电子项目。</w:t>
                  </w:r>
                </w:p>
                <w:p w14:paraId="3B1F8755">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（2）禁止引进酿造、屠宰、原药及医药中间体等项目。</w:t>
                  </w:r>
                </w:p>
              </w:tc>
              <w:tc>
                <w:tcPr>
                  <w:tcW w:w="1520" w:type="pct"/>
                  <w:noWrap w:val="0"/>
                  <w:vAlign w:val="center"/>
                </w:tcPr>
                <w:p w14:paraId="3562CDCB">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本项目为</w:t>
                  </w:r>
                  <w:r>
                    <w:rPr>
                      <w:rFonts w:hint="default" w:ascii="Times New Roman" w:hAnsi="Times New Roman" w:eastAsia="仿宋" w:cs="Times New Roman"/>
                      <w:color w:val="auto"/>
                      <w:kern w:val="0"/>
                      <w:sz w:val="21"/>
                      <w:szCs w:val="21"/>
                      <w:lang w:eastAsia="zh-CN"/>
                    </w:rPr>
                    <w:t>C3813微特电机及组件制造</w:t>
                  </w:r>
                  <w:r>
                    <w:rPr>
                      <w:rFonts w:hint="default" w:ascii="Times New Roman" w:hAnsi="Times New Roman" w:eastAsia="仿宋" w:cs="Times New Roman"/>
                      <w:color w:val="auto"/>
                      <w:kern w:val="0"/>
                      <w:sz w:val="21"/>
                      <w:szCs w:val="21"/>
                    </w:rPr>
                    <w:t>，主要</w:t>
                  </w:r>
                  <w:r>
                    <w:rPr>
                      <w:rFonts w:hint="default" w:ascii="Times New Roman" w:hAnsi="Times New Roman" w:eastAsia="仿宋" w:cs="Times New Roman"/>
                      <w:color w:val="auto"/>
                      <w:kern w:val="0"/>
                      <w:sz w:val="21"/>
                      <w:szCs w:val="21"/>
                      <w:lang w:val="en-US" w:eastAsia="zh-CN"/>
                    </w:rPr>
                    <w:t>生产电机和驱动器</w:t>
                  </w:r>
                  <w:r>
                    <w:rPr>
                      <w:rFonts w:hint="default" w:ascii="Times New Roman" w:hAnsi="Times New Roman" w:eastAsia="仿宋" w:cs="Times New Roman"/>
                      <w:color w:val="auto"/>
                      <w:kern w:val="0"/>
                      <w:sz w:val="21"/>
                      <w:szCs w:val="21"/>
                    </w:rPr>
                    <w:t>，不属于印染、含电镀的机械电子、酿造、屠宰、原药及医药中间体等项目，</w:t>
                  </w:r>
                  <w:r>
                    <w:rPr>
                      <w:rFonts w:hint="default" w:ascii="Times New Roman" w:hAnsi="Times New Roman" w:eastAsia="仿宋" w:cs="Times New Roman"/>
                      <w:color w:val="auto"/>
                      <w:kern w:val="0"/>
                      <w:sz w:val="21"/>
                      <w:szCs w:val="21"/>
                      <w:lang w:val="en-US" w:eastAsia="zh-CN"/>
                    </w:rPr>
                    <w:t>生产</w:t>
                  </w:r>
                  <w:r>
                    <w:rPr>
                      <w:rFonts w:hint="default" w:ascii="Times New Roman" w:hAnsi="Times New Roman" w:eastAsia="仿宋" w:cs="Times New Roman"/>
                      <w:color w:val="auto"/>
                      <w:kern w:val="0"/>
                      <w:sz w:val="21"/>
                      <w:szCs w:val="21"/>
                    </w:rPr>
                    <w:t>过程中也无印染、电镀工艺。</w:t>
                  </w:r>
                </w:p>
              </w:tc>
              <w:tc>
                <w:tcPr>
                  <w:tcW w:w="506" w:type="pct"/>
                  <w:noWrap w:val="0"/>
                  <w:vAlign w:val="center"/>
                </w:tcPr>
                <w:p w14:paraId="5DC206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0C2A5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497" w:type="pct"/>
                  <w:noWrap w:val="0"/>
                  <w:vAlign w:val="center"/>
                </w:tcPr>
                <w:p w14:paraId="4A2429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污染物排放管控</w:t>
                  </w:r>
                </w:p>
              </w:tc>
              <w:tc>
                <w:tcPr>
                  <w:tcW w:w="2475" w:type="pct"/>
                  <w:noWrap w:val="0"/>
                  <w:vAlign w:val="center"/>
                </w:tcPr>
                <w:p w14:paraId="0B7E8FD7">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pacing w:val="-6"/>
                      <w:kern w:val="0"/>
                      <w:sz w:val="21"/>
                      <w:szCs w:val="21"/>
                    </w:rPr>
                  </w:pPr>
                  <w:r>
                    <w:rPr>
                      <w:rFonts w:hint="default" w:ascii="Times New Roman" w:hAnsi="Times New Roman" w:eastAsia="仿宋" w:cs="Times New Roman"/>
                      <w:color w:val="auto"/>
                      <w:spacing w:val="-6"/>
                      <w:kern w:val="0"/>
                      <w:sz w:val="21"/>
                      <w:szCs w:val="21"/>
                    </w:rPr>
                    <w:t>（1）严格实施污染物总量控制制度，根据区域环境质量改善目标，采取有效措施减少主要污染物排放总量，确保区域环境质量持续改善。</w:t>
                  </w:r>
                </w:p>
                <w:p w14:paraId="2EFF122C">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（2）园区污染物排放总量不得突破环评报告及批复的总量。</w:t>
                  </w:r>
                </w:p>
              </w:tc>
              <w:tc>
                <w:tcPr>
                  <w:tcW w:w="1520" w:type="pct"/>
                  <w:noWrap w:val="0"/>
                  <w:vAlign w:val="center"/>
                </w:tcPr>
                <w:p w14:paraId="12546DD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本项目类型及其选址、布局、规模等符合环境保护法律法规和相关法定规划，废水中各污染物总量在区域内平衡。</w:t>
                  </w:r>
                </w:p>
              </w:tc>
              <w:tc>
                <w:tcPr>
                  <w:tcW w:w="506" w:type="pct"/>
                  <w:noWrap w:val="0"/>
                  <w:vAlign w:val="center"/>
                </w:tcPr>
                <w:p w14:paraId="72F4794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07B66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7" w:type="pct"/>
                  <w:noWrap w:val="0"/>
                  <w:vAlign w:val="center"/>
                </w:tcPr>
                <w:p w14:paraId="1A93F1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环境风险防控</w:t>
                  </w:r>
                </w:p>
              </w:tc>
              <w:tc>
                <w:tcPr>
                  <w:tcW w:w="2475" w:type="pct"/>
                  <w:noWrap w:val="0"/>
                  <w:vAlign w:val="center"/>
                </w:tcPr>
                <w:p w14:paraId="5BE88505">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（1）园区建立环境应急体系，完善事故应急救援体系，加强应急物资装备储备，编制突发环境事件应急预案，定期开展演练。</w:t>
                  </w:r>
                </w:p>
                <w:p w14:paraId="2F28F9D4">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（2）生产、使用、储存危险化学品或其他存在环境风险的企事业单位，应当制定风险防范措施，编制完善突发环境事件应急预案，防止发生环境污染事故。</w:t>
                  </w:r>
                </w:p>
                <w:p w14:paraId="4DB007A7">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（3）加强环境影响跟踪监测，建立健全各环境要素监控体系，完善并落实园区日常环境监测与污染源监控计划。</w:t>
                  </w:r>
                </w:p>
              </w:tc>
              <w:tc>
                <w:tcPr>
                  <w:tcW w:w="1520" w:type="pct"/>
                  <w:noWrap w:val="0"/>
                  <w:vAlign w:val="center"/>
                </w:tcPr>
                <w:p w14:paraId="2625F27A">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本项目建成后需按要求编制《突发环境事件应急预案及风险评估报告》，积极与区域应急体系联动</w:t>
                  </w:r>
                  <w:r>
                    <w:rPr>
                      <w:rFonts w:hint="default" w:ascii="Times New Roman" w:hAnsi="Times New Roman" w:eastAsia="仿宋" w:cs="Times New Roman"/>
                      <w:color w:val="auto"/>
                      <w:sz w:val="21"/>
                      <w:szCs w:val="21"/>
                      <w:lang w:eastAsia="zh-CN"/>
                    </w:rPr>
                    <w:t>。</w:t>
                  </w:r>
                </w:p>
              </w:tc>
              <w:tc>
                <w:tcPr>
                  <w:tcW w:w="506" w:type="pct"/>
                  <w:noWrap w:val="0"/>
                  <w:vAlign w:val="center"/>
                </w:tcPr>
                <w:p w14:paraId="26C55D7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05498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97" w:type="pct"/>
                  <w:noWrap w:val="0"/>
                  <w:vAlign w:val="center"/>
                </w:tcPr>
                <w:p w14:paraId="3C94CA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资源开发效率要求</w:t>
                  </w:r>
                </w:p>
              </w:tc>
              <w:tc>
                <w:tcPr>
                  <w:tcW w:w="2475" w:type="pct"/>
                  <w:noWrap w:val="0"/>
                  <w:vAlign w:val="center"/>
                </w:tcPr>
                <w:p w14:paraId="1358C6AD">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（1）大力倡导使用清洁能源。</w:t>
                  </w:r>
                </w:p>
                <w:p w14:paraId="30891E16">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（2）提升废水资源化技术，提高水资源回用率。</w:t>
                  </w:r>
                </w:p>
                <w:p w14:paraId="2FD52CEE">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kern w:val="0"/>
                      <w:sz w:val="21"/>
                      <w:szCs w:val="21"/>
                    </w:rPr>
                    <w:t>（3）禁止销售使用燃料为“III类”（严格），具体包括：1、煤炭及其制品（包括原煤、散煤、煤矸石、煤泥、煤粉、水煤浆、型煤、焦炭、兰炭等）；2、石油焦、油页岩、原油、重油、渣油、煤焦油；3、非专用锅炉或未配置高效除尘设施的专用锅炉燃用的生物质成型燃料；4、国家规定的其它高污染燃料。</w:t>
                  </w:r>
                </w:p>
              </w:tc>
              <w:tc>
                <w:tcPr>
                  <w:tcW w:w="1520" w:type="pct"/>
                  <w:noWrap w:val="0"/>
                  <w:vAlign w:val="center"/>
                </w:tcPr>
                <w:p w14:paraId="23617D2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本项目使用电能，为清洁能源；</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rPr>
                    <w:t>过程中仅有生活污水排放；不销售使用高污染燃料</w:t>
                  </w:r>
                  <w:r>
                    <w:rPr>
                      <w:rFonts w:hint="default" w:ascii="Times New Roman" w:hAnsi="Times New Roman" w:eastAsia="仿宋" w:cs="Times New Roman"/>
                      <w:color w:val="auto"/>
                      <w:sz w:val="21"/>
                      <w:szCs w:val="21"/>
                      <w:lang w:eastAsia="zh-CN"/>
                    </w:rPr>
                    <w:t>。</w:t>
                  </w:r>
                </w:p>
              </w:tc>
              <w:tc>
                <w:tcPr>
                  <w:tcW w:w="506" w:type="pct"/>
                  <w:noWrap w:val="0"/>
                  <w:vAlign w:val="center"/>
                </w:tcPr>
                <w:p w14:paraId="6BC3038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43A7D1DB">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w:t>
            </w:r>
            <w:r>
              <w:rPr>
                <w:rFonts w:hint="default" w:ascii="Times New Roman" w:hAnsi="Times New Roman" w:eastAsia="仿宋" w:cs="Times New Roman"/>
                <w:b/>
                <w:bCs/>
                <w:color w:val="auto"/>
                <w:kern w:val="0"/>
                <w:sz w:val="24"/>
                <w:szCs w:val="24"/>
                <w:lang w:eastAsia="zh-CN"/>
              </w:rPr>
              <w:t>《</w:t>
            </w:r>
            <w:r>
              <w:rPr>
                <w:rFonts w:hint="default" w:ascii="Times New Roman" w:hAnsi="Times New Roman" w:eastAsia="仿宋" w:cs="Times New Roman"/>
                <w:b/>
                <w:bCs/>
                <w:color w:val="auto"/>
                <w:kern w:val="0"/>
                <w:sz w:val="24"/>
                <w:szCs w:val="24"/>
                <w:lang w:val="en-US" w:eastAsia="zh-CN"/>
              </w:rPr>
              <w:t>江苏省国土空间规划（2021~2035年）</w:t>
            </w:r>
            <w:r>
              <w:rPr>
                <w:rFonts w:hint="default" w:ascii="Times New Roman" w:hAnsi="Times New Roman" w:eastAsia="仿宋" w:cs="Times New Roman"/>
                <w:b/>
                <w:bCs/>
                <w:color w:val="auto"/>
                <w:kern w:val="0"/>
                <w:sz w:val="24"/>
                <w:szCs w:val="24"/>
                <w:lang w:eastAsia="zh-CN"/>
              </w:rPr>
              <w:t>》</w:t>
            </w:r>
            <w:r>
              <w:rPr>
                <w:rFonts w:hint="default" w:ascii="Times New Roman" w:hAnsi="Times New Roman" w:eastAsia="仿宋" w:cs="Times New Roman"/>
                <w:b/>
                <w:bCs/>
                <w:color w:val="auto"/>
                <w:kern w:val="0"/>
                <w:sz w:val="24"/>
                <w:szCs w:val="24"/>
              </w:rPr>
              <w:t>的相符性分析</w:t>
            </w:r>
          </w:p>
          <w:p w14:paraId="6EFB5A35">
            <w:pPr>
              <w:keepNext w:val="0"/>
              <w:keepLines w:val="0"/>
              <w:pageBreakBefore w:val="0"/>
              <w:widowControl w:val="0"/>
              <w:kinsoku/>
              <w:wordWrap/>
              <w:overflowPunct/>
              <w:topLinePunct w:val="0"/>
              <w:autoSpaceDE w:val="0"/>
              <w:autoSpaceDN w:val="0"/>
              <w:bidi w:val="0"/>
              <w:adjustRightInd w:val="0"/>
              <w:snapToGrid w:val="0"/>
              <w:spacing w:line="480" w:lineRule="exact"/>
              <w:ind w:firstLine="480" w:firstLineChars="200"/>
              <w:textAlignment w:val="auto"/>
              <w:rPr>
                <w:rFonts w:hint="default" w:ascii="Times New Roman" w:hAnsi="Times New Roman" w:eastAsia="仿宋" w:cs="Times New Roman"/>
                <w:b w:val="0"/>
                <w:bCs w:val="0"/>
                <w:color w:val="auto"/>
                <w:kern w:val="0"/>
                <w:sz w:val="24"/>
                <w:szCs w:val="24"/>
                <w:lang w:val="en-US" w:eastAsia="zh-CN"/>
              </w:rPr>
            </w:pPr>
            <w:r>
              <w:rPr>
                <w:rFonts w:hint="default" w:ascii="Times New Roman" w:hAnsi="Times New Roman" w:eastAsia="仿宋" w:cs="Times New Roman"/>
                <w:b w:val="0"/>
                <w:bCs w:val="0"/>
                <w:color w:val="auto"/>
                <w:kern w:val="0"/>
                <w:sz w:val="24"/>
                <w:szCs w:val="24"/>
                <w:lang w:val="en-US" w:eastAsia="zh-CN"/>
              </w:rPr>
              <w:t>根据《江苏省国土空间规划（2021</w:t>
            </w:r>
            <w:r>
              <w:rPr>
                <w:rFonts w:hint="eastAsia" w:eastAsia="仿宋" w:cs="Times New Roman"/>
                <w:b w:val="0"/>
                <w:bCs w:val="0"/>
                <w:color w:val="auto"/>
                <w:kern w:val="0"/>
                <w:sz w:val="24"/>
                <w:szCs w:val="24"/>
                <w:lang w:val="en-US" w:eastAsia="zh-CN"/>
              </w:rPr>
              <w:t>-</w:t>
            </w:r>
            <w:r>
              <w:rPr>
                <w:rFonts w:hint="default" w:ascii="Times New Roman" w:hAnsi="Times New Roman" w:eastAsia="仿宋" w:cs="Times New Roman"/>
                <w:b w:val="0"/>
                <w:bCs w:val="0"/>
                <w:color w:val="auto"/>
                <w:kern w:val="0"/>
                <w:sz w:val="24"/>
                <w:szCs w:val="24"/>
                <w:lang w:val="en-US" w:eastAsia="zh-CN"/>
              </w:rPr>
              <w:t>2035年）》及批复（国函[2023]69号），本项目相符性分析如下：</w:t>
            </w:r>
          </w:p>
          <w:p w14:paraId="3CFD75C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8</w:t>
            </w:r>
            <w:r>
              <w:rPr>
                <w:rFonts w:hint="default" w:ascii="Times New Roman" w:hAnsi="Times New Roman" w:eastAsia="仿宋" w:cs="Times New Roman"/>
                <w:b/>
                <w:bCs/>
                <w:color w:val="auto"/>
                <w:sz w:val="21"/>
                <w:szCs w:val="21"/>
              </w:rPr>
              <w:t xml:space="preserve">  本项目</w:t>
            </w:r>
            <w:r>
              <w:rPr>
                <w:rFonts w:hint="default" w:ascii="Times New Roman" w:hAnsi="Times New Roman" w:eastAsia="仿宋" w:cs="Times New Roman"/>
                <w:b/>
                <w:bCs/>
                <w:color w:val="auto"/>
                <w:sz w:val="21"/>
                <w:szCs w:val="21"/>
                <w:lang w:val="en-US" w:eastAsia="zh-CN"/>
              </w:rPr>
              <w:t>与《江苏省国土空间规划（2021</w:t>
            </w:r>
            <w:r>
              <w:rPr>
                <w:rFonts w:hint="eastAsia" w:eastAsia="仿宋" w:cs="Times New Roman"/>
                <w:b/>
                <w:bCs/>
                <w:color w:val="auto"/>
                <w:sz w:val="21"/>
                <w:szCs w:val="21"/>
                <w:lang w:val="en-US" w:eastAsia="zh-CN"/>
              </w:rPr>
              <w:t>-</w:t>
            </w:r>
            <w:r>
              <w:rPr>
                <w:rFonts w:hint="default" w:ascii="Times New Roman" w:hAnsi="Times New Roman" w:eastAsia="仿宋" w:cs="Times New Roman"/>
                <w:b/>
                <w:bCs/>
                <w:color w:val="auto"/>
                <w:sz w:val="21"/>
                <w:szCs w:val="21"/>
                <w:lang w:val="en-US" w:eastAsia="zh-CN"/>
              </w:rPr>
              <w:t>2035年）》及批复的</w:t>
            </w:r>
            <w:r>
              <w:rPr>
                <w:rFonts w:hint="default" w:ascii="Times New Roman" w:hAnsi="Times New Roman" w:eastAsia="仿宋" w:cs="Times New Roman"/>
                <w:b/>
                <w:bCs/>
                <w:color w:val="auto"/>
                <w:sz w:val="21"/>
                <w:szCs w:val="21"/>
              </w:rPr>
              <w:t>相符性分析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23"/>
              <w:gridCol w:w="4863"/>
              <w:gridCol w:w="1598"/>
              <w:gridCol w:w="761"/>
            </w:tblGrid>
            <w:tr w14:paraId="51298E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201" w:hRule="atLeast"/>
              </w:trPr>
              <w:tc>
                <w:tcPr>
                  <w:tcW w:w="3569" w:type="pct"/>
                  <w:gridSpan w:val="2"/>
                  <w:noWrap w:val="0"/>
                  <w:vAlign w:val="center"/>
                </w:tcPr>
                <w:p w14:paraId="0B0A9A36">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文件</w:t>
                  </w:r>
                  <w:r>
                    <w:rPr>
                      <w:rFonts w:hint="default" w:ascii="Times New Roman" w:hAnsi="Times New Roman" w:eastAsia="仿宋" w:cs="Times New Roman"/>
                      <w:b/>
                      <w:color w:val="auto"/>
                      <w:sz w:val="21"/>
                      <w:szCs w:val="21"/>
                    </w:rPr>
                    <w:t>要求</w:t>
                  </w:r>
                </w:p>
              </w:tc>
              <w:tc>
                <w:tcPr>
                  <w:tcW w:w="969" w:type="pct"/>
                  <w:noWrap w:val="0"/>
                  <w:vAlign w:val="center"/>
                </w:tcPr>
                <w:p w14:paraId="5D778A8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本项目情况</w:t>
                  </w:r>
                </w:p>
              </w:tc>
              <w:tc>
                <w:tcPr>
                  <w:tcW w:w="461" w:type="pct"/>
                  <w:noWrap w:val="0"/>
                  <w:vAlign w:val="center"/>
                </w:tcPr>
                <w:p w14:paraId="1F3633D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w:t>
                  </w:r>
                </w:p>
              </w:tc>
            </w:tr>
            <w:tr w14:paraId="4BC925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restart"/>
                  <w:tcBorders>
                    <w:right w:val="single" w:color="auto" w:sz="4" w:space="0"/>
                  </w:tcBorders>
                  <w:noWrap w:val="0"/>
                  <w:vAlign w:val="center"/>
                </w:tcPr>
                <w:p w14:paraId="1ABD9A8F">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基本原则</w:t>
                  </w:r>
                </w:p>
              </w:tc>
              <w:tc>
                <w:tcPr>
                  <w:tcW w:w="2949" w:type="pct"/>
                  <w:tcBorders>
                    <w:left w:val="single" w:color="auto" w:sz="4" w:space="0"/>
                  </w:tcBorders>
                  <w:noWrap w:val="0"/>
                  <w:vAlign w:val="center"/>
                </w:tcPr>
                <w:p w14:paraId="19DA64F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lang w:val="en-US" w:eastAsia="zh-CN"/>
                    </w:rPr>
                    <w:t>加强底线管控。</w:t>
                  </w:r>
                  <w:r>
                    <w:rPr>
                      <w:rFonts w:hint="default" w:ascii="Times New Roman" w:hAnsi="Times New Roman" w:eastAsia="仿宋" w:cs="Times New Roman"/>
                      <w:color w:val="auto"/>
                      <w:sz w:val="21"/>
                      <w:szCs w:val="21"/>
                      <w:lang w:val="en-US" w:eastAsia="zh-CN"/>
                    </w:rPr>
                    <w:t>树立底线思维，坚持耕地保护优先，守住自然生态安全边界，筑牢国土空间安全底线。推进国土空间综合整治与生态修复，优化重大基础设施、重大生产力和公共资源布局，提升区域资源环境综合承载能力，强化灾害源头管控，增强空间韧性。</w:t>
                  </w:r>
                </w:p>
              </w:tc>
              <w:tc>
                <w:tcPr>
                  <w:tcW w:w="969" w:type="pct"/>
                  <w:vMerge w:val="restart"/>
                  <w:noWrap w:val="0"/>
                  <w:vAlign w:val="center"/>
                </w:tcPr>
                <w:p w14:paraId="4795B2A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本项目位于江苏武进经济开发区西湖街道长秀路8号（坤鼎常州创新产业基地9幢），距离本项目最近的国家级生态保护红线区域为武进滆湖省级湿地公园，位于项目南侧4.8km处；本项目位于市域城镇空间内的中心城区（武进），属于城镇发展区，不在生态保护红线区、永久基本农田保护区内；对照《江苏武进经济开发区产业发展规划（2020-2030年）》，项目用地性质为工业用地，符合国土规划三区三线相关要求。</w:t>
                  </w:r>
                </w:p>
              </w:tc>
              <w:tc>
                <w:tcPr>
                  <w:tcW w:w="461" w:type="pct"/>
                  <w:vMerge w:val="restart"/>
                  <w:noWrap w:val="0"/>
                  <w:vAlign w:val="center"/>
                </w:tcPr>
                <w:p w14:paraId="7485635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相符</w:t>
                  </w:r>
                </w:p>
              </w:tc>
            </w:tr>
            <w:tr w14:paraId="6F10C38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4062921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45DC1CE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lang w:val="en-US" w:eastAsia="zh-CN"/>
                    </w:rPr>
                    <w:t>强化空间统筹。</w:t>
                  </w:r>
                  <w:r>
                    <w:rPr>
                      <w:rFonts w:hint="default" w:ascii="Times New Roman" w:hAnsi="Times New Roman" w:eastAsia="仿宋" w:cs="Times New Roman"/>
                      <w:color w:val="auto"/>
                      <w:sz w:val="21"/>
                      <w:szCs w:val="21"/>
                      <w:lang w:val="en-US" w:eastAsia="zh-CN"/>
                    </w:rPr>
                    <w:t>实施主体功能区战略，统筹布局农业、生态和城镇空间。落实多重国家战略，发挥各地区比较优势，引导城镇、产业与交通协同布局，统筹沿江沿海沿河沿湖地区空间开发利用，以江海河湖联动促进省域一体化发展。</w:t>
                  </w:r>
                </w:p>
              </w:tc>
              <w:tc>
                <w:tcPr>
                  <w:tcW w:w="969" w:type="pct"/>
                  <w:vMerge w:val="continue"/>
                  <w:noWrap w:val="0"/>
                  <w:vAlign w:val="center"/>
                </w:tcPr>
                <w:p w14:paraId="228FAFA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5744C68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1DC2B9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48219A1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4FF22170">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促进高效集约。</w:t>
                  </w:r>
                  <w:r>
                    <w:rPr>
                      <w:rFonts w:hint="default" w:ascii="Times New Roman" w:hAnsi="Times New Roman" w:eastAsia="仿宋" w:cs="Times New Roman"/>
                      <w:color w:val="auto"/>
                      <w:sz w:val="21"/>
                      <w:szCs w:val="21"/>
                      <w:lang w:val="en-US" w:eastAsia="zh-CN"/>
                    </w:rPr>
                    <w:t>量质并重，全面实施资源利用总量和强度控制，更加注重存量资源盘活利用，形成以资源环境承载能力上限约束为导向的资源集约利用方式。引导资源要素向都市圈等经济发展优势区域集聚，推动资源集约高效利用。</w:t>
                  </w:r>
                </w:p>
              </w:tc>
              <w:tc>
                <w:tcPr>
                  <w:tcW w:w="969" w:type="pct"/>
                  <w:vMerge w:val="continue"/>
                  <w:noWrap w:val="0"/>
                  <w:vAlign w:val="center"/>
                </w:tcPr>
                <w:p w14:paraId="4FE61EA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4576A97D">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4A26AFD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74533802">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671519E3">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提升空间品质。</w:t>
                  </w:r>
                  <w:r>
                    <w:rPr>
                      <w:rFonts w:hint="default" w:ascii="Times New Roman" w:hAnsi="Times New Roman" w:eastAsia="仿宋" w:cs="Times New Roman"/>
                      <w:color w:val="auto"/>
                      <w:sz w:val="21"/>
                      <w:szCs w:val="21"/>
                      <w:lang w:val="en-US" w:eastAsia="zh-CN"/>
                    </w:rPr>
                    <w:t>提升现代化基础设施和公共服务设施的空间保障质量，传承南秀北雄的文化特质，整体保护具有“水韵江苏”特色的历史文化遗产和自然景观环境，塑造宜居宜业的空间格局。</w:t>
                  </w:r>
                </w:p>
              </w:tc>
              <w:tc>
                <w:tcPr>
                  <w:tcW w:w="969" w:type="pct"/>
                  <w:vMerge w:val="continue"/>
                  <w:noWrap w:val="0"/>
                  <w:vAlign w:val="center"/>
                </w:tcPr>
                <w:p w14:paraId="531A8170">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2723AE18">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4A2DD9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6C95907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61509A6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完善协同治理。</w:t>
                  </w:r>
                  <w:r>
                    <w:rPr>
                      <w:rFonts w:hint="default" w:ascii="Times New Roman" w:hAnsi="Times New Roman" w:eastAsia="仿宋" w:cs="Times New Roman"/>
                      <w:color w:val="auto"/>
                      <w:sz w:val="21"/>
                      <w:szCs w:val="21"/>
                      <w:lang w:val="en-US" w:eastAsia="zh-CN"/>
                    </w:rPr>
                    <w:t>强化规划战略、指标和边界的纵向和横向传导，加强国土空间规划全流程管理，健全节约集约用地制度，完善全域全要素的国土空间用途管制，实现都市圈与中心城市、区域与流域、江海河湖国土空间整体协同治理。</w:t>
                  </w:r>
                </w:p>
              </w:tc>
              <w:tc>
                <w:tcPr>
                  <w:tcW w:w="969" w:type="pct"/>
                  <w:vMerge w:val="continue"/>
                  <w:noWrap w:val="0"/>
                  <w:vAlign w:val="center"/>
                </w:tcPr>
                <w:p w14:paraId="2AB96430">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1F30B0B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1F23C48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restart"/>
                  <w:tcBorders>
                    <w:right w:val="single" w:color="auto" w:sz="4" w:space="0"/>
                  </w:tcBorders>
                  <w:noWrap w:val="0"/>
                  <w:vAlign w:val="center"/>
                </w:tcPr>
                <w:p w14:paraId="616FD03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战略目标和任务</w:t>
                  </w:r>
                </w:p>
              </w:tc>
              <w:tc>
                <w:tcPr>
                  <w:tcW w:w="2949" w:type="pct"/>
                  <w:tcBorders>
                    <w:left w:val="single" w:color="auto" w:sz="4" w:space="0"/>
                  </w:tcBorders>
                  <w:noWrap w:val="0"/>
                  <w:vAlign w:val="center"/>
                </w:tcPr>
                <w:p w14:paraId="3DBAE078">
                  <w:pPr>
                    <w:keepNext w:val="0"/>
                    <w:keepLines w:val="0"/>
                    <w:pageBreakBefore w:val="0"/>
                    <w:widowControl w:val="0"/>
                    <w:kinsoku/>
                    <w:wordWrap/>
                    <w:overflowPunct/>
                    <w:topLinePunct w:val="0"/>
                    <w:autoSpaceDE/>
                    <w:autoSpaceDN/>
                    <w:bidi w:val="0"/>
                    <w:adjustRightInd/>
                    <w:snapToGrid w:val="0"/>
                    <w:spacing w:line="30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严格保护农业和生态空间，国土空间安全格局更为稳固。</w:t>
                  </w:r>
                  <w:r>
                    <w:rPr>
                      <w:rFonts w:hint="default" w:ascii="Times New Roman" w:hAnsi="Times New Roman" w:eastAsia="仿宋" w:cs="Times New Roman"/>
                      <w:color w:val="auto"/>
                      <w:sz w:val="21"/>
                      <w:szCs w:val="21"/>
                      <w:lang w:val="en-US" w:eastAsia="zh-CN"/>
                    </w:rPr>
                    <w:t>落实最严格的耕地保护制度、最严格的生态环境保护制度、最严格的节约用地制度和最严格的水资源管理制度，坚持耕地保护优先序。确保可以长期稳定利用的耕地不减少，实现耕地和永久基本农田面积不减少、质量有提升、布局总体稳定，建成集约、绿色、高效的农业空间，增强粮食安全保障能力。严守生态保护红线，积极推进受损生态空间的生态保护修复，增强生态系统完整性和连通性。</w:t>
                  </w:r>
                </w:p>
              </w:tc>
              <w:tc>
                <w:tcPr>
                  <w:tcW w:w="969" w:type="pct"/>
                  <w:vMerge w:val="continue"/>
                  <w:noWrap w:val="0"/>
                  <w:vAlign w:val="center"/>
                </w:tcPr>
                <w:p w14:paraId="41F2372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kern w:val="2"/>
                      <w:sz w:val="21"/>
                      <w:szCs w:val="21"/>
                      <w:lang w:val="en-US" w:eastAsia="zh-CN" w:bidi="ar-SA"/>
                    </w:rPr>
                  </w:pPr>
                </w:p>
              </w:tc>
              <w:tc>
                <w:tcPr>
                  <w:tcW w:w="461" w:type="pct"/>
                  <w:vMerge w:val="restart"/>
                  <w:noWrap w:val="0"/>
                  <w:vAlign w:val="center"/>
                </w:tcPr>
                <w:p w14:paraId="108CE68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相符</w:t>
                  </w:r>
                </w:p>
              </w:tc>
            </w:tr>
            <w:tr w14:paraId="308EFA7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6FF6FFC0">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64764AB2">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推动国土空间紧凑布局，促进国土集约高效利用。</w:t>
                  </w:r>
                  <w:r>
                    <w:rPr>
                      <w:rFonts w:hint="default" w:ascii="Times New Roman" w:hAnsi="Times New Roman" w:eastAsia="仿宋" w:cs="Times New Roman"/>
                      <w:color w:val="auto"/>
                      <w:sz w:val="21"/>
                      <w:szCs w:val="21"/>
                      <w:lang w:val="en-US" w:eastAsia="zh-CN"/>
                    </w:rPr>
                    <w:t>更大力度推进全省区域协调发展，深入实施新型城镇化战略，全面优化区域互补、跨江融合、南北联动的融合发展格局，构建带圈集聚、腹地开敞的国土空间新格局。加强基础设施和公共服务设施用地供给，建设内通外联的综合立体交通网，加强水利基础设施</w:t>
                  </w:r>
                </w:p>
                <w:p w14:paraId="407D45D7">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建设，完善能源资源布局，促进国土空间有序开发和集约高效利用，实现区域与城乡建设用地结构性减量。</w:t>
                  </w:r>
                </w:p>
              </w:tc>
              <w:tc>
                <w:tcPr>
                  <w:tcW w:w="969" w:type="pct"/>
                  <w:vMerge w:val="continue"/>
                  <w:noWrap w:val="0"/>
                  <w:vAlign w:val="center"/>
                </w:tcPr>
                <w:p w14:paraId="61D1220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2E86011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2C917F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47AA462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582509E5">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提升陆海统筹水平，向海发展实现新突破。</w:t>
                  </w:r>
                  <w:r>
                    <w:rPr>
                      <w:rFonts w:hint="default" w:ascii="Times New Roman" w:hAnsi="Times New Roman" w:eastAsia="仿宋" w:cs="Times New Roman"/>
                      <w:color w:val="auto"/>
                      <w:sz w:val="21"/>
                      <w:szCs w:val="21"/>
                      <w:lang w:val="en-US" w:eastAsia="zh-CN"/>
                    </w:rPr>
                    <w:t>现代海洋经济发展空间不断拓展，构建以滨海湿地和农田景观为主，城镇和港口点状分布，河流和道路网贯穿其中的陆海交互区国土空间统筹新格局；沿海地区基本形成现代产业体系，海洋经济综合实力和竞争力显著提升，成为全国海洋综合实力较强地区；持续推进海岸线综合整治和生态修复，提升海洋生态空间总体质量水平，实现海洋综合效益提升，发挥海洋“蓝碳”碳汇功能。</w:t>
                  </w:r>
                </w:p>
              </w:tc>
              <w:tc>
                <w:tcPr>
                  <w:tcW w:w="969" w:type="pct"/>
                  <w:vMerge w:val="continue"/>
                  <w:noWrap w:val="0"/>
                  <w:vAlign w:val="center"/>
                </w:tcPr>
                <w:p w14:paraId="72583B8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26D789B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3D9D95F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24F33016">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56CC71BC">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整体保护与高效利用资源，利用效率大幅提升。</w:t>
                  </w:r>
                  <w:r>
                    <w:rPr>
                      <w:rFonts w:hint="default" w:ascii="Times New Roman" w:hAnsi="Times New Roman" w:eastAsia="仿宋" w:cs="Times New Roman"/>
                      <w:color w:val="auto"/>
                      <w:sz w:val="21"/>
                      <w:szCs w:val="21"/>
                      <w:lang w:val="en-US" w:eastAsia="zh-CN"/>
                    </w:rPr>
                    <w:t>科学配置水资源，提高流域和区域水资源统筹调配能力，促进水土关系协调；加强森林资源系统保护与综合利用，增加森林碳汇；加强河湖水域及岸线的保护和集约节约利用；全面保护湿地资源，规范湿地用途管制；强化矿产资源保护与高效利用，推进矿地融合发展。</w:t>
                  </w:r>
                </w:p>
              </w:tc>
              <w:tc>
                <w:tcPr>
                  <w:tcW w:w="969" w:type="pct"/>
                  <w:vMerge w:val="continue"/>
                  <w:noWrap w:val="0"/>
                  <w:vAlign w:val="center"/>
                </w:tcPr>
                <w:p w14:paraId="37D0CE2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16959E9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r w14:paraId="376F6F9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620" w:type="pct"/>
                  <w:vMerge w:val="continue"/>
                  <w:tcBorders>
                    <w:right w:val="single" w:color="auto" w:sz="4" w:space="0"/>
                  </w:tcBorders>
                  <w:noWrap w:val="0"/>
                  <w:vAlign w:val="center"/>
                </w:tcPr>
                <w:p w14:paraId="2292BE2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2949" w:type="pct"/>
                  <w:tcBorders>
                    <w:left w:val="single" w:color="auto" w:sz="4" w:space="0"/>
                  </w:tcBorders>
                  <w:noWrap w:val="0"/>
                  <w:vAlign w:val="center"/>
                </w:tcPr>
                <w:p w14:paraId="499F5343">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
                      <w:bCs/>
                      <w:color w:val="auto"/>
                      <w:sz w:val="21"/>
                      <w:szCs w:val="21"/>
                      <w:lang w:val="en-US" w:eastAsia="zh-CN"/>
                    </w:rPr>
                    <w:t>健全国土空间开发保护制度，实现高效能治理国土空间。</w:t>
                  </w:r>
                  <w:r>
                    <w:rPr>
                      <w:rFonts w:hint="default" w:ascii="Times New Roman" w:hAnsi="Times New Roman" w:eastAsia="仿宋" w:cs="Times New Roman"/>
                      <w:color w:val="auto"/>
                      <w:sz w:val="21"/>
                      <w:szCs w:val="21"/>
                      <w:lang w:val="en-US" w:eastAsia="zh-CN"/>
                    </w:rPr>
                    <w:t>用途管制制度基本建立，空间规划体系不断完善，资源节约集约水平有效提升；国土空间开发保护制度更加完善，实现国土空间治理能力现代化。</w:t>
                  </w:r>
                </w:p>
              </w:tc>
              <w:tc>
                <w:tcPr>
                  <w:tcW w:w="969" w:type="pct"/>
                  <w:vMerge w:val="continue"/>
                  <w:noWrap w:val="0"/>
                  <w:vAlign w:val="center"/>
                </w:tcPr>
                <w:p w14:paraId="5161D74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c>
                <w:tcPr>
                  <w:tcW w:w="461" w:type="pct"/>
                  <w:vMerge w:val="continue"/>
                  <w:noWrap w:val="0"/>
                  <w:vAlign w:val="center"/>
                </w:tcPr>
                <w:p w14:paraId="42B4E2F1">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z w:val="21"/>
                      <w:szCs w:val="21"/>
                    </w:rPr>
                  </w:pPr>
                </w:p>
              </w:tc>
            </w:tr>
          </w:tbl>
          <w:p w14:paraId="78BE0391">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与法律法规政策的相符性分析</w:t>
            </w:r>
            <w:bookmarkStart w:id="16" w:name="_GoBack"/>
            <w:bookmarkEnd w:id="16"/>
          </w:p>
          <w:p w14:paraId="4A5D7C5F">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1、本项目与各环保政策的相符性分析</w:t>
            </w:r>
          </w:p>
          <w:p w14:paraId="4689EF7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表1-</w:t>
            </w:r>
            <w:r>
              <w:rPr>
                <w:rFonts w:hint="default" w:ascii="Times New Roman" w:hAnsi="Times New Roman" w:eastAsia="仿宋" w:cs="Times New Roman"/>
                <w:b/>
                <w:bCs/>
                <w:color w:val="auto"/>
                <w:sz w:val="21"/>
                <w:szCs w:val="21"/>
                <w:lang w:val="en-US" w:eastAsia="zh-CN"/>
              </w:rPr>
              <w:t>9</w:t>
            </w:r>
            <w:r>
              <w:rPr>
                <w:rFonts w:hint="default" w:ascii="Times New Roman" w:hAnsi="Times New Roman" w:eastAsia="仿宋" w:cs="Times New Roman"/>
                <w:b/>
                <w:bCs/>
                <w:color w:val="auto"/>
                <w:sz w:val="21"/>
                <w:szCs w:val="21"/>
              </w:rPr>
              <w:t xml:space="preserve">  本项目</w:t>
            </w:r>
            <w:r>
              <w:rPr>
                <w:rFonts w:hint="default" w:ascii="Times New Roman" w:hAnsi="Times New Roman" w:eastAsia="仿宋" w:cs="Times New Roman"/>
                <w:b/>
                <w:bCs/>
                <w:color w:val="auto"/>
                <w:sz w:val="21"/>
                <w:szCs w:val="21"/>
                <w:lang w:val="en-US" w:eastAsia="zh-CN"/>
              </w:rPr>
              <w:t>与</w:t>
            </w:r>
            <w:r>
              <w:rPr>
                <w:rFonts w:hint="default" w:ascii="Times New Roman" w:hAnsi="Times New Roman" w:eastAsia="仿宋" w:cs="Times New Roman"/>
                <w:b/>
                <w:bCs/>
                <w:color w:val="auto"/>
                <w:sz w:val="21"/>
                <w:szCs w:val="21"/>
              </w:rPr>
              <w:t>环保政策相符性分析</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86"/>
              <w:gridCol w:w="1520"/>
              <w:gridCol w:w="2649"/>
              <w:gridCol w:w="1864"/>
              <w:gridCol w:w="826"/>
            </w:tblGrid>
            <w:tr w14:paraId="4E59D2A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1" w:hRule="atLeast"/>
              </w:trPr>
              <w:tc>
                <w:tcPr>
                  <w:tcW w:w="840" w:type="pct"/>
                  <w:noWrap w:val="0"/>
                  <w:vAlign w:val="center"/>
                </w:tcPr>
                <w:p w14:paraId="57F711E8">
                  <w:pPr>
                    <w:snapToGrid w:val="0"/>
                    <w:spacing w:line="26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文件名称</w:t>
                  </w:r>
                </w:p>
              </w:tc>
              <w:tc>
                <w:tcPr>
                  <w:tcW w:w="2528" w:type="pct"/>
                  <w:gridSpan w:val="2"/>
                  <w:noWrap w:val="0"/>
                  <w:vAlign w:val="center"/>
                </w:tcPr>
                <w:p w14:paraId="2EE35C25">
                  <w:pPr>
                    <w:snapToGrid w:val="0"/>
                    <w:spacing w:line="26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要求</w:t>
                  </w:r>
                </w:p>
              </w:tc>
              <w:tc>
                <w:tcPr>
                  <w:tcW w:w="1130" w:type="pct"/>
                  <w:noWrap w:val="0"/>
                  <w:vAlign w:val="center"/>
                </w:tcPr>
                <w:p w14:paraId="7F05AE23">
                  <w:pPr>
                    <w:snapToGrid w:val="0"/>
                    <w:spacing w:line="26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本项目情况</w:t>
                  </w:r>
                </w:p>
              </w:tc>
              <w:tc>
                <w:tcPr>
                  <w:tcW w:w="500" w:type="pct"/>
                  <w:noWrap w:val="0"/>
                  <w:vAlign w:val="center"/>
                </w:tcPr>
                <w:p w14:paraId="2C748E13">
                  <w:pPr>
                    <w:snapToGrid w:val="0"/>
                    <w:spacing w:line="26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w:t>
                  </w:r>
                </w:p>
              </w:tc>
            </w:tr>
            <w:tr w14:paraId="700BA5B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0" w:type="pct"/>
                  <w:vMerge w:val="restart"/>
                  <w:noWrap w:val="0"/>
                  <w:vAlign w:val="center"/>
                </w:tcPr>
                <w:p w14:paraId="12231F5A">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《太湖流域管理条例》（2011年）</w:t>
                  </w:r>
                </w:p>
              </w:tc>
              <w:tc>
                <w:tcPr>
                  <w:tcW w:w="2528" w:type="pct"/>
                  <w:gridSpan w:val="2"/>
                  <w:noWrap w:val="0"/>
                  <w:vAlign w:val="center"/>
                </w:tcPr>
                <w:p w14:paraId="428F22E6">
                  <w:pPr>
                    <w:pStyle w:val="64"/>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排污单位排放水污染物，不得超过经核定的水污染物排放总量，并应当按照规定设置便于检查、采样的规范化排污口，悬挂标志牌；不得私设暗管或者采取其他规避监管的方式排放水污染物。</w:t>
                  </w:r>
                </w:p>
              </w:tc>
              <w:tc>
                <w:tcPr>
                  <w:tcW w:w="1130" w:type="pct"/>
                  <w:noWrap w:val="0"/>
                  <w:vAlign w:val="center"/>
                </w:tcPr>
                <w:p w14:paraId="7E6A3F8F">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本项目清洗废液作为危废委托有资质单位处理</w:t>
                  </w:r>
                  <w:r>
                    <w:rPr>
                      <w:rFonts w:hint="default" w:ascii="Times New Roman" w:hAnsi="Times New Roman" w:eastAsia="仿宋" w:cs="Times New Roman"/>
                      <w:color w:val="auto"/>
                      <w:sz w:val="21"/>
                      <w:szCs w:val="21"/>
                    </w:rPr>
                    <w:t>；生活污水经区域污水管网接入滨湖污水处理厂集中处理后达标排放。本环评要求在项目建设过程中，严格按《江苏省排污口设置及规范化整治管理办法》（苏环控</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1997</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122号）要求规范化排污口，杜绝私设暗管或采取其他规避监管的方式排放水污染物。</w:t>
                  </w:r>
                </w:p>
              </w:tc>
              <w:tc>
                <w:tcPr>
                  <w:tcW w:w="500" w:type="pct"/>
                  <w:noWrap w:val="0"/>
                  <w:vAlign w:val="center"/>
                </w:tcPr>
                <w:p w14:paraId="37BBB14A">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FE14DF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0" w:type="pct"/>
                  <w:vMerge w:val="continue"/>
                  <w:noWrap w:val="0"/>
                  <w:vAlign w:val="center"/>
                </w:tcPr>
                <w:p w14:paraId="6BAF822B">
                  <w:pPr>
                    <w:snapToGrid w:val="0"/>
                    <w:spacing w:line="260" w:lineRule="exact"/>
                    <w:jc w:val="center"/>
                    <w:rPr>
                      <w:rFonts w:hint="default" w:ascii="Times New Roman" w:hAnsi="Times New Roman" w:eastAsia="仿宋" w:cs="Times New Roman"/>
                      <w:color w:val="auto"/>
                      <w:sz w:val="21"/>
                      <w:szCs w:val="21"/>
                    </w:rPr>
                  </w:pPr>
                </w:p>
              </w:tc>
              <w:tc>
                <w:tcPr>
                  <w:tcW w:w="2528" w:type="pct"/>
                  <w:gridSpan w:val="2"/>
                  <w:noWrap w:val="0"/>
                  <w:vAlign w:val="center"/>
                </w:tcPr>
                <w:p w14:paraId="546AE30D">
                  <w:pPr>
                    <w:pStyle w:val="64"/>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禁止在太湖流域设置不符合国家产业政策和水环境综合治理要求的造纸、制革、酒精、淀粉、冶金、酿造、印染、电镀等排放水污染物的生产项目，现有的生产项目不能实现达标排放的，应当依法关闭。</w:t>
                  </w:r>
                </w:p>
              </w:tc>
              <w:tc>
                <w:tcPr>
                  <w:tcW w:w="1130" w:type="pct"/>
                  <w:noWrap w:val="0"/>
                  <w:vAlign w:val="center"/>
                </w:tcPr>
                <w:p w14:paraId="402F0189">
                  <w:pPr>
                    <w:snapToGrid w:val="0"/>
                    <w:spacing w:line="26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本项目不属于文件中所列行业</w:t>
                  </w:r>
                  <w:r>
                    <w:rPr>
                      <w:rFonts w:hint="default" w:ascii="Times New Roman" w:hAnsi="Times New Roman" w:eastAsia="仿宋" w:cs="Times New Roman"/>
                      <w:color w:val="auto"/>
                      <w:sz w:val="21"/>
                      <w:szCs w:val="21"/>
                      <w:lang w:eastAsia="zh-CN"/>
                    </w:rPr>
                    <w:t>。</w:t>
                  </w:r>
                </w:p>
              </w:tc>
              <w:tc>
                <w:tcPr>
                  <w:tcW w:w="500" w:type="pct"/>
                  <w:noWrap w:val="0"/>
                  <w:vAlign w:val="center"/>
                </w:tcPr>
                <w:p w14:paraId="671A700C">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452FBC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0" w:type="pct"/>
                  <w:vMerge w:val="continue"/>
                  <w:noWrap w:val="0"/>
                  <w:vAlign w:val="center"/>
                </w:tcPr>
                <w:p w14:paraId="3C8F5798">
                  <w:pPr>
                    <w:snapToGrid w:val="0"/>
                    <w:spacing w:line="260" w:lineRule="exact"/>
                    <w:jc w:val="center"/>
                    <w:rPr>
                      <w:rFonts w:hint="default" w:ascii="Times New Roman" w:hAnsi="Times New Roman" w:eastAsia="仿宋" w:cs="Times New Roman"/>
                      <w:color w:val="auto"/>
                      <w:sz w:val="21"/>
                      <w:szCs w:val="21"/>
                    </w:rPr>
                  </w:pPr>
                </w:p>
              </w:tc>
              <w:tc>
                <w:tcPr>
                  <w:tcW w:w="2528" w:type="pct"/>
                  <w:gridSpan w:val="2"/>
                  <w:noWrap w:val="0"/>
                  <w:vAlign w:val="center"/>
                </w:tcPr>
                <w:p w14:paraId="30F051F5">
                  <w:pPr>
                    <w:pStyle w:val="64"/>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太湖岸线内和岸线周边5000 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1130" w:type="pct"/>
                  <w:noWrap w:val="0"/>
                  <w:vAlign w:val="center"/>
                </w:tcPr>
                <w:p w14:paraId="5CB210D2">
                  <w:pPr>
                    <w:snapToGrid w:val="0"/>
                    <w:spacing w:line="26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本项目选址不在文件所列范围内，也不属于文件中禁止的相关行为</w:t>
                  </w:r>
                  <w:r>
                    <w:rPr>
                      <w:rFonts w:hint="default" w:ascii="Times New Roman" w:hAnsi="Times New Roman" w:eastAsia="仿宋" w:cs="Times New Roman"/>
                      <w:color w:val="auto"/>
                      <w:sz w:val="21"/>
                      <w:szCs w:val="21"/>
                      <w:lang w:eastAsia="zh-CN"/>
                    </w:rPr>
                    <w:t>。</w:t>
                  </w:r>
                </w:p>
              </w:tc>
              <w:tc>
                <w:tcPr>
                  <w:tcW w:w="500" w:type="pct"/>
                  <w:noWrap w:val="0"/>
                  <w:vAlign w:val="center"/>
                </w:tcPr>
                <w:p w14:paraId="0AB617EF">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69F16F3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4" w:hRule="atLeast"/>
              </w:trPr>
              <w:tc>
                <w:tcPr>
                  <w:tcW w:w="840" w:type="pct"/>
                  <w:vMerge w:val="restart"/>
                  <w:noWrap w:val="0"/>
                  <w:vAlign w:val="center"/>
                </w:tcPr>
                <w:p w14:paraId="367131FC">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《江苏省太湖水污染防治条例》（2021年修订）</w:t>
                  </w:r>
                </w:p>
              </w:tc>
              <w:tc>
                <w:tcPr>
                  <w:tcW w:w="921" w:type="pct"/>
                  <w:vMerge w:val="restart"/>
                  <w:tcBorders>
                    <w:right w:val="single" w:color="auto" w:sz="4" w:space="0"/>
                  </w:tcBorders>
                  <w:noWrap w:val="0"/>
                  <w:vAlign w:val="center"/>
                </w:tcPr>
                <w:p w14:paraId="4E20B386">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Cs/>
                      <w:color w:val="auto"/>
                      <w:sz w:val="21"/>
                      <w:szCs w:val="21"/>
                    </w:rPr>
                    <w:t>太湖流域一、二、三级保护区禁止下列行为</w:t>
                  </w:r>
                </w:p>
              </w:tc>
              <w:tc>
                <w:tcPr>
                  <w:tcW w:w="1606" w:type="pct"/>
                  <w:tcBorders>
                    <w:left w:val="single" w:color="auto" w:sz="4" w:space="0"/>
                  </w:tcBorders>
                  <w:noWrap w:val="0"/>
                  <w:vAlign w:val="center"/>
                </w:tcPr>
                <w:p w14:paraId="05F8AABC">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（一）新建、改建、扩建化学制浆造纸、制革、酿造、染料、印染、电镀以及其他排放含磷、氮等污染物的企业和项目，城镇污水集中处理等环境基础设施项目和第四十六条规定的情形除外；</w:t>
                  </w:r>
                </w:p>
              </w:tc>
              <w:tc>
                <w:tcPr>
                  <w:tcW w:w="1130" w:type="pct"/>
                  <w:noWrap w:val="0"/>
                  <w:vAlign w:val="center"/>
                </w:tcPr>
                <w:p w14:paraId="1CBB1D27">
                  <w:pPr>
                    <w:pStyle w:val="64"/>
                    <w:snapToGrid w:val="0"/>
                    <w:spacing w:line="260" w:lineRule="exact"/>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本项目行业类别为</w:t>
                  </w:r>
                  <w:r>
                    <w:rPr>
                      <w:rFonts w:hint="default" w:ascii="Times New Roman" w:hAnsi="Times New Roman" w:eastAsia="仿宋" w:cs="Times New Roman"/>
                      <w:color w:val="auto"/>
                      <w:kern w:val="0"/>
                      <w:sz w:val="21"/>
                      <w:szCs w:val="21"/>
                      <w:lang w:eastAsia="zh-CN"/>
                    </w:rPr>
                    <w:t>C3813微特电机及组件制造</w:t>
                  </w:r>
                  <w:r>
                    <w:rPr>
                      <w:rFonts w:hint="default" w:ascii="Times New Roman" w:hAnsi="Times New Roman" w:eastAsia="仿宋" w:cs="Times New Roman"/>
                      <w:color w:val="auto"/>
                      <w:sz w:val="21"/>
                      <w:szCs w:val="21"/>
                    </w:rPr>
                    <w:t>，不属于文件中所列的禁止行业；生活污水经区域污水管网接管进入滨湖污水处理厂集中处理后达标排放</w:t>
                  </w:r>
                  <w:r>
                    <w:rPr>
                      <w:rFonts w:hint="default" w:ascii="Times New Roman" w:hAnsi="Times New Roman" w:eastAsia="仿宋" w:cs="Times New Roman"/>
                      <w:color w:val="auto"/>
                      <w:sz w:val="21"/>
                      <w:szCs w:val="21"/>
                      <w:lang w:eastAsia="zh-CN"/>
                    </w:rPr>
                    <w:t>。</w:t>
                  </w:r>
                </w:p>
              </w:tc>
              <w:tc>
                <w:tcPr>
                  <w:tcW w:w="500" w:type="pct"/>
                  <w:noWrap w:val="0"/>
                  <w:vAlign w:val="center"/>
                </w:tcPr>
                <w:p w14:paraId="25D44408">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79434C9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884" w:hRule="atLeast"/>
              </w:trPr>
              <w:tc>
                <w:tcPr>
                  <w:tcW w:w="840" w:type="pct"/>
                  <w:vMerge w:val="continue"/>
                  <w:noWrap w:val="0"/>
                  <w:vAlign w:val="center"/>
                </w:tcPr>
                <w:p w14:paraId="327CC388">
                  <w:pPr>
                    <w:snapToGrid w:val="0"/>
                    <w:spacing w:line="260" w:lineRule="exact"/>
                    <w:jc w:val="center"/>
                    <w:rPr>
                      <w:rFonts w:hint="default" w:ascii="Times New Roman" w:hAnsi="Times New Roman" w:eastAsia="仿宋" w:cs="Times New Roman"/>
                      <w:color w:val="auto"/>
                      <w:sz w:val="21"/>
                      <w:szCs w:val="21"/>
                    </w:rPr>
                  </w:pPr>
                </w:p>
              </w:tc>
              <w:tc>
                <w:tcPr>
                  <w:tcW w:w="921" w:type="pct"/>
                  <w:vMerge w:val="continue"/>
                  <w:tcBorders>
                    <w:right w:val="single" w:color="auto" w:sz="4" w:space="0"/>
                  </w:tcBorders>
                  <w:noWrap w:val="0"/>
                  <w:vAlign w:val="center"/>
                </w:tcPr>
                <w:p w14:paraId="44790847">
                  <w:pPr>
                    <w:snapToGrid w:val="0"/>
                    <w:spacing w:line="260" w:lineRule="exact"/>
                    <w:jc w:val="center"/>
                    <w:rPr>
                      <w:rFonts w:hint="default" w:ascii="Times New Roman" w:hAnsi="Times New Roman" w:eastAsia="仿宋" w:cs="Times New Roman"/>
                      <w:bCs/>
                      <w:color w:val="auto"/>
                      <w:sz w:val="21"/>
                      <w:szCs w:val="21"/>
                    </w:rPr>
                  </w:pPr>
                </w:p>
              </w:tc>
              <w:tc>
                <w:tcPr>
                  <w:tcW w:w="1606" w:type="pct"/>
                  <w:tcBorders>
                    <w:left w:val="single" w:color="auto" w:sz="4" w:space="0"/>
                  </w:tcBorders>
                  <w:noWrap w:val="0"/>
                  <w:vAlign w:val="center"/>
                </w:tcPr>
                <w:p w14:paraId="30752C32">
                  <w:pPr>
                    <w:pStyle w:val="64"/>
                    <w:numPr>
                      <w:ilvl w:val="0"/>
                      <w:numId w:val="10"/>
                    </w:numPr>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销售、使用含磷洗涤用品；</w:t>
                  </w:r>
                </w:p>
                <w:p w14:paraId="27D7AD02">
                  <w:pPr>
                    <w:pStyle w:val="64"/>
                    <w:numPr>
                      <w:ilvl w:val="0"/>
                      <w:numId w:val="10"/>
                    </w:numPr>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向水体排放或者倾倒油类、酸液、碱液、剧毒废渣废液、含放射性废渣废液、含病原体污水、工业废渣以及其他废弃物；</w:t>
                  </w:r>
                </w:p>
                <w:p w14:paraId="2BF8A3D2">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（四）在水体清洗装贮过油类或者有毒有害污染物的车辆、船舶和容器等；</w:t>
                  </w:r>
                </w:p>
                <w:p w14:paraId="05CD3B8F">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（五）使用农药等有毒物毒杀水生生物；</w:t>
                  </w:r>
                </w:p>
              </w:tc>
              <w:tc>
                <w:tcPr>
                  <w:tcW w:w="1130" w:type="pct"/>
                  <w:noWrap w:val="0"/>
                  <w:vAlign w:val="center"/>
                </w:tcPr>
                <w:p w14:paraId="13F1DA3B">
                  <w:pPr>
                    <w:pStyle w:val="6"/>
                    <w:snapToGrid w:val="0"/>
                    <w:spacing w:line="260" w:lineRule="exact"/>
                    <w:ind w:firstLine="0" w:firstLineChars="0"/>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不涉及</w:t>
                  </w:r>
                  <w:r>
                    <w:rPr>
                      <w:rFonts w:hint="default" w:ascii="Times New Roman" w:hAnsi="Times New Roman" w:eastAsia="仿宋" w:cs="Times New Roman"/>
                      <w:color w:val="auto"/>
                      <w:sz w:val="21"/>
                      <w:szCs w:val="21"/>
                      <w:lang w:eastAsia="zh-CN"/>
                    </w:rPr>
                    <w:t>。</w:t>
                  </w:r>
                </w:p>
              </w:tc>
              <w:tc>
                <w:tcPr>
                  <w:tcW w:w="500" w:type="pct"/>
                  <w:noWrap w:val="0"/>
                  <w:vAlign w:val="center"/>
                </w:tcPr>
                <w:p w14:paraId="4F397FAA">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CA87E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0" w:type="pct"/>
                  <w:vMerge w:val="continue"/>
                  <w:noWrap w:val="0"/>
                  <w:vAlign w:val="center"/>
                </w:tcPr>
                <w:p w14:paraId="5A86BA7A">
                  <w:pPr>
                    <w:snapToGrid w:val="0"/>
                    <w:spacing w:line="260" w:lineRule="exact"/>
                    <w:jc w:val="center"/>
                    <w:rPr>
                      <w:rFonts w:hint="default" w:ascii="Times New Roman" w:hAnsi="Times New Roman" w:eastAsia="仿宋" w:cs="Times New Roman"/>
                      <w:color w:val="auto"/>
                      <w:sz w:val="21"/>
                      <w:szCs w:val="21"/>
                    </w:rPr>
                  </w:pPr>
                </w:p>
              </w:tc>
              <w:tc>
                <w:tcPr>
                  <w:tcW w:w="921" w:type="pct"/>
                  <w:vMerge w:val="continue"/>
                  <w:tcBorders>
                    <w:right w:val="single" w:color="auto" w:sz="4" w:space="0"/>
                  </w:tcBorders>
                  <w:noWrap w:val="0"/>
                  <w:vAlign w:val="center"/>
                </w:tcPr>
                <w:p w14:paraId="5E440442">
                  <w:pPr>
                    <w:snapToGrid w:val="0"/>
                    <w:spacing w:line="260" w:lineRule="exact"/>
                    <w:jc w:val="center"/>
                    <w:rPr>
                      <w:rFonts w:hint="default" w:ascii="Times New Roman" w:hAnsi="Times New Roman" w:eastAsia="仿宋" w:cs="Times New Roman"/>
                      <w:color w:val="auto"/>
                      <w:sz w:val="21"/>
                      <w:szCs w:val="21"/>
                    </w:rPr>
                  </w:pPr>
                </w:p>
              </w:tc>
              <w:tc>
                <w:tcPr>
                  <w:tcW w:w="1606" w:type="pct"/>
                  <w:tcBorders>
                    <w:left w:val="single" w:color="auto" w:sz="4" w:space="0"/>
                  </w:tcBorders>
                  <w:noWrap w:val="0"/>
                  <w:vAlign w:val="center"/>
                </w:tcPr>
                <w:p w14:paraId="76464E15">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（六）向水体直接排放人畜粪便、倾倒垃圾；</w:t>
                  </w:r>
                </w:p>
              </w:tc>
              <w:tc>
                <w:tcPr>
                  <w:tcW w:w="1130" w:type="pct"/>
                  <w:noWrap w:val="0"/>
                  <w:vAlign w:val="center"/>
                </w:tcPr>
                <w:p w14:paraId="12393130">
                  <w:pPr>
                    <w:pStyle w:val="64"/>
                    <w:snapToGrid w:val="0"/>
                    <w:spacing w:line="260" w:lineRule="exact"/>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本项目所在区域市政污水管网已经铺设到位并接通</w:t>
                  </w:r>
                  <w:r>
                    <w:rPr>
                      <w:rFonts w:hint="default" w:ascii="Times New Roman" w:hAnsi="Times New Roman" w:eastAsia="仿宋" w:cs="Times New Roman"/>
                      <w:bCs/>
                      <w:color w:val="auto"/>
                      <w:sz w:val="21"/>
                      <w:szCs w:val="21"/>
                    </w:rPr>
                    <w:t>，</w:t>
                  </w:r>
                  <w:r>
                    <w:rPr>
                      <w:rFonts w:hint="eastAsia" w:ascii="Times New Roman" w:hAnsi="Times New Roman" w:eastAsia="仿宋" w:cs="Times New Roman"/>
                      <w:bCs/>
                      <w:color w:val="auto"/>
                      <w:sz w:val="21"/>
                      <w:szCs w:val="21"/>
                      <w:lang w:val="en-US" w:eastAsia="zh-CN"/>
                    </w:rPr>
                    <w:t>清洗废液</w:t>
                  </w:r>
                  <w:r>
                    <w:rPr>
                      <w:rFonts w:hint="default" w:ascii="Times New Roman" w:hAnsi="Times New Roman" w:eastAsia="仿宋" w:cs="Times New Roman"/>
                      <w:bCs/>
                      <w:color w:val="auto"/>
                      <w:sz w:val="21"/>
                      <w:szCs w:val="21"/>
                      <w:lang w:val="en-US" w:eastAsia="zh-CN"/>
                    </w:rPr>
                    <w:t>作为危废委托有资质单位处理</w:t>
                  </w:r>
                  <w:r>
                    <w:rPr>
                      <w:rFonts w:hint="default" w:ascii="Times New Roman" w:hAnsi="Times New Roman" w:eastAsia="仿宋" w:cs="Times New Roman"/>
                      <w:bCs/>
                      <w:color w:val="auto"/>
                      <w:sz w:val="21"/>
                      <w:szCs w:val="21"/>
                    </w:rPr>
                    <w:t>；生活污水</w:t>
                  </w:r>
                  <w:r>
                    <w:rPr>
                      <w:rFonts w:hint="default" w:ascii="Times New Roman" w:hAnsi="Times New Roman" w:eastAsia="仿宋" w:cs="Times New Roman"/>
                      <w:color w:val="auto"/>
                      <w:sz w:val="21"/>
                      <w:szCs w:val="21"/>
                    </w:rPr>
                    <w:t>经市政污水管网接入滨湖污水处理厂集中处理；生活垃圾由环卫部门统一处理，一般固废收集后暂存一般固废库，外售综合利用；危险废物收集后暂存</w:t>
                  </w:r>
                  <w:r>
                    <w:rPr>
                      <w:rFonts w:hint="eastAsia" w:ascii="Times New Roman" w:hAnsi="Times New Roman" w:eastAsia="仿宋" w:cs="Times New Roman"/>
                      <w:color w:val="auto"/>
                      <w:sz w:val="21"/>
                      <w:szCs w:val="21"/>
                      <w:lang w:eastAsia="zh-CN"/>
                    </w:rPr>
                    <w:t>危废仓库</w:t>
                  </w:r>
                  <w:r>
                    <w:rPr>
                      <w:rFonts w:hint="default" w:ascii="Times New Roman" w:hAnsi="Times New Roman" w:eastAsia="仿宋" w:cs="Times New Roman"/>
                      <w:color w:val="auto"/>
                      <w:sz w:val="21"/>
                      <w:szCs w:val="21"/>
                    </w:rPr>
                    <w:t>，委托有资质单位处置。因此本项目不会向水体直接排放人畜粪便、倾倒垃圾</w:t>
                  </w:r>
                  <w:r>
                    <w:rPr>
                      <w:rFonts w:hint="default" w:ascii="Times New Roman" w:hAnsi="Times New Roman" w:eastAsia="仿宋" w:cs="Times New Roman"/>
                      <w:color w:val="auto"/>
                      <w:sz w:val="21"/>
                      <w:szCs w:val="21"/>
                      <w:lang w:eastAsia="zh-CN"/>
                    </w:rPr>
                    <w:t>。</w:t>
                  </w:r>
                </w:p>
              </w:tc>
              <w:tc>
                <w:tcPr>
                  <w:tcW w:w="500" w:type="pct"/>
                  <w:noWrap w:val="0"/>
                  <w:vAlign w:val="center"/>
                </w:tcPr>
                <w:p w14:paraId="31118137">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3DAC3F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840" w:type="pct"/>
                  <w:vMerge w:val="continue"/>
                  <w:noWrap w:val="0"/>
                  <w:vAlign w:val="center"/>
                </w:tcPr>
                <w:p w14:paraId="57A90050">
                  <w:pPr>
                    <w:snapToGrid w:val="0"/>
                    <w:spacing w:line="260" w:lineRule="exact"/>
                    <w:jc w:val="center"/>
                    <w:rPr>
                      <w:rFonts w:hint="default" w:ascii="Times New Roman" w:hAnsi="Times New Roman" w:eastAsia="仿宋" w:cs="Times New Roman"/>
                      <w:color w:val="auto"/>
                      <w:sz w:val="21"/>
                      <w:szCs w:val="21"/>
                    </w:rPr>
                  </w:pPr>
                </w:p>
              </w:tc>
              <w:tc>
                <w:tcPr>
                  <w:tcW w:w="921" w:type="pct"/>
                  <w:vMerge w:val="continue"/>
                  <w:tcBorders>
                    <w:right w:val="single" w:color="auto" w:sz="4" w:space="0"/>
                  </w:tcBorders>
                  <w:noWrap w:val="0"/>
                  <w:vAlign w:val="center"/>
                </w:tcPr>
                <w:p w14:paraId="381C2938">
                  <w:pPr>
                    <w:snapToGrid w:val="0"/>
                    <w:spacing w:line="260" w:lineRule="exact"/>
                    <w:jc w:val="center"/>
                    <w:rPr>
                      <w:rFonts w:hint="default" w:ascii="Times New Roman" w:hAnsi="Times New Roman" w:eastAsia="仿宋" w:cs="Times New Roman"/>
                      <w:color w:val="auto"/>
                      <w:sz w:val="21"/>
                      <w:szCs w:val="21"/>
                    </w:rPr>
                  </w:pPr>
                </w:p>
              </w:tc>
              <w:tc>
                <w:tcPr>
                  <w:tcW w:w="1606" w:type="pct"/>
                  <w:tcBorders>
                    <w:left w:val="single" w:color="auto" w:sz="4" w:space="0"/>
                  </w:tcBorders>
                  <w:noWrap w:val="0"/>
                  <w:vAlign w:val="center"/>
                </w:tcPr>
                <w:p w14:paraId="1BF2F3E5">
                  <w:pPr>
                    <w:pStyle w:val="64"/>
                    <w:numPr>
                      <w:ilvl w:val="0"/>
                      <w:numId w:val="11"/>
                    </w:numPr>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围湖造地；</w:t>
                  </w:r>
                </w:p>
                <w:p w14:paraId="059F74D7">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（八）违法开山采石，或者进行破坏林木、植被、水生生物的活动；</w:t>
                  </w:r>
                </w:p>
                <w:p w14:paraId="5E9731FF">
                  <w:pPr>
                    <w:pStyle w:val="64"/>
                    <w:snapToGrid w:val="0"/>
                    <w:spacing w:line="260" w:lineRule="exact"/>
                    <w:jc w:val="both"/>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（九）法律、法规禁止的其他行为。</w:t>
                  </w:r>
                </w:p>
              </w:tc>
              <w:tc>
                <w:tcPr>
                  <w:tcW w:w="1130" w:type="pct"/>
                  <w:noWrap w:val="0"/>
                  <w:vAlign w:val="center"/>
                </w:tcPr>
                <w:p w14:paraId="59B962F2">
                  <w:pPr>
                    <w:snapToGrid w:val="0"/>
                    <w:spacing w:line="26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color w:val="auto"/>
                      <w:sz w:val="21"/>
                      <w:szCs w:val="21"/>
                    </w:rPr>
                    <w:t>不涉及</w:t>
                  </w:r>
                  <w:r>
                    <w:rPr>
                      <w:rFonts w:hint="default" w:ascii="Times New Roman" w:hAnsi="Times New Roman" w:eastAsia="仿宋" w:cs="Times New Roman"/>
                      <w:color w:val="auto"/>
                      <w:sz w:val="21"/>
                      <w:szCs w:val="21"/>
                      <w:lang w:eastAsia="zh-CN"/>
                    </w:rPr>
                    <w:t>。</w:t>
                  </w:r>
                </w:p>
              </w:tc>
              <w:tc>
                <w:tcPr>
                  <w:tcW w:w="500" w:type="pct"/>
                  <w:noWrap w:val="0"/>
                  <w:vAlign w:val="center"/>
                </w:tcPr>
                <w:p w14:paraId="30C0F29A">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5EAEB94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22C099BA">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《建设项目环境保护条例》</w:t>
                  </w:r>
                </w:p>
              </w:tc>
              <w:tc>
                <w:tcPr>
                  <w:tcW w:w="2528" w:type="pct"/>
                  <w:gridSpan w:val="2"/>
                  <w:noWrap w:val="0"/>
                  <w:vAlign w:val="center"/>
                </w:tcPr>
                <w:p w14:paraId="4D67D686">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11"/>
                      <w:sz w:val="21"/>
                      <w:szCs w:val="21"/>
                    </w:rPr>
                    <w:t>第十一条</w:t>
                  </w:r>
                  <w:r>
                    <w:rPr>
                      <w:rFonts w:hint="default" w:ascii="Times New Roman" w:hAnsi="Times New Roman" w:eastAsia="仿宋" w:cs="Times New Roman"/>
                      <w:color w:val="auto"/>
                      <w:spacing w:val="-11"/>
                      <w:sz w:val="21"/>
                      <w:szCs w:val="21"/>
                      <w:lang w:val="en-US" w:eastAsia="zh-CN"/>
                    </w:rPr>
                    <w:t xml:space="preserve"> </w:t>
                  </w:r>
                  <w:r>
                    <w:rPr>
                      <w:rFonts w:hint="default" w:ascii="Times New Roman" w:hAnsi="Times New Roman" w:eastAsia="仿宋" w:cs="Times New Roman"/>
                      <w:color w:val="auto"/>
                      <w:spacing w:val="-11"/>
                      <w:sz w:val="21"/>
                      <w:szCs w:val="21"/>
                    </w:rPr>
                    <w:t>建设项目有下列情形之一的，环境保护行政主管部门应当对环境影响报告书、环境影响报告表作出不予批准的决定</w:t>
                  </w:r>
                </w:p>
              </w:tc>
              <w:tc>
                <w:tcPr>
                  <w:tcW w:w="1130" w:type="pct"/>
                  <w:noWrap w:val="0"/>
                  <w:vAlign w:val="center"/>
                </w:tcPr>
                <w:p w14:paraId="0B6AA223">
                  <w:pPr>
                    <w:snapToGrid w:val="0"/>
                    <w:spacing w:line="26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本项目不属于《建设项目环境保护条例》中第十一条中规定的“不予批准”条款之列</w:t>
                  </w:r>
                  <w:r>
                    <w:rPr>
                      <w:rFonts w:hint="default" w:ascii="Times New Roman" w:hAnsi="Times New Roman" w:eastAsia="仿宋" w:cs="Times New Roman"/>
                      <w:color w:val="auto"/>
                      <w:sz w:val="21"/>
                      <w:szCs w:val="21"/>
                      <w:lang w:eastAsia="zh-CN"/>
                    </w:rPr>
                    <w:t>。</w:t>
                  </w:r>
                </w:p>
              </w:tc>
              <w:tc>
                <w:tcPr>
                  <w:tcW w:w="500" w:type="pct"/>
                  <w:noWrap w:val="0"/>
                  <w:vAlign w:val="center"/>
                </w:tcPr>
                <w:p w14:paraId="35AFF290">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630A137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5F2A74EB">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《省生态环境厅关于进一步加强建设项目环评审批和服务工作的指导意见》苏环办</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2020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225号</w:t>
                  </w:r>
                </w:p>
              </w:tc>
              <w:tc>
                <w:tcPr>
                  <w:tcW w:w="2528" w:type="pct"/>
                  <w:gridSpan w:val="2"/>
                  <w:noWrap w:val="0"/>
                  <w:vAlign w:val="center"/>
                </w:tcPr>
                <w:p w14:paraId="159D8427">
                  <w:pPr>
                    <w:snapToGrid w:val="0"/>
                    <w:spacing w:line="260" w:lineRule="exact"/>
                    <w:jc w:val="center"/>
                    <w:rPr>
                      <w:rFonts w:hint="default" w:ascii="Times New Roman" w:hAnsi="Times New Roman" w:eastAsia="仿宋" w:cs="Times New Roman"/>
                      <w:color w:val="auto"/>
                      <w:spacing w:val="-6"/>
                      <w:sz w:val="21"/>
                      <w:szCs w:val="21"/>
                    </w:rPr>
                  </w:pPr>
                  <w:r>
                    <w:rPr>
                      <w:rFonts w:hint="default" w:ascii="Times New Roman" w:hAnsi="Times New Roman" w:eastAsia="仿宋" w:cs="Times New Roman"/>
                      <w:color w:val="auto"/>
                      <w:spacing w:val="-6"/>
                      <w:sz w:val="21"/>
                      <w:szCs w:val="21"/>
                    </w:rPr>
                    <w:t>坚持以改善环境质量为核心，开发建设活动不得突破区域生态环境承载能力，确保“生态环境质量只能更好、不能变坏”。</w:t>
                  </w:r>
                </w:p>
                <w:p w14:paraId="3EF8E458">
                  <w:pPr>
                    <w:snapToGrid w:val="0"/>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（一）建设项目所在区域环境质量未达到国家或地方环境质量标准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且项目拟采取的污染防治措施不能满足区域环境质量改善目标管理要求的，一律不得审批。</w:t>
                  </w:r>
                </w:p>
                <w:p w14:paraId="719B5427">
                  <w:pPr>
                    <w:snapToGrid w:val="0"/>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（二）加强规划环评与建设项目环评联动，对不符合规划环评结论及审查意见的项目环评</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依法不予审批。规划所包含项目的环评内容，可根据规划环评结论和审查意见予以简化。</w:t>
                  </w:r>
                </w:p>
                <w:p w14:paraId="1142444B">
                  <w:pPr>
                    <w:snapToGrid w:val="0"/>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（三）切实加强区域环境容量、环境承载力研究</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不得审批突破环境容量和环境承载力的建设项目。</w:t>
                  </w:r>
                </w:p>
                <w:p w14:paraId="49E2AB4D">
                  <w:pPr>
                    <w:snapToGrid w:val="0"/>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（四）应将“三线一单”作为建设项目环评审批的重要依据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严格落实生态环境分区管控要求，从严把好环境准入关</w:t>
                  </w:r>
                  <w:r>
                    <w:rPr>
                      <w:rFonts w:hint="default" w:ascii="Times New Roman" w:hAnsi="Times New Roman" w:eastAsia="仿宋" w:cs="Times New Roman"/>
                      <w:color w:val="auto"/>
                      <w:kern w:val="0"/>
                      <w:sz w:val="21"/>
                      <w:szCs w:val="21"/>
                    </w:rPr>
                    <w:t>。</w:t>
                  </w:r>
                </w:p>
              </w:tc>
              <w:tc>
                <w:tcPr>
                  <w:tcW w:w="1130" w:type="pct"/>
                  <w:noWrap w:val="0"/>
                  <w:vAlign w:val="center"/>
                </w:tcPr>
                <w:p w14:paraId="5797DA08">
                  <w:pPr>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1、项目所在区域大气环境质量属于不达标区，经分析</w:t>
                  </w:r>
                  <w:r>
                    <w:rPr>
                      <w:rFonts w:hint="default" w:ascii="Times New Roman" w:hAnsi="Times New Roman" w:eastAsia="仿宋" w:cs="Times New Roman"/>
                      <w:color w:val="auto"/>
                      <w:sz w:val="21"/>
                      <w:szCs w:val="21"/>
                      <w:lang w:eastAsia="zh-CN"/>
                    </w:rPr>
                    <w:t>本项目</w:t>
                  </w:r>
                  <w:r>
                    <w:rPr>
                      <w:rFonts w:hint="eastAsia" w:ascii="Times New Roman" w:hAnsi="Times New Roman" w:eastAsia="仿宋" w:cs="Times New Roman"/>
                      <w:color w:val="auto"/>
                      <w:sz w:val="21"/>
                      <w:szCs w:val="21"/>
                      <w:lang w:val="en-US" w:eastAsia="zh-CN"/>
                    </w:rPr>
                    <w:t>胶水用量较小，且根据企业提供的胶水VOCs检测报告，VOC含量未检出</w:t>
                  </w:r>
                  <w:r>
                    <w:rPr>
                      <w:rFonts w:hint="eastAsia" w:eastAsia="仿宋" w:cs="Times New Roman"/>
                      <w:color w:val="auto"/>
                      <w:sz w:val="21"/>
                      <w:szCs w:val="21"/>
                      <w:lang w:val="en-US" w:eastAsia="zh-CN"/>
                    </w:rPr>
                    <w:t>，本环评未进行定量分析；</w:t>
                  </w:r>
                  <w:r>
                    <w:rPr>
                      <w:rFonts w:hint="default" w:ascii="Times New Roman" w:hAnsi="Times New Roman" w:eastAsia="仿宋" w:cs="Times New Roman"/>
                      <w:color w:val="auto"/>
                      <w:sz w:val="21"/>
                      <w:szCs w:val="21"/>
                      <w:lang w:eastAsia="zh-CN"/>
                    </w:rPr>
                    <w:t>焊接烟尘</w:t>
                  </w:r>
                  <w:r>
                    <w:rPr>
                      <w:rFonts w:hint="eastAsia" w:eastAsia="仿宋" w:cs="Times New Roman"/>
                      <w:color w:val="auto"/>
                      <w:sz w:val="21"/>
                      <w:szCs w:val="21"/>
                      <w:lang w:val="en-US" w:eastAsia="zh-CN"/>
                    </w:rPr>
                    <w:t>经移动式焊烟净化装置处理后在车间无组织排放</w:t>
                  </w:r>
                  <w:r>
                    <w:rPr>
                      <w:rFonts w:hint="default" w:ascii="Times New Roman" w:hAnsi="Times New Roman" w:eastAsia="仿宋" w:cs="Times New Roman"/>
                      <w:color w:val="auto"/>
                      <w:sz w:val="21"/>
                      <w:szCs w:val="21"/>
                    </w:rPr>
                    <w:t>；</w:t>
                  </w:r>
                </w:p>
                <w:p w14:paraId="450ADF96">
                  <w:pPr>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2、项目类型、选址、布局、规模等均符合环境保护法律法规和相关法定规划；</w:t>
                  </w:r>
                </w:p>
                <w:p w14:paraId="567E86F8">
                  <w:pPr>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3、本项目采取合理的污染防治措施，产排污不会突破环境容量和环境承载力；</w:t>
                  </w:r>
                </w:p>
                <w:p w14:paraId="11D20033">
                  <w:pPr>
                    <w:snapToGrid w:val="0"/>
                    <w:spacing w:line="260" w:lineRule="exact"/>
                    <w:jc w:val="left"/>
                    <w:rPr>
                      <w:rFonts w:hint="default" w:ascii="Times New Roman" w:hAnsi="Times New Roman" w:eastAsia="仿宋" w:cs="Times New Roman"/>
                      <w:bCs/>
                      <w:color w:val="auto"/>
                      <w:sz w:val="21"/>
                      <w:szCs w:val="21"/>
                    </w:rPr>
                  </w:pPr>
                  <w:r>
                    <w:rPr>
                      <w:rFonts w:hint="default" w:ascii="Times New Roman" w:hAnsi="Times New Roman" w:eastAsia="仿宋" w:cs="Times New Roman"/>
                      <w:color w:val="auto"/>
                      <w:sz w:val="21"/>
                      <w:szCs w:val="21"/>
                    </w:rPr>
                    <w:t>4、本项目符合“三线一单”要求。</w:t>
                  </w:r>
                </w:p>
              </w:tc>
              <w:tc>
                <w:tcPr>
                  <w:tcW w:w="500" w:type="pct"/>
                  <w:noWrap w:val="0"/>
                  <w:vAlign w:val="center"/>
                </w:tcPr>
                <w:p w14:paraId="7F4C98A9">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006CF68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700A0CB0">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《关于切实加强产业园区规划环境影响评价工作的通知》（苏环办</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2017</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140号）</w:t>
                  </w:r>
                </w:p>
              </w:tc>
              <w:tc>
                <w:tcPr>
                  <w:tcW w:w="2528" w:type="pct"/>
                  <w:gridSpan w:val="2"/>
                  <w:noWrap w:val="0"/>
                  <w:vAlign w:val="center"/>
                </w:tcPr>
                <w:p w14:paraId="20185C1C">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snapToGrid w:val="0"/>
                      <w:color w:val="auto"/>
                      <w:spacing w:val="-6"/>
                      <w:kern w:val="0"/>
                      <w:sz w:val="21"/>
                      <w:szCs w:val="21"/>
                    </w:rPr>
                    <w:t>根据《关于切实加强产业园区规划环境影响评价工作的通知》（苏环办</w:t>
                  </w:r>
                  <w:r>
                    <w:rPr>
                      <w:rFonts w:hint="default" w:ascii="Times New Roman" w:hAnsi="Times New Roman" w:eastAsia="仿宋" w:cs="Times New Roman"/>
                      <w:snapToGrid w:val="0"/>
                      <w:color w:val="auto"/>
                      <w:spacing w:val="-6"/>
                      <w:kern w:val="0"/>
                      <w:sz w:val="21"/>
                      <w:szCs w:val="21"/>
                      <w:lang w:eastAsia="zh-CN"/>
                    </w:rPr>
                    <w:t>[</w:t>
                  </w:r>
                  <w:r>
                    <w:rPr>
                      <w:rFonts w:hint="default" w:ascii="Times New Roman" w:hAnsi="Times New Roman" w:eastAsia="仿宋" w:cs="Times New Roman"/>
                      <w:snapToGrid w:val="0"/>
                      <w:color w:val="auto"/>
                      <w:spacing w:val="-6"/>
                      <w:kern w:val="0"/>
                      <w:sz w:val="21"/>
                      <w:szCs w:val="21"/>
                    </w:rPr>
                    <w:t>2017</w:t>
                  </w:r>
                  <w:r>
                    <w:rPr>
                      <w:rFonts w:hint="default" w:ascii="Times New Roman" w:hAnsi="Times New Roman" w:eastAsia="仿宋" w:cs="Times New Roman"/>
                      <w:snapToGrid w:val="0"/>
                      <w:color w:val="auto"/>
                      <w:spacing w:val="-6"/>
                      <w:kern w:val="0"/>
                      <w:sz w:val="21"/>
                      <w:szCs w:val="21"/>
                      <w:lang w:eastAsia="zh-CN"/>
                    </w:rPr>
                    <w:t>]</w:t>
                  </w:r>
                  <w:r>
                    <w:rPr>
                      <w:rFonts w:hint="default" w:ascii="Times New Roman" w:hAnsi="Times New Roman" w:eastAsia="仿宋" w:cs="Times New Roman"/>
                      <w:snapToGrid w:val="0"/>
                      <w:color w:val="auto"/>
                      <w:spacing w:val="-6"/>
                      <w:kern w:val="0"/>
                      <w:sz w:val="21"/>
                      <w:szCs w:val="21"/>
                    </w:rPr>
                    <w:t>140号）中要求“规划环评要作为规划所包含项目环评的重要依据，对于不符合规划环评结论及审查意见的项目环评，依法不予审批”。</w:t>
                  </w:r>
                </w:p>
              </w:tc>
              <w:tc>
                <w:tcPr>
                  <w:tcW w:w="1130" w:type="pct"/>
                  <w:noWrap w:val="0"/>
                  <w:vAlign w:val="center"/>
                </w:tcPr>
                <w:p w14:paraId="79F473D8">
                  <w:pPr>
                    <w:snapToGrid w:val="0"/>
                    <w:spacing w:line="260" w:lineRule="exact"/>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bCs/>
                      <w:color w:val="auto"/>
                      <w:kern w:val="0"/>
                      <w:sz w:val="21"/>
                      <w:szCs w:val="21"/>
                    </w:rPr>
                    <w:t>本项目与规划相容</w:t>
                  </w:r>
                  <w:r>
                    <w:rPr>
                      <w:rFonts w:hint="default" w:ascii="Times New Roman" w:hAnsi="Times New Roman" w:eastAsia="仿宋" w:cs="Times New Roman"/>
                      <w:bCs/>
                      <w:color w:val="auto"/>
                      <w:kern w:val="0"/>
                      <w:sz w:val="21"/>
                      <w:szCs w:val="21"/>
                      <w:lang w:eastAsia="zh-CN"/>
                    </w:rPr>
                    <w:t>。</w:t>
                  </w:r>
                </w:p>
              </w:tc>
              <w:tc>
                <w:tcPr>
                  <w:tcW w:w="500" w:type="pct"/>
                  <w:noWrap w:val="0"/>
                  <w:vAlign w:val="center"/>
                </w:tcPr>
                <w:p w14:paraId="337C95CF">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DEA5A4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tcBorders>
                    <w:bottom w:val="single" w:color="auto" w:sz="4" w:space="0"/>
                  </w:tcBorders>
                  <w:noWrap w:val="0"/>
                  <w:vAlign w:val="center"/>
                </w:tcPr>
                <w:p w14:paraId="40C197D7">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6"/>
                      <w:sz w:val="21"/>
                      <w:szCs w:val="21"/>
                    </w:rPr>
                    <w:t>关于印发《长江经济带发展负面清单指南（试行，2022年版）》的通知（长江办[2022]）7号</w:t>
                  </w:r>
                </w:p>
              </w:tc>
              <w:tc>
                <w:tcPr>
                  <w:tcW w:w="2528" w:type="pct"/>
                  <w:gridSpan w:val="2"/>
                  <w:noWrap w:val="0"/>
                  <w:vAlign w:val="center"/>
                </w:tcPr>
                <w:p w14:paraId="50077D99">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4、禁止在水产种质资源保护区的岸线和河段范围内新建围湖造田、围海造地或围填海等投资建设项目。禁止在国家湿地公园的岸线和河段范围内挖沙、采矿，以及任何不符合主体功能定位的投资建设项目；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p w14:paraId="0AD2631C">
                  <w:pPr>
                    <w:snapToGrid w:val="0"/>
                    <w:spacing w:line="260" w:lineRule="exact"/>
                    <w:jc w:val="center"/>
                    <w:rPr>
                      <w:rFonts w:hint="default" w:ascii="Times New Roman" w:hAnsi="Times New Roman" w:eastAsia="仿宋" w:cs="Times New Roman"/>
                      <w:snapToGrid w:val="0"/>
                      <w:color w:val="auto"/>
                      <w:spacing w:val="-6"/>
                      <w:kern w:val="0"/>
                      <w:sz w:val="21"/>
                      <w:szCs w:val="21"/>
                    </w:rPr>
                  </w:pPr>
                  <w:r>
                    <w:rPr>
                      <w:rFonts w:hint="default" w:ascii="Times New Roman" w:hAnsi="Times New Roman" w:eastAsia="仿宋" w:cs="Times New Roman"/>
                      <w:color w:val="auto"/>
                      <w:sz w:val="21"/>
                      <w:szCs w:val="21"/>
                    </w:rPr>
                    <w:t>6、禁止未经许可在长江干支流及湖泊新设、改设或扩大排污口；7、禁止在“一江一口两湖七河”和332个水生生物保护区开展生产性捕捞；8、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9、禁止在合规园区外新建、扩建钢铁、石化、化工、焦化、建材、有色、制浆造纸等高污染项目；10、禁止新建、扩建不符合国家石化、现代煤化工等产业布局规划的项目；11、禁止新建、扩建法律法规和相关政策明令禁止的落后产能项目。禁止新建、扩建不符合国家产能置换要求的严重过剩产能行业的项目。禁止新建、扩建不符合要求的高耗能高排放项目；12、法律法规及相关政策文件有更加严格规定的从其规定。</w:t>
                  </w:r>
                </w:p>
              </w:tc>
              <w:tc>
                <w:tcPr>
                  <w:tcW w:w="1130" w:type="pct"/>
                  <w:noWrap w:val="0"/>
                  <w:vAlign w:val="center"/>
                </w:tcPr>
                <w:p w14:paraId="5E056B4E">
                  <w:pPr>
                    <w:pStyle w:val="2"/>
                    <w:widowControl w:val="0"/>
                    <w:snapToGrid/>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pacing w:val="-6"/>
                      <w:kern w:val="2"/>
                      <w:sz w:val="21"/>
                      <w:szCs w:val="21"/>
                      <w:lang w:val="en-US" w:eastAsia="zh-CN"/>
                    </w:rPr>
                    <w:t>本项目不属于</w:t>
                  </w:r>
                  <w:r>
                    <w:rPr>
                      <w:rFonts w:hint="default" w:ascii="Times New Roman" w:hAnsi="Times New Roman" w:eastAsia="仿宋" w:cs="Times New Roman"/>
                      <w:color w:val="auto"/>
                      <w:spacing w:val="-6"/>
                      <w:sz w:val="21"/>
                      <w:szCs w:val="21"/>
                      <w:lang w:val="en-US" w:eastAsia="zh-CN"/>
                    </w:rPr>
                    <w:t>关于印发《长江经济带发展负面清单指南（试行，2022年版）》的通知（长江办[2022]）7号</w:t>
                  </w:r>
                  <w:r>
                    <w:rPr>
                      <w:rFonts w:hint="default" w:ascii="Times New Roman" w:hAnsi="Times New Roman" w:eastAsia="仿宋" w:cs="Times New Roman"/>
                      <w:bCs/>
                      <w:color w:val="auto"/>
                      <w:spacing w:val="-6"/>
                      <w:kern w:val="2"/>
                      <w:sz w:val="21"/>
                      <w:szCs w:val="21"/>
                      <w:lang w:val="en-US" w:eastAsia="zh-CN"/>
                    </w:rPr>
                    <w:t>中“禁止类”项目。</w:t>
                  </w:r>
                </w:p>
              </w:tc>
              <w:tc>
                <w:tcPr>
                  <w:tcW w:w="500" w:type="pct"/>
                  <w:noWrap w:val="0"/>
                  <w:vAlign w:val="center"/>
                </w:tcPr>
                <w:p w14:paraId="6DFD29A2">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5DABC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tcBorders>
                    <w:top w:val="single" w:color="auto" w:sz="4" w:space="0"/>
                  </w:tcBorders>
                  <w:noWrap w:val="0"/>
                  <w:vAlign w:val="center"/>
                </w:tcPr>
                <w:p w14:paraId="4E7660B1">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6"/>
                      <w:sz w:val="21"/>
                      <w:szCs w:val="21"/>
                    </w:rPr>
                    <w:t>《关于印发&lt;长江经济带发展负面清单指南&gt;江苏省实施细则（试行）的通知》（苏长江办发</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2019</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136号）</w:t>
                  </w:r>
                </w:p>
              </w:tc>
              <w:tc>
                <w:tcPr>
                  <w:tcW w:w="2528" w:type="pct"/>
                  <w:gridSpan w:val="2"/>
                  <w:noWrap w:val="0"/>
                  <w:vAlign w:val="center"/>
                </w:tcPr>
                <w:p w14:paraId="0749FADA">
                  <w:pPr>
                    <w:pStyle w:val="2"/>
                    <w:keepNext w:val="0"/>
                    <w:keepLines w:val="0"/>
                    <w:pageBreakBefore w:val="0"/>
                    <w:widowControl/>
                    <w:kinsoku/>
                    <w:wordWrap/>
                    <w:overflowPunct/>
                    <w:topLinePunct w:val="0"/>
                    <w:autoSpaceDE/>
                    <w:autoSpaceDN/>
                    <w:bidi w:val="0"/>
                    <w:adjustRightInd/>
                    <w:snapToGrid w:val="0"/>
                    <w:spacing w:before="0" w:after="0" w:line="270" w:lineRule="exact"/>
                    <w:ind w:right="0"/>
                    <w:jc w:val="center"/>
                    <w:textAlignment w:val="auto"/>
                    <w:rPr>
                      <w:rFonts w:hint="default" w:ascii="Times New Roman" w:hAnsi="Times New Roman" w:eastAsia="仿宋" w:cs="Times New Roman"/>
                      <w:snapToGrid w:val="0"/>
                      <w:color w:val="auto"/>
                      <w:spacing w:val="-6"/>
                      <w:sz w:val="21"/>
                      <w:szCs w:val="21"/>
                      <w:lang w:val="en-US" w:eastAsia="zh-CN"/>
                    </w:rPr>
                  </w:pPr>
                  <w:r>
                    <w:rPr>
                      <w:rFonts w:hint="default" w:ascii="Times New Roman" w:hAnsi="Times New Roman" w:eastAsia="仿宋" w:cs="Times New Roman"/>
                      <w:color w:val="auto"/>
                      <w:kern w:val="2"/>
                      <w:sz w:val="21"/>
                      <w:szCs w:val="21"/>
                      <w:lang w:val="en-US" w:eastAsia="zh-CN"/>
                    </w:rPr>
                    <w:t>禁止建设不符合全国和省级港口布局规划以及港口总体规划的码头项目，禁止建设不符合《长江干线过江通道布局规划》的过长江通道项目。（2）禁止在自然保护区核心区、缓冲区的岸线和河段范围内投资建设旅游和生产经营项目。禁止在风景名胜区核心景区的岸线和河段范围内投资建设与风景名胜资源保护无关的项目。（3）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4）禁止在水产种质资源保护区的岸线和河段范围内新建排污口，以及围湖造田、围海造地或围填海等投资建设项目。禁止在国家湿地公园的岸线和河段范围内挖沙、采矿，以及任何不符合主体功能定位的投资建设项目。（5）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6）禁止在生态保护红线和永久基本农田范围内投资建设除国家重大战略资源勘查项目、生态保护修复和环境治理项目、重大基础设施项目、军事国防项目以及农牧民基本生产生活等必要的民生项目以外的项目。（7）禁止在长江干支流1公里范围内新建、扩建化工园区和化工项目。禁止在合规园区外新建、扩建钢铁、石化、化工、焦化、建材、有色等高污染项目。（8）禁止新建、扩建不符合国家石化、现代煤化工等产业布局规划的项目。（9）禁止新建、扩建法律法规和相关政策明令禁止的落后产能项目。（10）禁止新建、扩建不符合国家产能置换要求的严重过剩产能行业的项目。</w:t>
                  </w:r>
                </w:p>
              </w:tc>
              <w:tc>
                <w:tcPr>
                  <w:tcW w:w="1130" w:type="pct"/>
                  <w:noWrap w:val="0"/>
                  <w:vAlign w:val="center"/>
                </w:tcPr>
                <w:p w14:paraId="37AFB238">
                  <w:pPr>
                    <w:pStyle w:val="2"/>
                    <w:widowControl w:val="0"/>
                    <w:snapToGrid/>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kern w:val="2"/>
                      <w:sz w:val="21"/>
                      <w:szCs w:val="21"/>
                      <w:lang w:val="en-US" w:eastAsia="zh-CN"/>
                    </w:rPr>
                    <w:t>本项目不属于《关于印发&lt;长江经济带发展负面清单指南&gt;江苏省实施细则（试行）的通知》（苏长江办发[2019]136号）中“禁止类”项目。</w:t>
                  </w:r>
                </w:p>
              </w:tc>
              <w:tc>
                <w:tcPr>
                  <w:tcW w:w="500" w:type="pct"/>
                  <w:noWrap w:val="0"/>
                  <w:vAlign w:val="center"/>
                </w:tcPr>
                <w:p w14:paraId="7231FD6A">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91514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tcBorders>
                    <w:top w:val="single" w:color="auto" w:sz="4" w:space="0"/>
                  </w:tcBorders>
                  <w:noWrap w:val="0"/>
                  <w:vAlign w:val="center"/>
                </w:tcPr>
                <w:p w14:paraId="5C3ADE43">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《江苏省大气污染防治条例（2018修正版）》</w:t>
                  </w:r>
                </w:p>
              </w:tc>
              <w:tc>
                <w:tcPr>
                  <w:tcW w:w="2528" w:type="pct"/>
                  <w:gridSpan w:val="2"/>
                  <w:noWrap w:val="0"/>
                  <w:vAlign w:val="center"/>
                </w:tcPr>
                <w:p w14:paraId="2E7CF6DD">
                  <w:pPr>
                    <w:snapToGrid w:val="0"/>
                    <w:spacing w:line="260" w:lineRule="exact"/>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p>
              </w:tc>
              <w:tc>
                <w:tcPr>
                  <w:tcW w:w="1130" w:type="pct"/>
                  <w:noWrap w:val="0"/>
                  <w:vAlign w:val="center"/>
                </w:tcPr>
                <w:p w14:paraId="2C337F9C">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本项目</w:t>
                  </w:r>
                  <w:r>
                    <w:rPr>
                      <w:rFonts w:hint="eastAsia" w:ascii="Times New Roman" w:hAnsi="Times New Roman" w:eastAsia="仿宋" w:cs="Times New Roman"/>
                      <w:color w:val="auto"/>
                      <w:sz w:val="21"/>
                      <w:szCs w:val="21"/>
                      <w:lang w:val="en-US" w:eastAsia="zh-CN"/>
                    </w:rPr>
                    <w:t>胶水用量较小，且根据企业提供的胶水VOCs检测报告，VOC含量未检出</w:t>
                  </w:r>
                  <w:r>
                    <w:rPr>
                      <w:rFonts w:hint="eastAsia" w:eastAsia="仿宋" w:cs="Times New Roman"/>
                      <w:color w:val="auto"/>
                      <w:sz w:val="21"/>
                      <w:szCs w:val="21"/>
                      <w:lang w:val="en-US" w:eastAsia="zh-CN"/>
                    </w:rPr>
                    <w:t>，本环评未进行定量分析；焊接烟尘经移动式焊烟净化装置收集处理后在车间无组织排放</w:t>
                  </w:r>
                  <w:r>
                    <w:rPr>
                      <w:rFonts w:hint="default" w:ascii="Times New Roman" w:hAnsi="Times New Roman" w:eastAsia="仿宋" w:cs="Times New Roman"/>
                      <w:color w:val="auto"/>
                      <w:sz w:val="21"/>
                      <w:szCs w:val="21"/>
                    </w:rPr>
                    <w:t>。</w:t>
                  </w:r>
                </w:p>
              </w:tc>
              <w:tc>
                <w:tcPr>
                  <w:tcW w:w="500" w:type="pct"/>
                  <w:noWrap w:val="0"/>
                  <w:vAlign w:val="center"/>
                </w:tcPr>
                <w:p w14:paraId="74741D2E">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023A381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16" w:hRule="atLeast"/>
              </w:trPr>
              <w:tc>
                <w:tcPr>
                  <w:tcW w:w="840" w:type="pct"/>
                  <w:tcBorders>
                    <w:top w:val="single" w:color="auto" w:sz="4" w:space="0"/>
                  </w:tcBorders>
                  <w:noWrap w:val="0"/>
                  <w:vAlign w:val="center"/>
                </w:tcPr>
                <w:p w14:paraId="4B91D2ED">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《关于印发江苏省重点行业挥发性有机物污染控制指南的通知》（苏环办</w:t>
                  </w:r>
                  <w:r>
                    <w:rPr>
                      <w:rFonts w:hint="default" w:ascii="Times New Roman" w:hAnsi="Times New Roman" w:eastAsia="仿宋" w:cs="Times New Roman"/>
                      <w:color w:val="auto"/>
                      <w:spacing w:val="-11"/>
                      <w:sz w:val="21"/>
                      <w:szCs w:val="21"/>
                      <w:lang w:eastAsia="zh-CN"/>
                    </w:rPr>
                    <w:t>[</w:t>
                  </w:r>
                  <w:r>
                    <w:rPr>
                      <w:rFonts w:hint="default" w:ascii="Times New Roman" w:hAnsi="Times New Roman" w:eastAsia="仿宋" w:cs="Times New Roman"/>
                      <w:color w:val="auto"/>
                      <w:spacing w:val="-11"/>
                      <w:sz w:val="21"/>
                      <w:szCs w:val="21"/>
                    </w:rPr>
                    <w:t>2014</w:t>
                  </w:r>
                  <w:r>
                    <w:rPr>
                      <w:rFonts w:hint="default" w:ascii="Times New Roman" w:hAnsi="Times New Roman" w:eastAsia="仿宋" w:cs="Times New Roman"/>
                      <w:color w:val="auto"/>
                      <w:spacing w:val="-11"/>
                      <w:sz w:val="21"/>
                      <w:szCs w:val="21"/>
                      <w:lang w:eastAsia="zh-CN"/>
                    </w:rPr>
                    <w:t>]</w:t>
                  </w:r>
                  <w:r>
                    <w:rPr>
                      <w:rFonts w:hint="default" w:ascii="Times New Roman" w:hAnsi="Times New Roman" w:eastAsia="仿宋" w:cs="Times New Roman"/>
                      <w:color w:val="auto"/>
                      <w:spacing w:val="-11"/>
                      <w:sz w:val="21"/>
                      <w:szCs w:val="21"/>
                    </w:rPr>
                    <w:t>128号）</w:t>
                  </w:r>
                </w:p>
              </w:tc>
              <w:tc>
                <w:tcPr>
                  <w:tcW w:w="2528" w:type="pct"/>
                  <w:gridSpan w:val="2"/>
                  <w:noWrap w:val="0"/>
                  <w:vAlign w:val="center"/>
                </w:tcPr>
                <w:p w14:paraId="66999629">
                  <w:pPr>
                    <w:keepNext w:val="0"/>
                    <w:keepLines w:val="0"/>
                    <w:pageBreakBefore w:val="0"/>
                    <w:kinsoku/>
                    <w:wordWrap/>
                    <w:overflowPunct/>
                    <w:topLinePunct w:val="0"/>
                    <w:autoSpaceDE/>
                    <w:autoSpaceDN/>
                    <w:bidi w:val="0"/>
                    <w:adjustRightInd/>
                    <w:snapToGrid w:val="0"/>
                    <w:spacing w:line="280" w:lineRule="exact"/>
                    <w:jc w:val="left"/>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指南规定：“①所有产生有机废气污染的企业，应优先采用环保型原辅料、生产工艺和装备，对相应生产单元或设施进行密闭，从源头控制VOCs的产生，减少废气污染物排放。②鼓励对排放的VOCs进行回收利用，并优先在生产系统内回用。对浓度、性状差异较大的废气应分类收集，并采用适宜的方式进行有效处理，确保VOCs总去除率满足管理要求，其中有机化工、医药化工、橡胶和塑料制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有机溶剂浸胶工艺）溶剂型涂料表面涂装、包装印刷业的VOCs总收集、净化处理率均不低于90%，其他行业原则上不低于75%”。</w:t>
                  </w:r>
                </w:p>
              </w:tc>
              <w:tc>
                <w:tcPr>
                  <w:tcW w:w="1130" w:type="pct"/>
                  <w:noWrap w:val="0"/>
                  <w:vAlign w:val="center"/>
                </w:tcPr>
                <w:p w14:paraId="27278E8F">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本项目</w:t>
                  </w:r>
                  <w:r>
                    <w:rPr>
                      <w:rFonts w:hint="eastAsia" w:ascii="Times New Roman" w:hAnsi="Times New Roman" w:eastAsia="仿宋" w:cs="Times New Roman"/>
                      <w:color w:val="auto"/>
                      <w:sz w:val="21"/>
                      <w:szCs w:val="21"/>
                      <w:lang w:val="en-US" w:eastAsia="zh-CN"/>
                    </w:rPr>
                    <w:t>胶水用量较小，且根据企业提供的胶水VOCs检测报告，VOC含量未检出</w:t>
                  </w:r>
                  <w:r>
                    <w:rPr>
                      <w:rFonts w:hint="eastAsia" w:eastAsia="仿宋" w:cs="Times New Roman"/>
                      <w:color w:val="auto"/>
                      <w:sz w:val="21"/>
                      <w:szCs w:val="21"/>
                      <w:lang w:val="en-US" w:eastAsia="zh-CN"/>
                    </w:rPr>
                    <w:t>，本环评未进行定量分析</w:t>
                  </w:r>
                  <w:r>
                    <w:rPr>
                      <w:rFonts w:hint="default" w:ascii="Times New Roman" w:hAnsi="Times New Roman" w:eastAsia="仿宋" w:cs="Times New Roman"/>
                      <w:color w:val="auto"/>
                      <w:sz w:val="21"/>
                      <w:szCs w:val="21"/>
                    </w:rPr>
                    <w:t>。</w:t>
                  </w:r>
                </w:p>
              </w:tc>
              <w:tc>
                <w:tcPr>
                  <w:tcW w:w="500" w:type="pct"/>
                  <w:noWrap w:val="0"/>
                  <w:vAlign w:val="center"/>
                </w:tcPr>
                <w:p w14:paraId="31A9250D">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62077FC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599BAE97">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《江苏省挥发性有机物清洁原料替代工作方案》（苏大气办[2021]2号）</w:t>
                  </w:r>
                </w:p>
              </w:tc>
              <w:tc>
                <w:tcPr>
                  <w:tcW w:w="2528" w:type="pct"/>
                  <w:gridSpan w:val="2"/>
                  <w:vMerge w:val="restart"/>
                  <w:noWrap w:val="0"/>
                  <w:vAlign w:val="center"/>
                </w:tcPr>
                <w:p w14:paraId="3F8E4041">
                  <w:pPr>
                    <w:pStyle w:val="2"/>
                    <w:keepNext w:val="0"/>
                    <w:keepLines w:val="0"/>
                    <w:pageBreakBefore w:val="0"/>
                    <w:kinsoku/>
                    <w:wordWrap/>
                    <w:overflowPunct/>
                    <w:topLinePunct w:val="0"/>
                    <w:autoSpaceDE/>
                    <w:autoSpaceDN/>
                    <w:bidi w:val="0"/>
                    <w:adjustRightInd/>
                    <w:snapToGrid w:val="0"/>
                    <w:spacing w:before="0" w:after="0" w:line="280" w:lineRule="exact"/>
                    <w:ind w:right="0"/>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（五）其他企业。各地可根据本地产业特色，将其他行业企业涉VOCs工序纳入清洁原料替代清单。其他行业企业涉VOCs 相关工序，要使用符合《低挥发性有机化合物含量涂料产品技术要求》（GB/T38597-2020）规定的粉末、水性、无溶剂、辐射固化涂料产品；符合《清洗剂挥发性有机化合物含量限值》（GB38508-2020）规定的水基、半水基清洗剂产品；符合《胶粘剂挥发性有机化合物限量》（GB33372-2020）规定的水基型、本体型胶粘剂产品。若确实无法达到上述要求，应提供相应的论证说明。使用的涂料、清洗剂、胶粘剂、油墨中VOCs 含量的限值应符合《船舶涂料中有害物质限量》（GB38469-2019）、《木器涂料中有害物质限量》（GB18581-2020）、《车辆涂料中有害物质限量》（GB24409-2020）、《工业防护涂料中有害物质限量》（GB30981-2020）、《清洗剂挥发性有机化合物含量限值》（GB 38508-2020）、《胶粘剂挥发性有机化合物限量》（GB33372-2020）、《油墨中可挥发性有机化合物（VOCs）含量的限值》（GB38507-2020）中的限值要求。</w:t>
                  </w:r>
                </w:p>
              </w:tc>
              <w:tc>
                <w:tcPr>
                  <w:tcW w:w="1130" w:type="pct"/>
                  <w:vMerge w:val="restart"/>
                  <w:noWrap w:val="0"/>
                  <w:vAlign w:val="center"/>
                </w:tcPr>
                <w:p w14:paraId="51EB9D72">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color w:val="auto"/>
                      <w:sz w:val="21"/>
                      <w:szCs w:val="21"/>
                      <w:lang w:val="en-US" w:eastAsia="zh-CN"/>
                    </w:rPr>
                    <w:t>本项目为电机、驱动器生产项目，不使用溶剂型涂料、油墨和胶粘剂；</w:t>
                  </w:r>
                  <w:r>
                    <w:rPr>
                      <w:rFonts w:hint="eastAsia" w:eastAsia="仿宋" w:cs="Times New Roman"/>
                      <w:color w:val="auto"/>
                      <w:sz w:val="21"/>
                      <w:szCs w:val="21"/>
                      <w:lang w:val="en-US" w:eastAsia="zh-CN"/>
                    </w:rPr>
                    <w:t>使用本体型环氧树脂类胶粘剂，根据VOCs检测报告可知，符合</w:t>
                  </w:r>
                  <w:r>
                    <w:rPr>
                      <w:rFonts w:hint="default" w:ascii="Times New Roman" w:hAnsi="Times New Roman" w:eastAsia="仿宋" w:cs="Times New Roman"/>
                      <w:bCs/>
                      <w:color w:val="auto"/>
                      <w:sz w:val="21"/>
                      <w:szCs w:val="21"/>
                      <w:lang w:val="en-US" w:eastAsia="zh-CN"/>
                    </w:rPr>
                    <w:t>《胶粘剂挥发性有机化合物限量》（GB33372-2020）</w:t>
                  </w:r>
                  <w:r>
                    <w:rPr>
                      <w:rFonts w:hint="default" w:ascii="Times New Roman" w:hAnsi="Times New Roman" w:eastAsia="仿宋" w:cs="Times New Roman"/>
                      <w:color w:val="auto"/>
                      <w:sz w:val="21"/>
                      <w:szCs w:val="21"/>
                      <w:lang w:val="en-US" w:eastAsia="zh-CN"/>
                    </w:rPr>
                    <w:t>要求</w:t>
                  </w:r>
                  <w:r>
                    <w:rPr>
                      <w:rFonts w:hint="eastAsia" w:eastAsia="仿宋" w:cs="Times New Roman"/>
                      <w:bCs/>
                      <w:color w:val="auto"/>
                      <w:sz w:val="21"/>
                      <w:szCs w:val="21"/>
                      <w:lang w:val="en-US" w:eastAsia="zh-CN"/>
                    </w:rPr>
                    <w:t>；</w:t>
                  </w:r>
                  <w:r>
                    <w:rPr>
                      <w:rFonts w:hint="eastAsia" w:eastAsia="仿宋" w:cs="Times New Roman"/>
                      <w:color w:val="auto"/>
                      <w:sz w:val="21"/>
                      <w:szCs w:val="21"/>
                      <w:lang w:val="en-US" w:eastAsia="zh-CN"/>
                    </w:rPr>
                    <w:t>使</w:t>
                  </w:r>
                  <w:r>
                    <w:rPr>
                      <w:rFonts w:hint="default" w:ascii="Times New Roman" w:hAnsi="Times New Roman" w:eastAsia="仿宋" w:cs="Times New Roman"/>
                      <w:color w:val="auto"/>
                      <w:sz w:val="21"/>
                      <w:szCs w:val="21"/>
                      <w:lang w:val="en-US" w:eastAsia="zh-CN"/>
                    </w:rPr>
                    <w:t>用水基型清洗剂，根据清洗剂MSDS可知，</w:t>
                  </w:r>
                  <w:r>
                    <w:rPr>
                      <w:rFonts w:hint="default" w:ascii="Times New Roman" w:hAnsi="Times New Roman" w:eastAsia="仿宋" w:cs="Times New Roman"/>
                      <w:bCs/>
                      <w:color w:val="auto"/>
                      <w:sz w:val="21"/>
                      <w:szCs w:val="21"/>
                      <w:lang w:val="en-US" w:eastAsia="zh-CN"/>
                    </w:rPr>
                    <w:t>符合《清洗剂挥发性有机化合物含量限值》（GB38508-2020）</w:t>
                  </w:r>
                  <w:r>
                    <w:rPr>
                      <w:rFonts w:hint="default" w:ascii="Times New Roman" w:hAnsi="Times New Roman" w:eastAsia="仿宋" w:cs="Times New Roman"/>
                      <w:color w:val="auto"/>
                      <w:sz w:val="21"/>
                      <w:szCs w:val="21"/>
                      <w:lang w:val="en-US" w:eastAsia="zh-CN"/>
                    </w:rPr>
                    <w:t>要求。</w:t>
                  </w:r>
                </w:p>
              </w:tc>
              <w:tc>
                <w:tcPr>
                  <w:tcW w:w="500" w:type="pct"/>
                  <w:vMerge w:val="restart"/>
                  <w:noWrap w:val="0"/>
                  <w:vAlign w:val="center"/>
                </w:tcPr>
                <w:p w14:paraId="2D6F8C72">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相符</w:t>
                  </w:r>
                </w:p>
              </w:tc>
            </w:tr>
            <w:tr w14:paraId="673C7B3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2DAAA9AB">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《常州市挥发性有机物清洁原料替代工作方案》（常污防攻坚指办[2021]32号）</w:t>
                  </w:r>
                </w:p>
              </w:tc>
              <w:tc>
                <w:tcPr>
                  <w:tcW w:w="2528" w:type="pct"/>
                  <w:gridSpan w:val="2"/>
                  <w:vMerge w:val="continue"/>
                  <w:noWrap w:val="0"/>
                  <w:vAlign w:val="center"/>
                </w:tcPr>
                <w:p w14:paraId="118D47CE">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p>
              </w:tc>
              <w:tc>
                <w:tcPr>
                  <w:tcW w:w="1130" w:type="pct"/>
                  <w:vMerge w:val="continue"/>
                  <w:noWrap w:val="0"/>
                  <w:vAlign w:val="center"/>
                </w:tcPr>
                <w:p w14:paraId="6DED7BE1">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p>
              </w:tc>
              <w:tc>
                <w:tcPr>
                  <w:tcW w:w="500" w:type="pct"/>
                  <w:vMerge w:val="continue"/>
                  <w:noWrap w:val="0"/>
                  <w:vAlign w:val="center"/>
                </w:tcPr>
                <w:p w14:paraId="7ECB94FD">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p>
              </w:tc>
            </w:tr>
            <w:tr w14:paraId="3722E0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trHeight w:val="340" w:hRule="atLeast"/>
              </w:trPr>
              <w:tc>
                <w:tcPr>
                  <w:tcW w:w="840" w:type="pct"/>
                  <w:vMerge w:val="restart"/>
                  <w:noWrap w:val="0"/>
                  <w:vAlign w:val="center"/>
                </w:tcPr>
                <w:p w14:paraId="3DC16EB3">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《2022年常州市深入打好污染防治攻坚战专项行动方案》</w:t>
                  </w:r>
                </w:p>
              </w:tc>
              <w:tc>
                <w:tcPr>
                  <w:tcW w:w="921" w:type="pct"/>
                  <w:noWrap w:val="0"/>
                  <w:vAlign w:val="center"/>
                </w:tcPr>
                <w:p w14:paraId="0DA568E6">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着力打好臭氧污染防治攻坚战</w:t>
                  </w:r>
                </w:p>
              </w:tc>
              <w:tc>
                <w:tcPr>
                  <w:tcW w:w="1606" w:type="pct"/>
                  <w:noWrap w:val="0"/>
                  <w:vAlign w:val="center"/>
                </w:tcPr>
                <w:p w14:paraId="3C136774">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kern w:val="32"/>
                      <w:sz w:val="21"/>
                      <w:szCs w:val="21"/>
                    </w:rPr>
                  </w:pPr>
                  <w:r>
                    <w:rPr>
                      <w:rFonts w:hint="default" w:ascii="Times New Roman" w:hAnsi="Times New Roman" w:eastAsia="仿宋" w:cs="Times New Roman"/>
                      <w:color w:val="auto"/>
                      <w:kern w:val="32"/>
                      <w:sz w:val="21"/>
                      <w:szCs w:val="21"/>
                    </w:rPr>
                    <w:t>以化工、涂装、医药、包装印刷、油品储运等行业领域为重点，实施原辅材料和产品源头替代工程。结合产业结构分布，培育源头替代示范型企业。对照国家强制性标准，每季度开展1次各类涂料、油墨、胶黏剂、清洗剂等产品VOCS含量限值标准执行情况的监督检查。</w:t>
                  </w:r>
                </w:p>
              </w:tc>
              <w:tc>
                <w:tcPr>
                  <w:tcW w:w="1130" w:type="pct"/>
                  <w:noWrap w:val="0"/>
                  <w:vAlign w:val="center"/>
                </w:tcPr>
                <w:p w14:paraId="7D9E39D8">
                  <w:pPr>
                    <w:snapToGrid w:val="0"/>
                    <w:spacing w:line="260" w:lineRule="exact"/>
                    <w:jc w:val="center"/>
                    <w:rPr>
                      <w:rFonts w:hint="default" w:ascii="Times New Roman" w:hAnsi="Times New Roman" w:eastAsia="仿宋" w:cs="Times New Roman"/>
                      <w:color w:val="auto"/>
                      <w:kern w:val="32"/>
                      <w:sz w:val="21"/>
                      <w:szCs w:val="21"/>
                    </w:rPr>
                  </w:pPr>
                  <w:r>
                    <w:rPr>
                      <w:rFonts w:hint="default" w:ascii="Times New Roman" w:hAnsi="Times New Roman" w:eastAsia="仿宋" w:cs="Times New Roman"/>
                      <w:color w:val="auto"/>
                      <w:kern w:val="32"/>
                      <w:sz w:val="21"/>
                      <w:szCs w:val="21"/>
                    </w:rPr>
                    <w:t>本项目不使用溶剂型涂料、油墨及胶粘剂等。</w:t>
                  </w:r>
                </w:p>
              </w:tc>
              <w:tc>
                <w:tcPr>
                  <w:tcW w:w="500" w:type="pct"/>
                  <w:noWrap w:val="0"/>
                  <w:vAlign w:val="center"/>
                </w:tcPr>
                <w:p w14:paraId="4FF47BE7">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w:t>
                  </w:r>
                </w:p>
              </w:tc>
            </w:tr>
            <w:tr w14:paraId="0EA59D5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vMerge w:val="continue"/>
                  <w:noWrap w:val="0"/>
                  <w:vAlign w:val="center"/>
                </w:tcPr>
                <w:p w14:paraId="60F24751">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p>
              </w:tc>
              <w:tc>
                <w:tcPr>
                  <w:tcW w:w="921" w:type="pct"/>
                  <w:noWrap w:val="0"/>
                  <w:vAlign w:val="center"/>
                </w:tcPr>
                <w:p w14:paraId="5974A50D">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6"/>
                      <w:kern w:val="32"/>
                      <w:sz w:val="21"/>
                      <w:szCs w:val="21"/>
                    </w:rPr>
                    <w:t>持续打好太湖治理攻坚战</w:t>
                  </w:r>
                </w:p>
              </w:tc>
              <w:tc>
                <w:tcPr>
                  <w:tcW w:w="1606" w:type="pct"/>
                  <w:noWrap w:val="0"/>
                  <w:vAlign w:val="center"/>
                </w:tcPr>
                <w:p w14:paraId="6A66B9B3">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kern w:val="32"/>
                      <w:sz w:val="21"/>
                      <w:szCs w:val="21"/>
                    </w:rPr>
                  </w:pPr>
                  <w:r>
                    <w:rPr>
                      <w:rFonts w:hint="default" w:ascii="Times New Roman" w:hAnsi="Times New Roman" w:eastAsia="仿宋" w:cs="Times New Roman"/>
                      <w:color w:val="auto"/>
                      <w:spacing w:val="-6"/>
                      <w:kern w:val="32"/>
                      <w:sz w:val="21"/>
                      <w:szCs w:val="21"/>
                    </w:rPr>
                    <w:t>依托涉水企业事故排放应急处置设施专项督查行动，全力推进企业雨水排口、应急排口整治工作，开展工业园区水污染防治专项行动，推进园区工业类专业化集中式污水分质处理设施建设。开展涉酚、涉氟企业专项整治，严防工业特征污染物超标现象。持续推进涉磷企业标准化、规范化整治。推进工业污水退出市政管网，溧阳市、金坛区、武进区推进工业污水处理厂建设。</w:t>
                  </w:r>
                </w:p>
              </w:tc>
              <w:tc>
                <w:tcPr>
                  <w:tcW w:w="1130" w:type="pct"/>
                  <w:noWrap w:val="0"/>
                  <w:vAlign w:val="center"/>
                </w:tcPr>
                <w:p w14:paraId="39DE2543">
                  <w:pPr>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w:t>
                  </w:r>
                  <w:r>
                    <w:rPr>
                      <w:rFonts w:hint="eastAsia" w:ascii="Times New Roman" w:hAnsi="Times New Roman" w:eastAsia="仿宋" w:cs="Times New Roman"/>
                      <w:color w:val="auto"/>
                      <w:sz w:val="21"/>
                      <w:szCs w:val="21"/>
                      <w:lang w:val="en-US" w:eastAsia="zh-CN"/>
                    </w:rPr>
                    <w:t>清洗废液</w:t>
                  </w:r>
                  <w:r>
                    <w:rPr>
                      <w:rFonts w:hint="default" w:ascii="Times New Roman" w:hAnsi="Times New Roman" w:eastAsia="仿宋" w:cs="Times New Roman"/>
                      <w:color w:val="auto"/>
                      <w:sz w:val="21"/>
                      <w:szCs w:val="21"/>
                      <w:lang w:val="en-US" w:eastAsia="zh-CN"/>
                    </w:rPr>
                    <w:t>作为危废委托有资质单位处理</w:t>
                  </w:r>
                  <w:r>
                    <w:rPr>
                      <w:rFonts w:hint="default" w:ascii="Times New Roman" w:hAnsi="Times New Roman" w:eastAsia="仿宋" w:cs="Times New Roman"/>
                      <w:bCs/>
                      <w:color w:val="auto"/>
                      <w:sz w:val="21"/>
                      <w:szCs w:val="21"/>
                    </w:rPr>
                    <w:t>；</w:t>
                  </w:r>
                  <w:r>
                    <w:rPr>
                      <w:rFonts w:hint="default" w:ascii="Times New Roman" w:hAnsi="Times New Roman" w:eastAsia="仿宋" w:cs="Times New Roman"/>
                      <w:color w:val="auto"/>
                      <w:sz w:val="21"/>
                      <w:szCs w:val="21"/>
                    </w:rPr>
                    <w:t>生活污水依托园区污水管网经市政污水管网排入滨湖污水处理厂处理，达标尾水排入新京杭运河</w:t>
                  </w:r>
                </w:p>
              </w:tc>
              <w:tc>
                <w:tcPr>
                  <w:tcW w:w="500" w:type="pct"/>
                  <w:noWrap w:val="0"/>
                  <w:vAlign w:val="center"/>
                </w:tcPr>
                <w:p w14:paraId="1FFCEC34">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w:t>
                  </w:r>
                </w:p>
              </w:tc>
            </w:tr>
            <w:tr w14:paraId="7D2CFE0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vMerge w:val="continue"/>
                  <w:noWrap w:val="0"/>
                  <w:vAlign w:val="center"/>
                </w:tcPr>
                <w:p w14:paraId="24DE3A31">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p>
              </w:tc>
              <w:tc>
                <w:tcPr>
                  <w:tcW w:w="921" w:type="pct"/>
                  <w:noWrap w:val="0"/>
                  <w:vAlign w:val="center"/>
                </w:tcPr>
                <w:p w14:paraId="509DA969">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pacing w:val="-6"/>
                      <w:kern w:val="32"/>
                      <w:sz w:val="21"/>
                      <w:szCs w:val="21"/>
                    </w:rPr>
                  </w:pPr>
                  <w:r>
                    <w:rPr>
                      <w:rFonts w:hint="default" w:ascii="Times New Roman" w:hAnsi="Times New Roman" w:eastAsia="仿宋" w:cs="Times New Roman"/>
                      <w:color w:val="auto"/>
                      <w:spacing w:val="-6"/>
                      <w:kern w:val="32"/>
                      <w:sz w:val="21"/>
                      <w:szCs w:val="21"/>
                    </w:rPr>
                    <w:t>着力打好噪音污染治理攻坚战</w:t>
                  </w:r>
                </w:p>
              </w:tc>
              <w:tc>
                <w:tcPr>
                  <w:tcW w:w="1606" w:type="pct"/>
                  <w:noWrap w:val="0"/>
                  <w:vAlign w:val="center"/>
                </w:tcPr>
                <w:p w14:paraId="5F2EC11E">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pacing w:val="-6"/>
                      <w:kern w:val="32"/>
                      <w:sz w:val="21"/>
                      <w:szCs w:val="21"/>
                    </w:rPr>
                  </w:pPr>
                  <w:r>
                    <w:rPr>
                      <w:rFonts w:hint="default" w:ascii="Times New Roman" w:hAnsi="Times New Roman" w:eastAsia="仿宋" w:cs="Times New Roman"/>
                      <w:color w:val="auto"/>
                      <w:spacing w:val="-6"/>
                      <w:kern w:val="32"/>
                      <w:sz w:val="21"/>
                      <w:szCs w:val="21"/>
                    </w:rPr>
                    <w:t>实施噪声污染防治行动，开展声环境功能区评估与调整，强化声环境功能区管理。</w:t>
                  </w:r>
                </w:p>
              </w:tc>
              <w:tc>
                <w:tcPr>
                  <w:tcW w:w="1130" w:type="pct"/>
                  <w:noWrap w:val="0"/>
                  <w:vAlign w:val="center"/>
                </w:tcPr>
                <w:p w14:paraId="2F028719">
                  <w:pPr>
                    <w:snapToGrid w:val="0"/>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本项目将采取隔声、减震等综合降噪措施，并加强生产管理和设备维护以减少噪声对环境的影响。</w:t>
                  </w:r>
                </w:p>
              </w:tc>
              <w:tc>
                <w:tcPr>
                  <w:tcW w:w="500" w:type="pct"/>
                  <w:noWrap w:val="0"/>
                  <w:vAlign w:val="center"/>
                </w:tcPr>
                <w:p w14:paraId="7E1F4A4F">
                  <w:pPr>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符合</w:t>
                  </w:r>
                </w:p>
              </w:tc>
            </w:tr>
            <w:tr w14:paraId="23ECD0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840" w:type="pct"/>
                  <w:noWrap w:val="0"/>
                  <w:vAlign w:val="center"/>
                </w:tcPr>
                <w:p w14:paraId="54B6CED9">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关于印发《重点行业挥发性有机物综合治理方案》的通知</w:t>
                  </w:r>
                </w:p>
                <w:p w14:paraId="7754F88D">
                  <w:pPr>
                    <w:pStyle w:val="2"/>
                    <w:spacing w:before="0" w:after="0" w:line="260" w:lineRule="exact"/>
                    <w:ind w:right="0"/>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（环大气[2019]53号）</w:t>
                  </w:r>
                </w:p>
              </w:tc>
              <w:tc>
                <w:tcPr>
                  <w:tcW w:w="2528" w:type="pct"/>
                  <w:gridSpan w:val="2"/>
                  <w:noWrap w:val="0"/>
                  <w:vAlign w:val="center"/>
                </w:tcPr>
                <w:p w14:paraId="23B59523">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pacing w:val="-6"/>
                      <w:kern w:val="32"/>
                      <w:sz w:val="21"/>
                      <w:szCs w:val="21"/>
                    </w:rPr>
                  </w:pPr>
                  <w:r>
                    <w:rPr>
                      <w:rFonts w:hint="default" w:ascii="Times New Roman" w:hAnsi="Times New Roman" w:eastAsia="仿宋" w:cs="Times New Roman"/>
                      <w:color w:val="auto"/>
                      <w:spacing w:val="-6"/>
                      <w:kern w:val="32"/>
                      <w:sz w:val="21"/>
                      <w:szCs w:val="21"/>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14:paraId="1692D19A">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仿宋" w:cs="Times New Roman"/>
                      <w:color w:val="auto"/>
                      <w:spacing w:val="-6"/>
                      <w:kern w:val="32"/>
                      <w:sz w:val="21"/>
                      <w:szCs w:val="21"/>
                      <w:lang w:val="en-US" w:eastAsia="zh-CN"/>
                    </w:rPr>
                  </w:pPr>
                  <w:r>
                    <w:rPr>
                      <w:rFonts w:hint="default" w:ascii="Times New Roman" w:hAnsi="Times New Roman" w:eastAsia="仿宋" w:cs="Times New Roman"/>
                      <w:color w:val="auto"/>
                      <w:spacing w:val="-6"/>
                      <w:kern w:val="32"/>
                      <w:sz w:val="21"/>
                      <w:szCs w:val="21"/>
                    </w:rPr>
                    <w:t>加强政策引导。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1130" w:type="pct"/>
                  <w:noWrap w:val="0"/>
                  <w:vAlign w:val="center"/>
                </w:tcPr>
                <w:p w14:paraId="0ADB09F2">
                  <w:pPr>
                    <w:snapToGrid w:val="0"/>
                    <w:spacing w:line="26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本项目</w:t>
                  </w:r>
                  <w:r>
                    <w:rPr>
                      <w:rFonts w:hint="eastAsia" w:eastAsia="仿宋" w:cs="Times New Roman"/>
                      <w:color w:val="auto"/>
                      <w:sz w:val="21"/>
                      <w:szCs w:val="21"/>
                      <w:lang w:val="en-US" w:eastAsia="zh-CN"/>
                    </w:rPr>
                    <w:t>使用本体型环氧树脂类胶粘剂，根据VOCs检测报告可知，符合</w:t>
                  </w:r>
                  <w:r>
                    <w:rPr>
                      <w:rFonts w:hint="default" w:ascii="Times New Roman" w:hAnsi="Times New Roman" w:eastAsia="仿宋" w:cs="Times New Roman"/>
                      <w:bCs/>
                      <w:color w:val="auto"/>
                      <w:sz w:val="21"/>
                      <w:szCs w:val="21"/>
                      <w:lang w:val="en-US" w:eastAsia="zh-CN"/>
                    </w:rPr>
                    <w:t>《胶粘剂挥发性有机化合物限量》（GB33372-2020）</w:t>
                  </w:r>
                  <w:r>
                    <w:rPr>
                      <w:rFonts w:hint="default" w:ascii="Times New Roman" w:hAnsi="Times New Roman" w:eastAsia="仿宋" w:cs="Times New Roman"/>
                      <w:color w:val="auto"/>
                      <w:sz w:val="21"/>
                      <w:szCs w:val="21"/>
                      <w:lang w:val="en-US" w:eastAsia="zh-CN"/>
                    </w:rPr>
                    <w:t>要求</w:t>
                  </w:r>
                  <w:r>
                    <w:rPr>
                      <w:rFonts w:hint="eastAsia" w:ascii="Times New Roman" w:hAnsi="Times New Roman" w:eastAsia="仿宋" w:cs="Times New Roman"/>
                      <w:bCs/>
                      <w:color w:val="auto"/>
                      <w:sz w:val="21"/>
                      <w:szCs w:val="21"/>
                      <w:lang w:val="en-US" w:eastAsia="zh-CN"/>
                    </w:rPr>
                    <w:t>；</w:t>
                  </w:r>
                  <w:r>
                    <w:rPr>
                      <w:rFonts w:hint="default" w:ascii="Times New Roman" w:hAnsi="Times New Roman" w:eastAsia="仿宋" w:cs="Times New Roman"/>
                      <w:color w:val="auto"/>
                      <w:sz w:val="21"/>
                      <w:szCs w:val="21"/>
                      <w:lang w:val="en-US" w:eastAsia="zh-CN"/>
                    </w:rPr>
                    <w:t>使用无挥发分的水基清洗剂，符合《清洗剂挥发性有机化合物含量限值》（GB38508-2020）要求</w:t>
                  </w:r>
                  <w:r>
                    <w:rPr>
                      <w:rFonts w:hint="eastAsia" w:eastAsia="仿宋" w:cs="Times New Roman"/>
                      <w:color w:val="auto"/>
                      <w:sz w:val="21"/>
                      <w:szCs w:val="21"/>
                      <w:lang w:val="en-US" w:eastAsia="zh-CN"/>
                    </w:rPr>
                    <w:t>。</w:t>
                  </w:r>
                </w:p>
              </w:tc>
              <w:tc>
                <w:tcPr>
                  <w:tcW w:w="500" w:type="pct"/>
                  <w:noWrap w:val="0"/>
                  <w:vAlign w:val="center"/>
                </w:tcPr>
                <w:p w14:paraId="7C09158D">
                  <w:pPr>
                    <w:spacing w:line="26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符合</w:t>
                  </w:r>
                </w:p>
              </w:tc>
            </w:tr>
          </w:tbl>
          <w:p w14:paraId="5E7A3FAB">
            <w:pPr>
              <w:spacing w:line="360" w:lineRule="exact"/>
              <w:ind w:firstLine="420" w:firstLineChars="200"/>
              <w:rPr>
                <w:rFonts w:hint="default" w:ascii="Times New Roman" w:hAnsi="Times New Roman" w:eastAsia="仿宋" w:cs="Times New Roman"/>
                <w:color w:val="auto"/>
                <w:sz w:val="21"/>
                <w:szCs w:val="21"/>
              </w:rPr>
            </w:pPr>
          </w:p>
          <w:p w14:paraId="6D364850">
            <w:pPr>
              <w:spacing w:line="360" w:lineRule="exact"/>
              <w:ind w:firstLine="420" w:firstLineChars="200"/>
              <w:rPr>
                <w:rFonts w:hint="default" w:ascii="Times New Roman" w:hAnsi="Times New Roman" w:eastAsia="仿宋" w:cs="Times New Roman"/>
                <w:color w:val="auto"/>
                <w:sz w:val="21"/>
                <w:szCs w:val="21"/>
              </w:rPr>
            </w:pPr>
          </w:p>
          <w:p w14:paraId="20921055">
            <w:pPr>
              <w:spacing w:line="360" w:lineRule="exact"/>
              <w:ind w:firstLine="420" w:firstLineChars="200"/>
              <w:rPr>
                <w:rFonts w:hint="default" w:ascii="Times New Roman" w:hAnsi="Times New Roman" w:eastAsia="仿宋" w:cs="Times New Roman"/>
                <w:color w:val="auto"/>
                <w:sz w:val="21"/>
                <w:szCs w:val="21"/>
              </w:rPr>
            </w:pPr>
          </w:p>
          <w:p w14:paraId="6E06DCD0">
            <w:pPr>
              <w:spacing w:line="360" w:lineRule="exact"/>
              <w:ind w:firstLine="420" w:firstLineChars="200"/>
              <w:rPr>
                <w:rFonts w:hint="default" w:ascii="Times New Roman" w:hAnsi="Times New Roman" w:eastAsia="仿宋" w:cs="Times New Roman"/>
                <w:color w:val="auto"/>
                <w:sz w:val="21"/>
                <w:szCs w:val="21"/>
              </w:rPr>
            </w:pPr>
          </w:p>
          <w:p w14:paraId="7FA2194D">
            <w:pPr>
              <w:spacing w:line="360" w:lineRule="exact"/>
              <w:ind w:firstLine="420" w:firstLineChars="200"/>
              <w:rPr>
                <w:rFonts w:hint="default" w:ascii="Times New Roman" w:hAnsi="Times New Roman" w:eastAsia="仿宋" w:cs="Times New Roman"/>
                <w:color w:val="auto"/>
                <w:sz w:val="21"/>
                <w:szCs w:val="21"/>
              </w:rPr>
            </w:pPr>
          </w:p>
          <w:p w14:paraId="6116B0DA">
            <w:pPr>
              <w:spacing w:line="360" w:lineRule="exact"/>
              <w:ind w:firstLine="420" w:firstLineChars="200"/>
              <w:rPr>
                <w:rFonts w:hint="default" w:ascii="Times New Roman" w:hAnsi="Times New Roman" w:eastAsia="仿宋" w:cs="Times New Roman"/>
                <w:color w:val="auto"/>
                <w:sz w:val="21"/>
                <w:szCs w:val="21"/>
              </w:rPr>
            </w:pPr>
          </w:p>
          <w:p w14:paraId="0884272B">
            <w:pPr>
              <w:spacing w:line="360" w:lineRule="exact"/>
              <w:ind w:firstLine="420" w:firstLineChars="200"/>
              <w:rPr>
                <w:rFonts w:hint="default" w:ascii="Times New Roman" w:hAnsi="Times New Roman" w:eastAsia="仿宋" w:cs="Times New Roman"/>
                <w:color w:val="auto"/>
                <w:sz w:val="21"/>
                <w:szCs w:val="21"/>
              </w:rPr>
            </w:pPr>
          </w:p>
          <w:p w14:paraId="36D2F52D">
            <w:pPr>
              <w:spacing w:line="360" w:lineRule="exact"/>
              <w:ind w:firstLine="420" w:firstLineChars="200"/>
              <w:rPr>
                <w:rFonts w:hint="default" w:ascii="Times New Roman" w:hAnsi="Times New Roman" w:eastAsia="仿宋" w:cs="Times New Roman"/>
                <w:color w:val="auto"/>
                <w:sz w:val="21"/>
                <w:szCs w:val="21"/>
              </w:rPr>
            </w:pPr>
          </w:p>
          <w:p w14:paraId="32235361">
            <w:pPr>
              <w:spacing w:line="360" w:lineRule="exact"/>
              <w:ind w:firstLine="420" w:firstLineChars="200"/>
              <w:rPr>
                <w:rFonts w:hint="default" w:ascii="Times New Roman" w:hAnsi="Times New Roman" w:eastAsia="仿宋" w:cs="Times New Roman"/>
                <w:color w:val="auto"/>
                <w:sz w:val="21"/>
                <w:szCs w:val="21"/>
              </w:rPr>
            </w:pPr>
          </w:p>
          <w:p w14:paraId="3347FABA">
            <w:pPr>
              <w:spacing w:line="360" w:lineRule="exact"/>
              <w:ind w:firstLine="420" w:firstLineChars="200"/>
              <w:rPr>
                <w:rFonts w:hint="default" w:ascii="Times New Roman" w:hAnsi="Times New Roman" w:eastAsia="仿宋" w:cs="Times New Roman"/>
                <w:color w:val="auto"/>
                <w:sz w:val="21"/>
                <w:szCs w:val="21"/>
              </w:rPr>
            </w:pPr>
          </w:p>
          <w:p w14:paraId="65D28101">
            <w:pPr>
              <w:spacing w:line="360" w:lineRule="exact"/>
              <w:ind w:firstLine="420" w:firstLineChars="200"/>
              <w:rPr>
                <w:rFonts w:hint="default" w:ascii="Times New Roman" w:hAnsi="Times New Roman" w:eastAsia="仿宋" w:cs="Times New Roman"/>
                <w:color w:val="auto"/>
                <w:sz w:val="21"/>
                <w:szCs w:val="21"/>
              </w:rPr>
            </w:pPr>
          </w:p>
          <w:p w14:paraId="71E5FE9B">
            <w:pPr>
              <w:spacing w:line="360" w:lineRule="exact"/>
              <w:ind w:firstLine="420" w:firstLineChars="200"/>
              <w:rPr>
                <w:rFonts w:hint="default" w:ascii="Times New Roman" w:hAnsi="Times New Roman" w:eastAsia="仿宋" w:cs="Times New Roman"/>
                <w:color w:val="auto"/>
                <w:sz w:val="21"/>
                <w:szCs w:val="21"/>
              </w:rPr>
            </w:pPr>
          </w:p>
          <w:p w14:paraId="68B9CCB5">
            <w:pPr>
              <w:spacing w:line="360" w:lineRule="exact"/>
              <w:ind w:firstLine="420" w:firstLineChars="200"/>
              <w:rPr>
                <w:rFonts w:hint="default" w:ascii="Times New Roman" w:hAnsi="Times New Roman" w:eastAsia="仿宋" w:cs="Times New Roman"/>
                <w:color w:val="auto"/>
                <w:sz w:val="21"/>
                <w:szCs w:val="21"/>
              </w:rPr>
            </w:pPr>
          </w:p>
          <w:p w14:paraId="1322796D">
            <w:pPr>
              <w:spacing w:line="360" w:lineRule="exact"/>
              <w:ind w:firstLine="420" w:firstLineChars="200"/>
              <w:rPr>
                <w:rFonts w:hint="default" w:ascii="Times New Roman" w:hAnsi="Times New Roman" w:eastAsia="仿宋" w:cs="Times New Roman"/>
                <w:color w:val="auto"/>
                <w:sz w:val="21"/>
                <w:szCs w:val="21"/>
              </w:rPr>
            </w:pPr>
          </w:p>
          <w:p w14:paraId="118DC4B9">
            <w:pPr>
              <w:spacing w:line="360" w:lineRule="exact"/>
              <w:ind w:firstLine="420" w:firstLineChars="200"/>
              <w:rPr>
                <w:rFonts w:hint="default" w:ascii="Times New Roman" w:hAnsi="Times New Roman" w:eastAsia="仿宋" w:cs="Times New Roman"/>
                <w:color w:val="auto"/>
                <w:sz w:val="21"/>
                <w:szCs w:val="21"/>
              </w:rPr>
            </w:pPr>
          </w:p>
          <w:p w14:paraId="041DF7AB">
            <w:pPr>
              <w:spacing w:line="360" w:lineRule="exact"/>
              <w:ind w:firstLine="420" w:firstLineChars="200"/>
              <w:rPr>
                <w:rFonts w:hint="default" w:ascii="Times New Roman" w:hAnsi="Times New Roman" w:eastAsia="仿宋" w:cs="Times New Roman"/>
                <w:color w:val="auto"/>
                <w:sz w:val="21"/>
                <w:szCs w:val="21"/>
              </w:rPr>
            </w:pPr>
          </w:p>
          <w:p w14:paraId="60031CD6">
            <w:pPr>
              <w:spacing w:line="360" w:lineRule="exact"/>
              <w:ind w:firstLine="420" w:firstLineChars="200"/>
              <w:rPr>
                <w:rFonts w:hint="default" w:ascii="Times New Roman" w:hAnsi="Times New Roman" w:eastAsia="仿宋" w:cs="Times New Roman"/>
                <w:color w:val="auto"/>
                <w:sz w:val="21"/>
                <w:szCs w:val="21"/>
              </w:rPr>
            </w:pPr>
          </w:p>
          <w:p w14:paraId="653108A6">
            <w:pPr>
              <w:spacing w:line="360" w:lineRule="exact"/>
              <w:ind w:firstLine="420" w:firstLineChars="200"/>
              <w:rPr>
                <w:rFonts w:hint="default" w:ascii="Times New Roman" w:hAnsi="Times New Roman" w:eastAsia="仿宋" w:cs="Times New Roman"/>
                <w:color w:val="auto"/>
                <w:sz w:val="21"/>
                <w:szCs w:val="21"/>
              </w:rPr>
            </w:pPr>
          </w:p>
          <w:p w14:paraId="05D96A44">
            <w:pPr>
              <w:spacing w:line="360" w:lineRule="exact"/>
              <w:rPr>
                <w:rFonts w:hint="default" w:ascii="Times New Roman" w:hAnsi="Times New Roman" w:eastAsia="仿宋" w:cs="Times New Roman"/>
                <w:color w:val="auto"/>
                <w:sz w:val="21"/>
                <w:szCs w:val="21"/>
              </w:rPr>
            </w:pPr>
          </w:p>
          <w:p w14:paraId="6469CFEB">
            <w:pPr>
              <w:spacing w:line="360" w:lineRule="exact"/>
              <w:ind w:firstLine="420" w:firstLineChars="200"/>
              <w:rPr>
                <w:rFonts w:hint="default" w:ascii="Times New Roman" w:hAnsi="Times New Roman" w:eastAsia="仿宋" w:cs="Times New Roman"/>
                <w:color w:val="auto"/>
                <w:sz w:val="21"/>
                <w:szCs w:val="21"/>
              </w:rPr>
            </w:pPr>
          </w:p>
          <w:p w14:paraId="33F631CB">
            <w:pPr>
              <w:pStyle w:val="3"/>
              <w:numPr>
                <w:ilvl w:val="0"/>
                <w:numId w:val="0"/>
              </w:numPr>
              <w:rPr>
                <w:rFonts w:hint="default" w:ascii="Times New Roman" w:hAnsi="Times New Roman" w:eastAsia="仿宋" w:cs="Times New Roman"/>
                <w:color w:val="auto"/>
                <w:sz w:val="21"/>
                <w:szCs w:val="21"/>
              </w:rPr>
            </w:pPr>
          </w:p>
        </w:tc>
      </w:tr>
    </w:tbl>
    <w:p w14:paraId="5DB07FB1">
      <w:pPr>
        <w:pStyle w:val="3"/>
        <w:numPr>
          <w:ilvl w:val="0"/>
          <w:numId w:val="0"/>
        </w:numPr>
        <w:rPr>
          <w:rFonts w:hint="default" w:ascii="Times New Roman" w:hAnsi="Times New Roman" w:eastAsia="仿宋" w:cs="Times New Roman"/>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836"/>
      </w:tblGrid>
      <w:tr w14:paraId="16EFB5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99" w:type="pct"/>
            <w:noWrap w:val="0"/>
            <w:vAlign w:val="center"/>
          </w:tcPr>
          <w:p w14:paraId="7AB4A98C">
            <w:pPr>
              <w:autoSpaceDE w:val="0"/>
              <w:autoSpaceDN w:val="0"/>
              <w:adjustRightInd w:val="0"/>
              <w:snapToGrid w:val="0"/>
              <w:jc w:val="center"/>
              <w:rPr>
                <w:rFonts w:hint="default" w:ascii="Times New Roman" w:hAnsi="Times New Roman" w:eastAsia="仿宋" w:cs="Times New Roman"/>
                <w:color w:val="auto"/>
                <w:kern w:val="0"/>
                <w:szCs w:val="21"/>
              </w:rPr>
            </w:pPr>
          </w:p>
        </w:tc>
        <w:tc>
          <w:tcPr>
            <w:tcW w:w="4701" w:type="pct"/>
            <w:noWrap w:val="0"/>
            <w:vAlign w:val="center"/>
          </w:tcPr>
          <w:p w14:paraId="5AC9C365">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与环评审批工作的相符性分析</w:t>
            </w:r>
          </w:p>
          <w:p w14:paraId="27C728A5">
            <w:pPr>
              <w:keepNext w:val="0"/>
              <w:keepLines w:val="0"/>
              <w:pageBreakBefore w:val="0"/>
              <w:widowControl w:val="0"/>
              <w:kinsoku/>
              <w:wordWrap/>
              <w:overflowPunct/>
              <w:topLinePunct w:val="0"/>
              <w:autoSpaceDE/>
              <w:autoSpaceDN/>
              <w:bidi w:val="0"/>
              <w:adjustRightInd/>
              <w:snapToGrid w:val="0"/>
              <w:spacing w:line="480" w:lineRule="exact"/>
              <w:ind w:firstLine="480" w:firstLineChars="200"/>
              <w:jc w:val="both"/>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1、与“省生态环境厅关于进一步做好建设项目环评审批工作的通知（苏环办[2019]36号）”相符性分析</w:t>
            </w:r>
          </w:p>
          <w:p w14:paraId="0D7C12A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表1-</w:t>
            </w:r>
            <w:r>
              <w:rPr>
                <w:rFonts w:hint="default" w:ascii="Times New Roman" w:hAnsi="Times New Roman" w:eastAsia="仿宋" w:cs="Times New Roman"/>
                <w:b/>
                <w:bCs/>
                <w:color w:val="auto"/>
                <w:szCs w:val="21"/>
                <w:lang w:val="en-US" w:eastAsia="zh-CN"/>
              </w:rPr>
              <w:t>10</w:t>
            </w:r>
            <w:r>
              <w:rPr>
                <w:rFonts w:hint="default" w:ascii="Times New Roman" w:hAnsi="Times New Roman" w:eastAsia="仿宋" w:cs="Times New Roman"/>
                <w:b/>
                <w:bCs/>
                <w:color w:val="auto"/>
                <w:szCs w:val="21"/>
              </w:rPr>
              <w:t xml:space="preserve"> </w:t>
            </w:r>
            <w:r>
              <w:rPr>
                <w:rFonts w:hint="default" w:ascii="Times New Roman" w:hAnsi="Times New Roman" w:eastAsia="仿宋" w:cs="Times New Roman"/>
                <w:b/>
                <w:bCs/>
                <w:color w:val="auto"/>
                <w:szCs w:val="21"/>
                <w:lang w:val="en-US" w:eastAsia="zh-CN"/>
              </w:rPr>
              <w:t xml:space="preserve"> </w:t>
            </w:r>
            <w:r>
              <w:rPr>
                <w:rFonts w:hint="default" w:ascii="Times New Roman" w:hAnsi="Times New Roman" w:eastAsia="仿宋" w:cs="Times New Roman"/>
                <w:b/>
                <w:bCs/>
                <w:color w:val="auto"/>
                <w:szCs w:val="21"/>
              </w:rPr>
              <w:t>与苏环办[2019]36号对照分析</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790"/>
              <w:gridCol w:w="3750"/>
              <w:gridCol w:w="937"/>
            </w:tblGrid>
            <w:tr w14:paraId="4D9C3CE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blHeader/>
                <w:jc w:val="center"/>
              </w:trPr>
              <w:tc>
                <w:tcPr>
                  <w:tcW w:w="7790" w:type="dxa"/>
                  <w:noWrap w:val="0"/>
                  <w:vAlign w:val="center"/>
                </w:tcPr>
                <w:p w14:paraId="7DD4488A">
                  <w:pPr>
                    <w:adjustRightInd w:val="0"/>
                    <w:snapToGrid w:val="0"/>
                    <w:spacing w:line="28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文件要求</w:t>
                  </w:r>
                </w:p>
              </w:tc>
              <w:tc>
                <w:tcPr>
                  <w:tcW w:w="3750" w:type="dxa"/>
                  <w:noWrap w:val="0"/>
                  <w:vAlign w:val="center"/>
                </w:tcPr>
                <w:p w14:paraId="42EFAC44">
                  <w:pPr>
                    <w:adjustRightInd w:val="0"/>
                    <w:snapToGrid w:val="0"/>
                    <w:spacing w:line="28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w:t>
                  </w:r>
                </w:p>
              </w:tc>
              <w:tc>
                <w:tcPr>
                  <w:tcW w:w="937" w:type="dxa"/>
                  <w:noWrap w:val="0"/>
                  <w:vAlign w:val="center"/>
                </w:tcPr>
                <w:p w14:paraId="7E48A91C">
                  <w:pPr>
                    <w:pStyle w:val="15"/>
                    <w:spacing w:after="0" w:line="280" w:lineRule="exact"/>
                    <w:ind w:left="0" w:left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相符性论证</w:t>
                  </w:r>
                </w:p>
              </w:tc>
            </w:tr>
            <w:tr w14:paraId="1FE206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532F5E85">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有下列情形之一的，不予批准：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建设项目类型及其选址、布局、规模等不符合</w:t>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HYPERLINK "https://www.eqxun.com/news/78.html" \t "https://www.eqxun.com/news/_blank"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环境保护法</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sz w:val="21"/>
                      <w:szCs w:val="21"/>
                    </w:rPr>
                    <w:t>律法规和相关法定规划；</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所在区域环境质量未达到国家或者地方环境质量标准，且建设项目拟采取的措施不能满足区域环境质量改善目标管理要求；</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3</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建设项目采取的污染防治措施无法确保污染物排放达到国家和地方排放标准，或者未采取必要措施预防和控制生态破坏；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4</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改建、扩建和技术改造项目，未针对项目原有</w:t>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HYPERLINK "https://www.eqxun.com/news/1819.html" \t "https://www.eqxun.com/news/_blank"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环境污染</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sz w:val="21"/>
                      <w:szCs w:val="21"/>
                    </w:rPr>
                    <w:t>和生态破坏提出有效</w:t>
                  </w:r>
                  <w:r>
                    <w:rPr>
                      <w:rFonts w:hint="default" w:ascii="Times New Roman" w:hAnsi="Times New Roman" w:eastAsia="仿宋" w:cs="Times New Roman"/>
                      <w:color w:val="auto"/>
                      <w:sz w:val="21"/>
                      <w:szCs w:val="21"/>
                      <w:lang w:val="en-US" w:eastAsia="zh-CN"/>
                    </w:rPr>
                    <w:t>防治</w:t>
                  </w:r>
                  <w:r>
                    <w:rPr>
                      <w:rFonts w:hint="default" w:ascii="Times New Roman" w:hAnsi="Times New Roman" w:eastAsia="仿宋" w:cs="Times New Roman"/>
                      <w:color w:val="auto"/>
                      <w:sz w:val="21"/>
                      <w:szCs w:val="21"/>
                    </w:rPr>
                    <w:t>措施；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建设项目的环境影响报告书、环境影响报告表的基础资料数据明显不实，内容存在重大缺陷、遗漏，或者环境影响评价结论不明确、不合理。</w:t>
                  </w:r>
                </w:p>
                <w:p w14:paraId="311CC69A">
                  <w:pPr>
                    <w:pStyle w:val="15"/>
                    <w:spacing w:after="0" w:line="280" w:lineRule="exact"/>
                    <w:ind w:left="0" w:leftChars="0"/>
                    <w:rPr>
                      <w:rFonts w:hint="default" w:ascii="Times New Roman" w:hAnsi="Times New Roman" w:eastAsia="仿宋" w:cs="Times New Roman"/>
                      <w:color w:val="auto"/>
                      <w:kern w:val="32"/>
                      <w:sz w:val="21"/>
                      <w:szCs w:val="21"/>
                    </w:rPr>
                  </w:pPr>
                  <w:r>
                    <w:rPr>
                      <w:rFonts w:hint="default" w:ascii="Times New Roman" w:hAnsi="Times New Roman" w:eastAsia="仿宋" w:cs="Times New Roman"/>
                      <w:color w:val="auto"/>
                      <w:sz w:val="21"/>
                      <w:szCs w:val="21"/>
                    </w:rPr>
                    <w:t>——《建设项目环境保护管理条例》</w:t>
                  </w:r>
                </w:p>
              </w:tc>
              <w:tc>
                <w:tcPr>
                  <w:tcW w:w="3750" w:type="dxa"/>
                  <w:noWrap w:val="0"/>
                  <w:vAlign w:val="center"/>
                </w:tcPr>
                <w:p w14:paraId="6BB77D85">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val="en-US" w:eastAsia="zh-CN"/>
                    </w:rPr>
                    <w:t>电机、驱动器生产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，对照“江苏武进经济开发区产业发展规划（2020-2030年）规划图”，项目所在地为工业用地；项目所在地为非达标区，目前区域内进行了削减措施；</w:t>
                  </w:r>
                  <w:r>
                    <w:rPr>
                      <w:rFonts w:hint="default" w:ascii="Times New Roman" w:hAnsi="Times New Roman" w:eastAsia="仿宋" w:cs="Times New Roman"/>
                      <w:color w:val="auto"/>
                      <w:sz w:val="21"/>
                      <w:szCs w:val="21"/>
                      <w:lang w:eastAsia="zh-CN"/>
                    </w:rPr>
                    <w:t>本项目</w:t>
                  </w:r>
                  <w:r>
                    <w:rPr>
                      <w:rFonts w:hint="eastAsia" w:ascii="Times New Roman" w:hAnsi="Times New Roman" w:eastAsia="仿宋" w:cs="Times New Roman"/>
                      <w:color w:val="auto"/>
                      <w:sz w:val="21"/>
                      <w:szCs w:val="21"/>
                      <w:lang w:val="en-US" w:eastAsia="zh-CN"/>
                    </w:rPr>
                    <w:t>胶水用量较小，且根据企业提供的胶水VOCs检测报告，VOC含量未检出</w:t>
                  </w:r>
                  <w:r>
                    <w:rPr>
                      <w:rFonts w:hint="eastAsia" w:eastAsia="仿宋" w:cs="Times New Roman"/>
                      <w:color w:val="auto"/>
                      <w:sz w:val="21"/>
                      <w:szCs w:val="21"/>
                      <w:lang w:val="en-US" w:eastAsia="zh-CN"/>
                    </w:rPr>
                    <w:t>，本环评未进行定量分析；</w:t>
                  </w:r>
                  <w:r>
                    <w:rPr>
                      <w:rFonts w:hint="default" w:ascii="Times New Roman" w:hAnsi="Times New Roman" w:eastAsia="仿宋" w:cs="Times New Roman"/>
                      <w:color w:val="auto"/>
                      <w:sz w:val="21"/>
                      <w:szCs w:val="21"/>
                      <w:lang w:eastAsia="zh-CN"/>
                    </w:rPr>
                    <w:t>生产过程中产生</w:t>
                  </w:r>
                  <w:r>
                    <w:rPr>
                      <w:rFonts w:hint="eastAsia" w:eastAsia="仿宋" w:cs="Times New Roman"/>
                      <w:color w:val="auto"/>
                      <w:sz w:val="21"/>
                      <w:szCs w:val="21"/>
                      <w:lang w:val="en-US" w:eastAsia="zh-CN"/>
                    </w:rPr>
                    <w:t>的</w:t>
                  </w:r>
                  <w:r>
                    <w:rPr>
                      <w:rFonts w:hint="default" w:ascii="Times New Roman" w:hAnsi="Times New Roman" w:eastAsia="仿宋" w:cs="Times New Roman"/>
                      <w:color w:val="auto"/>
                      <w:sz w:val="21"/>
                      <w:szCs w:val="21"/>
                      <w:lang w:eastAsia="zh-CN"/>
                    </w:rPr>
                    <w:t>焊接烟尘</w:t>
                  </w:r>
                  <w:r>
                    <w:rPr>
                      <w:rFonts w:hint="eastAsia" w:eastAsia="仿宋" w:cs="Times New Roman"/>
                      <w:color w:val="auto"/>
                      <w:sz w:val="21"/>
                      <w:szCs w:val="21"/>
                      <w:lang w:val="en-US" w:eastAsia="zh-CN"/>
                    </w:rPr>
                    <w:t>经移动式焊烟净化装置收集处理后在车间无组织排放</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与上述内容相符</w:t>
                  </w:r>
                </w:p>
              </w:tc>
              <w:tc>
                <w:tcPr>
                  <w:tcW w:w="937" w:type="dxa"/>
                  <w:noWrap w:val="0"/>
                  <w:vAlign w:val="center"/>
                </w:tcPr>
                <w:p w14:paraId="479D9653">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5F48745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78E99619">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p w14:paraId="5B8B7BA0">
                  <w:pPr>
                    <w:pStyle w:val="15"/>
                    <w:spacing w:after="0" w:line="280" w:lineRule="exact"/>
                    <w:ind w:left="0" w:leftChars="0"/>
                    <w:jc w:val="left"/>
                    <w:rPr>
                      <w:rFonts w:hint="default" w:ascii="Times New Roman" w:hAnsi="Times New Roman" w:eastAsia="仿宋" w:cs="Times New Roman"/>
                      <w:color w:val="auto"/>
                      <w:kern w:val="32"/>
                      <w:sz w:val="21"/>
                      <w:szCs w:val="21"/>
                      <w:lang w:eastAsia="zh-CN"/>
                    </w:rPr>
                  </w:pPr>
                  <w:r>
                    <w:rPr>
                      <w:rFonts w:hint="default" w:ascii="Times New Roman" w:hAnsi="Times New Roman" w:eastAsia="仿宋" w:cs="Times New Roman"/>
                      <w:color w:val="auto"/>
                      <w:sz w:val="21"/>
                      <w:szCs w:val="21"/>
                    </w:rPr>
                    <w:t>——《农用地土壤环境管理办法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试行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环境保护部 农业部令第46号</w:t>
                  </w:r>
                  <w:r>
                    <w:rPr>
                      <w:rFonts w:hint="default" w:ascii="Times New Roman" w:hAnsi="Times New Roman" w:eastAsia="仿宋" w:cs="Times New Roman"/>
                      <w:color w:val="auto"/>
                      <w:sz w:val="21"/>
                      <w:szCs w:val="21"/>
                      <w:lang w:eastAsia="zh-CN"/>
                    </w:rPr>
                    <w:t>）</w:t>
                  </w:r>
                </w:p>
              </w:tc>
              <w:tc>
                <w:tcPr>
                  <w:tcW w:w="3750" w:type="dxa"/>
                  <w:noWrap w:val="0"/>
                  <w:vAlign w:val="center"/>
                </w:tcPr>
                <w:p w14:paraId="3ADF1EFC">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val="en-US" w:eastAsia="zh-CN"/>
                    </w:rPr>
                    <w:t>电机、驱动器生产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，对照“江苏武进经济开发区产业发展规划（2020-2030年）规划图”，项目所在地为工业用地；属于</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，不属于有色金属冶炼、石油加工、化工、焦化、电镀、制革等行业企业，</w:t>
                  </w:r>
                  <w:r>
                    <w:rPr>
                      <w:rFonts w:hint="default" w:ascii="Times New Roman" w:hAnsi="Times New Roman" w:eastAsia="仿宋" w:cs="Times New Roman"/>
                      <w:color w:val="auto"/>
                      <w:sz w:val="21"/>
                      <w:szCs w:val="21"/>
                      <w:lang w:val="en-US" w:eastAsia="zh-CN"/>
                    </w:rPr>
                    <w:t>不会对</w:t>
                  </w:r>
                  <w:r>
                    <w:rPr>
                      <w:rFonts w:hint="default" w:ascii="Times New Roman" w:hAnsi="Times New Roman" w:eastAsia="仿宋" w:cs="Times New Roman"/>
                      <w:color w:val="auto"/>
                      <w:sz w:val="21"/>
                      <w:szCs w:val="21"/>
                    </w:rPr>
                    <w:t>耕地土壤</w:t>
                  </w:r>
                  <w:r>
                    <w:rPr>
                      <w:rFonts w:hint="default" w:ascii="Times New Roman" w:hAnsi="Times New Roman" w:eastAsia="仿宋" w:cs="Times New Roman"/>
                      <w:color w:val="auto"/>
                      <w:sz w:val="21"/>
                      <w:szCs w:val="21"/>
                      <w:lang w:val="en-US" w:eastAsia="zh-CN"/>
                    </w:rPr>
                    <w:t>造成污染</w:t>
                  </w:r>
                  <w:r>
                    <w:rPr>
                      <w:rFonts w:hint="default" w:ascii="Times New Roman" w:hAnsi="Times New Roman" w:eastAsia="仿宋" w:cs="Times New Roman"/>
                      <w:color w:val="auto"/>
                      <w:sz w:val="21"/>
                      <w:szCs w:val="21"/>
                    </w:rPr>
                    <w:t>。</w:t>
                  </w:r>
                </w:p>
              </w:tc>
              <w:tc>
                <w:tcPr>
                  <w:tcW w:w="937" w:type="dxa"/>
                  <w:noWrap w:val="0"/>
                  <w:vAlign w:val="center"/>
                </w:tcPr>
                <w:p w14:paraId="63BD71E7">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4384FA8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281" w:hRule="atLeast"/>
                <w:jc w:val="center"/>
              </w:trPr>
              <w:tc>
                <w:tcPr>
                  <w:tcW w:w="7790" w:type="dxa"/>
                  <w:noWrap w:val="0"/>
                  <w:vAlign w:val="center"/>
                </w:tcPr>
                <w:p w14:paraId="1237A968">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p w14:paraId="5CE57AAE">
                  <w:pPr>
                    <w:pStyle w:val="15"/>
                    <w:spacing w:after="0" w:line="280" w:lineRule="exact"/>
                    <w:ind w:left="0" w:leftChars="0"/>
                    <w:jc w:val="lef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——《关于印发&lt;建设项目主要污染物排放总量指标审核及管理暂行办法&gt;的通知》</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环发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2014</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197号</w:t>
                  </w:r>
                  <w:r>
                    <w:rPr>
                      <w:rFonts w:hint="default" w:ascii="Times New Roman" w:hAnsi="Times New Roman" w:eastAsia="仿宋" w:cs="Times New Roman"/>
                      <w:color w:val="auto"/>
                      <w:sz w:val="21"/>
                      <w:szCs w:val="21"/>
                      <w:lang w:eastAsia="zh-CN"/>
                    </w:rPr>
                    <w:t>）</w:t>
                  </w:r>
                </w:p>
              </w:tc>
              <w:tc>
                <w:tcPr>
                  <w:tcW w:w="3750" w:type="dxa"/>
                  <w:noWrap w:val="0"/>
                  <w:vAlign w:val="center"/>
                </w:tcPr>
                <w:p w14:paraId="2361A1FE">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rPr>
                    <w:t>过程中产生的水污染物在区域内进行平衡，与上述内容相符。</w:t>
                  </w:r>
                </w:p>
              </w:tc>
              <w:tc>
                <w:tcPr>
                  <w:tcW w:w="937" w:type="dxa"/>
                  <w:noWrap w:val="0"/>
                  <w:vAlign w:val="center"/>
                </w:tcPr>
                <w:p w14:paraId="0210894C">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95FC74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7790" w:type="dxa"/>
                  <w:noWrap w:val="0"/>
                  <w:vAlign w:val="center"/>
                </w:tcPr>
                <w:p w14:paraId="1752AC18">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规划环评要作为规划所包含项目环评的重要依据，对于不符合规划环评结论及审查意见的项目环评，依法不予审批。</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对于现有同类型项目环境污染或生态破坏严重、环境违法违规现象多发，致使环境容量接近或超过承载能力的地区，在现有问题整改到位前，依法暂停审批该地区同类行业的项目环评文件。</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3</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对环境质量现状超标的地区，项目拟采取的措施不能满足区域环境质量改善目标管理要求的，依法不予审批其环评文件。对未达到环境质量目标考核要求的地区，除民生项目与</w:t>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HYPERLINK "https://www.eqxun.com/news/1314.html" \t "https://www.eqxun.com/news/_blank"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节能减排</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sz w:val="21"/>
                      <w:szCs w:val="21"/>
                    </w:rPr>
                    <w:t>项目外，依法暂停审批该地区新增排放相应重点污染物的项目环评文件。</w:t>
                  </w:r>
                </w:p>
                <w:p w14:paraId="1FB0A249">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除受自然条件限制、确实无法避让的铁路、公路、航道、防洪、管道、干渠、通讯、输变电等重要基础设施项目外，在生态保护红线范围内，严控各类开发建设活动，依法不予审批新建工业项目和矿产开发项目的环评文件。</w:t>
                  </w:r>
                </w:p>
                <w:p w14:paraId="52370DAC">
                  <w:pPr>
                    <w:pStyle w:val="15"/>
                    <w:spacing w:after="0" w:line="280" w:lineRule="exact"/>
                    <w:ind w:left="0" w:leftChars="0"/>
                    <w:jc w:val="left"/>
                    <w:rPr>
                      <w:rFonts w:hint="default" w:ascii="Times New Roman" w:hAnsi="Times New Roman" w:eastAsia="仿宋" w:cs="Times New Roman"/>
                      <w:color w:val="auto"/>
                      <w:kern w:val="32"/>
                      <w:sz w:val="21"/>
                      <w:szCs w:val="21"/>
                      <w:lang w:eastAsia="zh-CN"/>
                    </w:rPr>
                  </w:pPr>
                  <w:r>
                    <w:rPr>
                      <w:rFonts w:hint="default" w:ascii="Times New Roman" w:hAnsi="Times New Roman" w:eastAsia="仿宋" w:cs="Times New Roman"/>
                      <w:color w:val="auto"/>
                      <w:spacing w:val="-11"/>
                      <w:sz w:val="21"/>
                      <w:szCs w:val="21"/>
                    </w:rPr>
                    <w:t>—</w:t>
                  </w:r>
                  <w:r>
                    <w:rPr>
                      <w:rFonts w:hint="default" w:ascii="Times New Roman" w:hAnsi="Times New Roman" w:eastAsia="仿宋" w:cs="Times New Roman"/>
                      <w:color w:val="auto"/>
                      <w:sz w:val="21"/>
                      <w:szCs w:val="21"/>
                    </w:rPr>
                    <w:t>—《关于以改善环境质量为核心加强环境影响评价管理的通知》</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环环评</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2016</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150号</w:t>
                  </w:r>
                  <w:r>
                    <w:rPr>
                      <w:rFonts w:hint="default" w:ascii="Times New Roman" w:hAnsi="Times New Roman" w:eastAsia="仿宋" w:cs="Times New Roman"/>
                      <w:color w:val="auto"/>
                      <w:sz w:val="21"/>
                      <w:szCs w:val="21"/>
                      <w:lang w:eastAsia="zh-CN"/>
                    </w:rPr>
                    <w:t>）</w:t>
                  </w:r>
                </w:p>
              </w:tc>
              <w:tc>
                <w:tcPr>
                  <w:tcW w:w="3750" w:type="dxa"/>
                  <w:noWrap w:val="0"/>
                  <w:vAlign w:val="center"/>
                </w:tcPr>
                <w:p w14:paraId="3BD26908">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，对照“江苏武进经济开发区产业发展规划（2020-2030年）规划图”，项目所在地为工业用地；项目所在地为非达标区，大气污染物在区域内进行平衡；项目所在地不在生态空间管控区域内，与上述内容相符。</w:t>
                  </w:r>
                </w:p>
              </w:tc>
              <w:tc>
                <w:tcPr>
                  <w:tcW w:w="937" w:type="dxa"/>
                  <w:noWrap w:val="0"/>
                  <w:vAlign w:val="center"/>
                </w:tcPr>
                <w:p w14:paraId="633C9FA1">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F33529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026E6EE8">
                  <w:pPr>
                    <w:pStyle w:val="15"/>
                    <w:spacing w:after="0" w:line="280" w:lineRule="exact"/>
                    <w:ind w:left="0" w:leftChars="0" w:firstLine="396" w:firstLineChars="200"/>
                    <w:jc w:val="left"/>
                    <w:rPr>
                      <w:rFonts w:hint="default" w:ascii="Times New Roman" w:hAnsi="Times New Roman" w:eastAsia="仿宋" w:cs="Times New Roman"/>
                      <w:color w:val="auto"/>
                      <w:spacing w:val="-6"/>
                      <w:sz w:val="21"/>
                      <w:szCs w:val="21"/>
                    </w:rPr>
                  </w:pPr>
                  <w:r>
                    <w:rPr>
                      <w:rFonts w:hint="default" w:ascii="Times New Roman" w:hAnsi="Times New Roman" w:eastAsia="仿宋" w:cs="Times New Roman"/>
                      <w:color w:val="auto"/>
                      <w:spacing w:val="-6"/>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p w14:paraId="200D7630">
                  <w:pPr>
                    <w:pStyle w:val="15"/>
                    <w:spacing w:after="0" w:line="280" w:lineRule="exact"/>
                    <w:ind w:left="0" w:leftChars="0"/>
                    <w:jc w:val="lef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——《关于全面加强生态环境保护坚决打好污染防治攻坚战的实施意见》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苏发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2018</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24号</w:t>
                  </w:r>
                  <w:r>
                    <w:rPr>
                      <w:rFonts w:hint="default" w:ascii="Times New Roman" w:hAnsi="Times New Roman" w:eastAsia="仿宋" w:cs="Times New Roman"/>
                      <w:color w:val="auto"/>
                      <w:sz w:val="21"/>
                      <w:szCs w:val="21"/>
                      <w:lang w:eastAsia="zh-CN"/>
                    </w:rPr>
                    <w:t>）</w:t>
                  </w:r>
                </w:p>
              </w:tc>
              <w:tc>
                <w:tcPr>
                  <w:tcW w:w="3750" w:type="dxa"/>
                  <w:noWrap w:val="0"/>
                  <w:vAlign w:val="center"/>
                </w:tcPr>
                <w:p w14:paraId="5F21492F">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，距离长江约</w:t>
                  </w:r>
                  <w:r>
                    <w:rPr>
                      <w:rFonts w:hint="eastAsia" w:ascii="Times New Roman" w:hAnsi="Times New Roman" w:eastAsia="仿宋" w:cs="Times New Roman"/>
                      <w:color w:val="auto"/>
                      <w:sz w:val="21"/>
                      <w:szCs w:val="21"/>
                      <w:lang w:eastAsia="zh-CN"/>
                    </w:rPr>
                    <w:t>31.2</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val="en-US" w:eastAsia="zh-CN"/>
                    </w:rPr>
                    <w:t>本项目</w:t>
                  </w:r>
                  <w:r>
                    <w:rPr>
                      <w:rFonts w:hint="default" w:ascii="Times New Roman" w:hAnsi="Times New Roman" w:eastAsia="仿宋" w:cs="Times New Roman"/>
                      <w:color w:val="auto"/>
                      <w:sz w:val="21"/>
                      <w:szCs w:val="21"/>
                    </w:rPr>
                    <w:t>属于</w:t>
                  </w:r>
                  <w:r>
                    <w:rPr>
                      <w:rFonts w:hint="default" w:ascii="Times New Roman" w:hAnsi="Times New Roman" w:eastAsia="仿宋" w:cs="Times New Roman"/>
                      <w:color w:val="auto"/>
                      <w:sz w:val="21"/>
                      <w:szCs w:val="21"/>
                      <w:lang w:eastAsia="zh-CN"/>
                    </w:rPr>
                    <w:t>C3813微特电机及组件制造</w:t>
                  </w:r>
                  <w:r>
                    <w:rPr>
                      <w:rFonts w:hint="default" w:ascii="Times New Roman" w:hAnsi="Times New Roman" w:eastAsia="仿宋" w:cs="Times New Roman"/>
                      <w:color w:val="auto"/>
                      <w:sz w:val="21"/>
                      <w:szCs w:val="21"/>
                    </w:rPr>
                    <w:t>，不属于三类中间体项目，与上述内容相符。</w:t>
                  </w:r>
                </w:p>
              </w:tc>
              <w:tc>
                <w:tcPr>
                  <w:tcW w:w="937" w:type="dxa"/>
                  <w:noWrap w:val="0"/>
                  <w:vAlign w:val="center"/>
                </w:tcPr>
                <w:p w14:paraId="2DAF9D37">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766E4B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600841EA">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禁止新建</w:t>
                  </w:r>
                  <w:r>
                    <w:rPr>
                      <w:rFonts w:hint="default" w:ascii="Times New Roman" w:hAnsi="Times New Roman" w:eastAsia="仿宋" w:cs="Times New Roman"/>
                      <w:color w:val="auto"/>
                      <w:sz w:val="21"/>
                      <w:szCs w:val="21"/>
                    </w:rPr>
                    <w:fldChar w:fldCharType="begin"/>
                  </w:r>
                  <w:r>
                    <w:rPr>
                      <w:rFonts w:hint="default" w:ascii="Times New Roman" w:hAnsi="Times New Roman" w:eastAsia="仿宋" w:cs="Times New Roman"/>
                      <w:color w:val="auto"/>
                      <w:sz w:val="21"/>
                      <w:szCs w:val="21"/>
                    </w:rPr>
                    <w:instrText xml:space="preserve"> HYPERLINK "https://www.eqxun.com/news/1301.html" \t "https://www.eqxun.com/news/_blank" </w:instrText>
                  </w:r>
                  <w:r>
                    <w:rPr>
                      <w:rFonts w:hint="default" w:ascii="Times New Roman" w:hAnsi="Times New Roman" w:eastAsia="仿宋" w:cs="Times New Roman"/>
                      <w:color w:val="auto"/>
                      <w:sz w:val="21"/>
                      <w:szCs w:val="21"/>
                    </w:rPr>
                    <w:fldChar w:fldCharType="separate"/>
                  </w:r>
                  <w:r>
                    <w:rPr>
                      <w:rFonts w:hint="default" w:ascii="Times New Roman" w:hAnsi="Times New Roman" w:eastAsia="仿宋" w:cs="Times New Roman"/>
                      <w:color w:val="auto"/>
                      <w:sz w:val="21"/>
                      <w:szCs w:val="21"/>
                    </w:rPr>
                    <w:t>燃煤</w:t>
                  </w:r>
                  <w:r>
                    <w:rPr>
                      <w:rFonts w:hint="default" w:ascii="Times New Roman" w:hAnsi="Times New Roman" w:eastAsia="仿宋" w:cs="Times New Roman"/>
                      <w:color w:val="auto"/>
                      <w:sz w:val="21"/>
                      <w:szCs w:val="21"/>
                    </w:rPr>
                    <w:fldChar w:fldCharType="end"/>
                  </w:r>
                  <w:r>
                    <w:rPr>
                      <w:rFonts w:hint="default" w:ascii="Times New Roman" w:hAnsi="Times New Roman" w:eastAsia="仿宋" w:cs="Times New Roman"/>
                      <w:color w:val="auto"/>
                      <w:sz w:val="21"/>
                      <w:szCs w:val="21"/>
                    </w:rPr>
                    <w:t>自备电厂。在重点地区执行《江苏省化工钢铁煤电行业环境准入和排放标准》。燃煤电厂2019年底前全部实行超低排放。</w:t>
                  </w:r>
                </w:p>
                <w:p w14:paraId="14AF2510">
                  <w:pPr>
                    <w:pStyle w:val="15"/>
                    <w:spacing w:after="0" w:line="280" w:lineRule="exact"/>
                    <w:ind w:left="0" w:leftChars="0"/>
                    <w:jc w:val="lef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——《关于加快全省化工钢铁煤电行业转型升级高质量发展的实施意见》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苏办发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2018</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32号</w:t>
                  </w:r>
                  <w:r>
                    <w:rPr>
                      <w:rFonts w:hint="default" w:ascii="Times New Roman" w:hAnsi="Times New Roman" w:eastAsia="仿宋" w:cs="Times New Roman"/>
                      <w:color w:val="auto"/>
                      <w:sz w:val="21"/>
                      <w:szCs w:val="21"/>
                      <w:lang w:eastAsia="zh-CN"/>
                    </w:rPr>
                    <w:t>）</w:t>
                  </w:r>
                </w:p>
              </w:tc>
              <w:tc>
                <w:tcPr>
                  <w:tcW w:w="3750" w:type="dxa"/>
                  <w:noWrap w:val="0"/>
                  <w:vAlign w:val="center"/>
                </w:tcPr>
                <w:p w14:paraId="101EDB40">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pacing w:val="-6"/>
                      <w:sz w:val="21"/>
                      <w:szCs w:val="21"/>
                    </w:rPr>
                    <w:t>本项目采用电作为能源，由区域供电管网提供，与上述内容相符。</w:t>
                  </w:r>
                </w:p>
              </w:tc>
              <w:tc>
                <w:tcPr>
                  <w:tcW w:w="937" w:type="dxa"/>
                  <w:noWrap w:val="0"/>
                  <w:vAlign w:val="center"/>
                </w:tcPr>
                <w:p w14:paraId="75DD1A76">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3D88028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04C7660D">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禁止建设生产和使用高VOCs含量的溶剂型涂料、油墨、胶粘剂等项目。</w:t>
                  </w:r>
                </w:p>
                <w:p w14:paraId="3BEEE364">
                  <w:pPr>
                    <w:pStyle w:val="15"/>
                    <w:spacing w:after="0" w:line="280" w:lineRule="exact"/>
                    <w:ind w:left="0" w:leftChars="0"/>
                    <w:jc w:val="left"/>
                    <w:rPr>
                      <w:rFonts w:hint="default" w:ascii="Times New Roman" w:hAnsi="Times New Roman" w:eastAsia="仿宋" w:cs="Times New Roman"/>
                      <w:color w:val="auto"/>
                      <w:kern w:val="32"/>
                      <w:sz w:val="21"/>
                      <w:szCs w:val="21"/>
                      <w:lang w:eastAsia="zh-CN"/>
                    </w:rPr>
                  </w:pPr>
                  <w:r>
                    <w:rPr>
                      <w:rFonts w:hint="default" w:ascii="Times New Roman" w:hAnsi="Times New Roman" w:eastAsia="仿宋" w:cs="Times New Roman"/>
                      <w:color w:val="auto"/>
                      <w:sz w:val="21"/>
                      <w:szCs w:val="21"/>
                    </w:rPr>
                    <w:t>——《江苏省打赢蓝天保卫战三年行动计划实施方案》</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苏政发</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2018</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122号</w:t>
                  </w:r>
                  <w:r>
                    <w:rPr>
                      <w:rFonts w:hint="default" w:ascii="Times New Roman" w:hAnsi="Times New Roman" w:eastAsia="仿宋" w:cs="Times New Roman"/>
                      <w:color w:val="auto"/>
                      <w:sz w:val="21"/>
                      <w:szCs w:val="21"/>
                      <w:lang w:eastAsia="zh-CN"/>
                    </w:rPr>
                    <w:t>）</w:t>
                  </w:r>
                </w:p>
              </w:tc>
              <w:tc>
                <w:tcPr>
                  <w:tcW w:w="3750" w:type="dxa"/>
                  <w:noWrap w:val="0"/>
                  <w:vAlign w:val="center"/>
                </w:tcPr>
                <w:p w14:paraId="4ABE34A8">
                  <w:pPr>
                    <w:pStyle w:val="15"/>
                    <w:spacing w:after="0" w:line="280" w:lineRule="exact"/>
                    <w:ind w:left="0" w:leftChars="0"/>
                    <w:jc w:val="left"/>
                    <w:rPr>
                      <w:rFonts w:hint="default" w:ascii="Times New Roman" w:hAnsi="Times New Roman" w:eastAsia="仿宋" w:cs="Times New Roman"/>
                      <w:color w:val="auto"/>
                      <w:spacing w:val="-6"/>
                      <w:sz w:val="21"/>
                      <w:szCs w:val="21"/>
                    </w:rPr>
                  </w:pPr>
                  <w:r>
                    <w:rPr>
                      <w:rFonts w:hint="default" w:ascii="Times New Roman" w:hAnsi="Times New Roman" w:eastAsia="仿宋" w:cs="Times New Roman"/>
                      <w:color w:val="auto"/>
                      <w:spacing w:val="-6"/>
                      <w:sz w:val="21"/>
                      <w:szCs w:val="21"/>
                    </w:rPr>
                    <w:t>本项目为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pacing w:val="-6"/>
                      <w:sz w:val="21"/>
                      <w:szCs w:val="21"/>
                    </w:rPr>
                    <w:t>，</w:t>
                  </w:r>
                  <w:r>
                    <w:rPr>
                      <w:rFonts w:hint="default" w:ascii="Times New Roman" w:hAnsi="Times New Roman" w:eastAsia="仿宋" w:cs="Times New Roman"/>
                      <w:color w:val="auto"/>
                      <w:spacing w:val="-6"/>
                      <w:sz w:val="21"/>
                      <w:szCs w:val="21"/>
                      <w:lang w:val="en-US" w:eastAsia="zh-CN"/>
                    </w:rPr>
                    <w:t>生产</w:t>
                  </w:r>
                  <w:r>
                    <w:rPr>
                      <w:rFonts w:hint="default" w:ascii="Times New Roman" w:hAnsi="Times New Roman" w:eastAsia="仿宋" w:cs="Times New Roman"/>
                      <w:color w:val="auto"/>
                      <w:spacing w:val="-6"/>
                      <w:sz w:val="21"/>
                      <w:szCs w:val="21"/>
                    </w:rPr>
                    <w:t>过程中不使用高VOCs含量的溶剂型涂料、油墨、胶粘剂等，</w:t>
                  </w:r>
                  <w:r>
                    <w:rPr>
                      <w:rFonts w:hint="eastAsia" w:eastAsia="仿宋" w:cs="Times New Roman"/>
                      <w:color w:val="auto"/>
                      <w:sz w:val="21"/>
                      <w:szCs w:val="21"/>
                      <w:lang w:val="en-US" w:eastAsia="zh-CN"/>
                    </w:rPr>
                    <w:t>使用本体型环氧树脂类胶粘剂，根据VOCs检测报告可知，符合</w:t>
                  </w:r>
                  <w:r>
                    <w:rPr>
                      <w:rFonts w:hint="default" w:ascii="Times New Roman" w:hAnsi="Times New Roman" w:eastAsia="仿宋" w:cs="Times New Roman"/>
                      <w:bCs/>
                      <w:color w:val="auto"/>
                      <w:sz w:val="21"/>
                      <w:szCs w:val="21"/>
                      <w:lang w:val="en-US" w:eastAsia="zh-CN"/>
                    </w:rPr>
                    <w:t>《胶粘剂挥发性有机化合物限量》（GB33372-2020）</w:t>
                  </w:r>
                  <w:r>
                    <w:rPr>
                      <w:rFonts w:hint="default" w:ascii="Times New Roman" w:hAnsi="Times New Roman" w:eastAsia="仿宋" w:cs="Times New Roman"/>
                      <w:color w:val="auto"/>
                      <w:sz w:val="21"/>
                      <w:szCs w:val="21"/>
                      <w:lang w:val="en-US" w:eastAsia="zh-CN"/>
                    </w:rPr>
                    <w:t>要求</w:t>
                  </w:r>
                  <w:r>
                    <w:rPr>
                      <w:rFonts w:hint="eastAsia" w:eastAsia="仿宋" w:cs="Times New Roman"/>
                      <w:color w:val="auto"/>
                      <w:sz w:val="21"/>
                      <w:szCs w:val="21"/>
                      <w:lang w:val="en-US" w:eastAsia="zh-CN"/>
                    </w:rPr>
                    <w:t>，</w:t>
                  </w:r>
                  <w:r>
                    <w:rPr>
                      <w:rFonts w:hint="default" w:ascii="Times New Roman" w:hAnsi="Times New Roman" w:eastAsia="仿宋" w:cs="Times New Roman"/>
                      <w:color w:val="auto"/>
                      <w:spacing w:val="-6"/>
                      <w:sz w:val="21"/>
                      <w:szCs w:val="21"/>
                    </w:rPr>
                    <w:t>故与上述要求相符。</w:t>
                  </w:r>
                </w:p>
              </w:tc>
              <w:tc>
                <w:tcPr>
                  <w:tcW w:w="937" w:type="dxa"/>
                  <w:noWrap w:val="0"/>
                  <w:vAlign w:val="center"/>
                </w:tcPr>
                <w:p w14:paraId="259E48F0">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724BE6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429B5A6A">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一律不批新的化工园区，一律不批化工园区外化工企业</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除化工重点监测点和提升安全、环保、节能水平及油品质量升级、结构调整以外的改扩建项目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，一律不批化工园区内环境基础设施不完善或长期不能稳定运行企业的新改扩建化工项目。新建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含搬迁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化工项目必须进入已经依法完成规划环评审查的化工园区。</w:t>
                  </w:r>
                </w:p>
                <w:p w14:paraId="012990EF">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严禁在长江干流及主要支流岸线1公里范围内新建危化品码头。</w:t>
                  </w:r>
                </w:p>
                <w:p w14:paraId="7C8B5926">
                  <w:pPr>
                    <w:pStyle w:val="15"/>
                    <w:spacing w:after="0" w:line="280" w:lineRule="exact"/>
                    <w:ind w:left="0" w:leftChars="0"/>
                    <w:jc w:val="left"/>
                    <w:rPr>
                      <w:rFonts w:hint="default" w:ascii="Times New Roman" w:hAnsi="Times New Roman" w:eastAsia="仿宋" w:cs="Times New Roman"/>
                      <w:color w:val="auto"/>
                      <w:kern w:val="32"/>
                      <w:sz w:val="21"/>
                      <w:szCs w:val="21"/>
                      <w:lang w:eastAsia="zh-CN"/>
                    </w:rPr>
                  </w:pPr>
                  <w:r>
                    <w:rPr>
                      <w:rFonts w:hint="default" w:ascii="Times New Roman" w:hAnsi="Times New Roman" w:eastAsia="仿宋" w:cs="Times New Roman"/>
                      <w:color w:val="auto"/>
                      <w:spacing w:val="-6"/>
                      <w:sz w:val="21"/>
                      <w:szCs w:val="21"/>
                    </w:rPr>
                    <w:t>——《省政府关于深入推进全省化工行业转型发展的实施意见》</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苏政发</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2016</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128号</w:t>
                  </w:r>
                  <w:r>
                    <w:rPr>
                      <w:rFonts w:hint="default" w:ascii="Times New Roman" w:hAnsi="Times New Roman" w:eastAsia="仿宋" w:cs="Times New Roman"/>
                      <w:color w:val="auto"/>
                      <w:spacing w:val="-6"/>
                      <w:sz w:val="21"/>
                      <w:szCs w:val="21"/>
                      <w:lang w:eastAsia="zh-CN"/>
                    </w:rPr>
                    <w:t>）</w:t>
                  </w:r>
                </w:p>
              </w:tc>
              <w:tc>
                <w:tcPr>
                  <w:tcW w:w="3750" w:type="dxa"/>
                  <w:noWrap w:val="0"/>
                  <w:vAlign w:val="center"/>
                </w:tcPr>
                <w:p w14:paraId="39246B7E">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，不属于化工项目，与上述内容相符。</w:t>
                  </w:r>
                </w:p>
              </w:tc>
              <w:tc>
                <w:tcPr>
                  <w:tcW w:w="937" w:type="dxa"/>
                  <w:noWrap w:val="0"/>
                  <w:vAlign w:val="center"/>
                </w:tcPr>
                <w:p w14:paraId="6B7E37BE">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C56323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42" w:hRule="atLeast"/>
                <w:jc w:val="center"/>
              </w:trPr>
              <w:tc>
                <w:tcPr>
                  <w:tcW w:w="7790" w:type="dxa"/>
                  <w:noWrap w:val="0"/>
                  <w:vAlign w:val="center"/>
                </w:tcPr>
                <w:p w14:paraId="52699417">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生态保护红线原则上按禁止开发区域的要求进行管理，严禁不符合主体功能定位的各类开发活动，严禁任意改变用途。</w:t>
                  </w:r>
                </w:p>
                <w:p w14:paraId="1D9326DA">
                  <w:pPr>
                    <w:pStyle w:val="15"/>
                    <w:spacing w:after="0" w:line="280" w:lineRule="exact"/>
                    <w:ind w:left="0" w:leftChars="0"/>
                    <w:jc w:val="lef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pacing w:val="-6"/>
                      <w:sz w:val="21"/>
                      <w:szCs w:val="21"/>
                    </w:rPr>
                    <w:t>——《省政府关于印发江苏省国家级生态保护红线规划的通知》</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苏政发</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2018</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74号</w:t>
                  </w:r>
                  <w:r>
                    <w:rPr>
                      <w:rFonts w:hint="default" w:ascii="Times New Roman" w:hAnsi="Times New Roman" w:eastAsia="仿宋" w:cs="Times New Roman"/>
                      <w:color w:val="auto"/>
                      <w:spacing w:val="-6"/>
                      <w:sz w:val="21"/>
                      <w:szCs w:val="21"/>
                      <w:lang w:eastAsia="zh-CN"/>
                    </w:rPr>
                    <w:t>）</w:t>
                  </w:r>
                </w:p>
              </w:tc>
              <w:tc>
                <w:tcPr>
                  <w:tcW w:w="3750" w:type="dxa"/>
                  <w:noWrap w:val="0"/>
                  <w:vAlign w:val="center"/>
                </w:tcPr>
                <w:p w14:paraId="777AD557">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本项目最近的国家级生态保护红线为武进滆湖省级湿地公园，位于项目南侧</w:t>
                  </w:r>
                  <w:r>
                    <w:rPr>
                      <w:rFonts w:hint="default" w:ascii="Times New Roman" w:hAnsi="Times New Roman" w:eastAsia="仿宋" w:cs="Times New Roman"/>
                      <w:color w:val="auto"/>
                      <w:sz w:val="21"/>
                      <w:szCs w:val="21"/>
                      <w:lang w:val="en-US" w:eastAsia="zh-CN"/>
                    </w:rPr>
                    <w:t>4.8</w:t>
                  </w:r>
                  <w:r>
                    <w:rPr>
                      <w:rFonts w:hint="default" w:ascii="Times New Roman" w:hAnsi="Times New Roman" w:eastAsia="仿宋" w:cs="Times New Roman"/>
                      <w:color w:val="auto"/>
                      <w:sz w:val="21"/>
                      <w:szCs w:val="21"/>
                    </w:rPr>
                    <w:t>km处，不在生态空间管控区域内，与上述内容相符。</w:t>
                  </w:r>
                </w:p>
              </w:tc>
              <w:tc>
                <w:tcPr>
                  <w:tcW w:w="937" w:type="dxa"/>
                  <w:noWrap w:val="0"/>
                  <w:vAlign w:val="center"/>
                </w:tcPr>
                <w:p w14:paraId="56EFDC9F">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51825C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31" w:hRule="atLeast"/>
                <w:jc w:val="center"/>
              </w:trPr>
              <w:tc>
                <w:tcPr>
                  <w:tcW w:w="7790" w:type="dxa"/>
                  <w:noWrap w:val="0"/>
                  <w:vAlign w:val="center"/>
                </w:tcPr>
                <w:p w14:paraId="6A5C92D7">
                  <w:pPr>
                    <w:pStyle w:val="15"/>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禁止审批无法落实危险废物利用、处置途径的项目，从严审批危险废物产生量大、本地无配套利用处置能力、且需设区市统筹解决的项目。</w:t>
                  </w:r>
                </w:p>
                <w:p w14:paraId="0F515D7F">
                  <w:pPr>
                    <w:pStyle w:val="15"/>
                    <w:spacing w:after="0" w:line="280" w:lineRule="exact"/>
                    <w:ind w:left="0" w:leftChars="0"/>
                    <w:jc w:val="left"/>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pacing w:val="-6"/>
                      <w:sz w:val="21"/>
                      <w:szCs w:val="21"/>
                    </w:rPr>
                    <w:t>《省政府办公厅关于加强危险废物污染防治工作的意见》</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苏政办发</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2018</w:t>
                  </w:r>
                  <w:r>
                    <w:rPr>
                      <w:rFonts w:hint="default" w:ascii="Times New Roman" w:hAnsi="Times New Roman" w:eastAsia="仿宋" w:cs="Times New Roman"/>
                      <w:color w:val="auto"/>
                      <w:spacing w:val="-6"/>
                      <w:sz w:val="21"/>
                      <w:szCs w:val="21"/>
                      <w:lang w:eastAsia="zh-CN"/>
                    </w:rPr>
                    <w:t>]</w:t>
                  </w:r>
                  <w:r>
                    <w:rPr>
                      <w:rFonts w:hint="default" w:ascii="Times New Roman" w:hAnsi="Times New Roman" w:eastAsia="仿宋" w:cs="Times New Roman"/>
                      <w:color w:val="auto"/>
                      <w:spacing w:val="-6"/>
                      <w:sz w:val="21"/>
                      <w:szCs w:val="21"/>
                    </w:rPr>
                    <w:t>91号</w:t>
                  </w:r>
                  <w:r>
                    <w:rPr>
                      <w:rFonts w:hint="default" w:ascii="Times New Roman" w:hAnsi="Times New Roman" w:eastAsia="仿宋" w:cs="Times New Roman"/>
                      <w:color w:val="auto"/>
                      <w:spacing w:val="-6"/>
                      <w:sz w:val="21"/>
                      <w:szCs w:val="21"/>
                      <w:lang w:eastAsia="zh-CN"/>
                    </w:rPr>
                    <w:t>）</w:t>
                  </w:r>
                </w:p>
              </w:tc>
              <w:tc>
                <w:tcPr>
                  <w:tcW w:w="3750" w:type="dxa"/>
                  <w:noWrap w:val="0"/>
                  <w:vAlign w:val="center"/>
                </w:tcPr>
                <w:p w14:paraId="54B1D481">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rPr>
                    <w:t>过程中产生的危险废物均委托有资质单位进行有效处置，与上述内容相符。</w:t>
                  </w:r>
                </w:p>
              </w:tc>
              <w:tc>
                <w:tcPr>
                  <w:tcW w:w="937" w:type="dxa"/>
                  <w:noWrap w:val="0"/>
                  <w:vAlign w:val="center"/>
                </w:tcPr>
                <w:p w14:paraId="3C79B28A">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3E97F68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7790" w:type="dxa"/>
                  <w:noWrap w:val="0"/>
                  <w:vAlign w:val="center"/>
                </w:tcPr>
                <w:p w14:paraId="7A012998">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禁止建设不符合全国和省级港口布局规划以及港口总体规划的码头项目，禁止建设不符合《长江干线过江通道布局规划》的过长江通道项目。</w:t>
                  </w:r>
                </w:p>
                <w:p w14:paraId="6B7AD475">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禁止在自然保护区核心区、缓冲区的岸线和河段范围内投资建设旅游和生产经营项目。禁止在风景名胜区核心景区的岸线和河段范围内投资建设与风景名胜资源保护无关的项目。</w:t>
                  </w:r>
                </w:p>
                <w:p w14:paraId="4EA6F52B">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54B357B1">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水产种质资源保护区的岸线和河段范围内新建排污口，以及围湖造田、围海造地或围填海等投资建设项目。禁止在国家湿地公园的岸线和河段范围内挖沙、采矿，以及任何不符合主体功能定位的投资建设项目。</w:t>
                  </w:r>
                </w:p>
                <w:p w14:paraId="3EFB237B">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14:paraId="67C90AAE">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禁止在生态保护红线和永久基本农田范围内投资建设除国家重大战略资源勘查项目、生态保护修复和环境治理项目、重大基础设施项目、军事国防项目以及农牧民基本生产生活等必要的民生项目以外的项目。</w:t>
                  </w:r>
                </w:p>
                <w:p w14:paraId="12DF2ADD">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禁止在长江干支流1公里范围内新建、扩建化工园区和化工项目。禁止在合规园区外新建、扩建钢铁、石化、化工、焦化、建材、有色等高污染项目。</w:t>
                  </w:r>
                </w:p>
                <w:p w14:paraId="709056D2">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禁止新建、扩建不符合国家石化、现代煤化工等产业布局规划的项目。</w:t>
                  </w:r>
                </w:p>
                <w:p w14:paraId="46993BE1">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禁止新建、扩建法律法规和相关政策明令禁止的落后产能项目。</w:t>
                  </w:r>
                </w:p>
                <w:p w14:paraId="49777DCF">
                  <w:pPr>
                    <w:pStyle w:val="15"/>
                    <w:numPr>
                      <w:ilvl w:val="0"/>
                      <w:numId w:val="12"/>
                    </w:numPr>
                    <w:spacing w:after="0" w:line="280" w:lineRule="exact"/>
                    <w:ind w:left="0" w:leftChars="0" w:firstLine="420" w:firstLineChars="20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禁止新建、扩建不符合国家产能置换要求的严重过剩产能行业的项目。</w:t>
                  </w:r>
                </w:p>
                <w:p w14:paraId="37CCD402">
                  <w:pPr>
                    <w:pStyle w:val="15"/>
                    <w:spacing w:after="0" w:line="280" w:lineRule="exact"/>
                    <w:ind w:left="0" w:leftChars="0"/>
                    <w:jc w:val="left"/>
                    <w:rPr>
                      <w:rFonts w:hint="default" w:ascii="Times New Roman" w:hAnsi="Times New Roman" w:eastAsia="仿宋" w:cs="Times New Roman"/>
                      <w:color w:val="auto"/>
                      <w:spacing w:val="-6"/>
                      <w:sz w:val="21"/>
                      <w:szCs w:val="21"/>
                      <w:lang w:eastAsia="zh-CN"/>
                    </w:rPr>
                  </w:pPr>
                  <w:r>
                    <w:rPr>
                      <w:rFonts w:hint="default" w:ascii="Times New Roman" w:hAnsi="Times New Roman" w:eastAsia="仿宋" w:cs="Times New Roman"/>
                      <w:color w:val="auto"/>
                      <w:sz w:val="21"/>
                      <w:szCs w:val="21"/>
                    </w:rPr>
                    <w:t>——《关于发布长江经济带发展负面清单指南</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试行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的通知》</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推动长江经济带发展领导小组办公室文件第89号</w:t>
                  </w:r>
                  <w:r>
                    <w:rPr>
                      <w:rFonts w:hint="default" w:ascii="Times New Roman" w:hAnsi="Times New Roman" w:eastAsia="仿宋" w:cs="Times New Roman"/>
                      <w:color w:val="auto"/>
                      <w:sz w:val="21"/>
                      <w:szCs w:val="21"/>
                      <w:lang w:eastAsia="zh-CN"/>
                    </w:rPr>
                    <w:t>）</w:t>
                  </w:r>
                </w:p>
              </w:tc>
              <w:tc>
                <w:tcPr>
                  <w:tcW w:w="3750" w:type="dxa"/>
                  <w:noWrap w:val="0"/>
                  <w:vAlign w:val="center"/>
                </w:tcPr>
                <w:p w14:paraId="13FA2DD7">
                  <w:pPr>
                    <w:pStyle w:val="15"/>
                    <w:spacing w:after="0" w:line="280" w:lineRule="exact"/>
                    <w:ind w:left="0" w:leftChars="0"/>
                    <w:jc w:val="lef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本项目为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，距离长江约</w:t>
                  </w:r>
                  <w:r>
                    <w:rPr>
                      <w:rFonts w:hint="eastAsia" w:ascii="Times New Roman" w:hAnsi="Times New Roman" w:eastAsia="仿宋" w:cs="Times New Roman"/>
                      <w:color w:val="auto"/>
                      <w:sz w:val="21"/>
                      <w:szCs w:val="21"/>
                      <w:lang w:eastAsia="zh-CN"/>
                    </w:rPr>
                    <w:t>31.2</w:t>
                  </w:r>
                  <w:r>
                    <w:rPr>
                      <w:rFonts w:hint="default" w:ascii="Times New Roman" w:hAnsi="Times New Roman" w:eastAsia="仿宋" w:cs="Times New Roman"/>
                      <w:color w:val="auto"/>
                      <w:sz w:val="21"/>
                      <w:szCs w:val="21"/>
                    </w:rPr>
                    <w:t>km，不属于上述规定的禁止类项目内，与上述内容相符。</w:t>
                  </w:r>
                </w:p>
              </w:tc>
              <w:tc>
                <w:tcPr>
                  <w:tcW w:w="937" w:type="dxa"/>
                  <w:noWrap w:val="0"/>
                  <w:vAlign w:val="center"/>
                </w:tcPr>
                <w:p w14:paraId="6BE3CDDA">
                  <w:pPr>
                    <w:pStyle w:val="15"/>
                    <w:spacing w:after="0" w:line="28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2B8B0B3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04A26F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532C0E6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0E9460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24C910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3509298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5BA7BB2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27E72AC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2B26A4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6CCF0F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1418A31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p>
          <w:p w14:paraId="77C43E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2、与“市生态环境局关于建设项目的审批指导意见（试行）”相符性分析</w:t>
            </w:r>
          </w:p>
          <w:p w14:paraId="24A348F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表1-</w:t>
            </w:r>
            <w:r>
              <w:rPr>
                <w:rFonts w:hint="default" w:ascii="Times New Roman" w:hAnsi="Times New Roman" w:eastAsia="仿宋" w:cs="Times New Roman"/>
                <w:b/>
                <w:bCs/>
                <w:color w:val="auto"/>
                <w:szCs w:val="21"/>
                <w:lang w:val="en-US" w:eastAsia="zh-CN"/>
              </w:rPr>
              <w:t>11</w:t>
            </w:r>
            <w:r>
              <w:rPr>
                <w:rFonts w:hint="default" w:ascii="Times New Roman" w:hAnsi="Times New Roman" w:eastAsia="仿宋" w:cs="Times New Roman"/>
                <w:b/>
                <w:bCs/>
                <w:color w:val="auto"/>
                <w:szCs w:val="21"/>
              </w:rPr>
              <w:t xml:space="preserve"> </w:t>
            </w:r>
            <w:r>
              <w:rPr>
                <w:rFonts w:hint="default" w:ascii="Times New Roman" w:hAnsi="Times New Roman" w:eastAsia="仿宋" w:cs="Times New Roman"/>
                <w:b/>
                <w:bCs/>
                <w:color w:val="auto"/>
                <w:szCs w:val="21"/>
                <w:lang w:val="en-US" w:eastAsia="zh-CN"/>
              </w:rPr>
              <w:t xml:space="preserve"> </w:t>
            </w:r>
            <w:r>
              <w:rPr>
                <w:rFonts w:hint="default" w:ascii="Times New Roman" w:hAnsi="Times New Roman" w:eastAsia="仿宋" w:cs="Times New Roman"/>
                <w:b/>
                <w:bCs/>
                <w:color w:val="auto"/>
                <w:szCs w:val="21"/>
              </w:rPr>
              <w:t>与市生态环境局关于建设项目的审批指导意见（试行）对照分析</w:t>
            </w:r>
          </w:p>
          <w:tbl>
            <w:tblPr>
              <w:tblStyle w:val="24"/>
              <w:tblW w:w="4992"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5692"/>
              <w:gridCol w:w="5661"/>
              <w:gridCol w:w="1247"/>
            </w:tblGrid>
            <w:tr w14:paraId="5BBF60E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449" w:hRule="atLeast"/>
                <w:tblHeader/>
                <w:jc w:val="center"/>
              </w:trPr>
              <w:tc>
                <w:tcPr>
                  <w:tcW w:w="2258" w:type="pct"/>
                  <w:noWrap w:val="0"/>
                  <w:vAlign w:val="center"/>
                </w:tcPr>
                <w:p w14:paraId="316FD687">
                  <w:pPr>
                    <w:adjustRightInd w:val="0"/>
                    <w:snapToGrid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文件要求</w:t>
                  </w:r>
                </w:p>
              </w:tc>
              <w:tc>
                <w:tcPr>
                  <w:tcW w:w="2246" w:type="pct"/>
                  <w:noWrap w:val="0"/>
                  <w:vAlign w:val="center"/>
                </w:tcPr>
                <w:p w14:paraId="5BBE18E6">
                  <w:pPr>
                    <w:adjustRightInd w:val="0"/>
                    <w:snapToGrid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本项目</w:t>
                  </w:r>
                </w:p>
              </w:tc>
              <w:tc>
                <w:tcPr>
                  <w:tcW w:w="494" w:type="pct"/>
                  <w:noWrap w:val="0"/>
                  <w:vAlign w:val="center"/>
                </w:tcPr>
                <w:p w14:paraId="40883E48">
                  <w:pPr>
                    <w:pStyle w:val="15"/>
                    <w:spacing w:after="0" w:line="300" w:lineRule="exact"/>
                    <w:ind w:left="0" w:leftChars="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相符性论证</w:t>
                  </w:r>
                </w:p>
              </w:tc>
            </w:tr>
            <w:tr w14:paraId="2F20F00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8" w:type="pct"/>
                  <w:noWrap w:val="0"/>
                  <w:vAlign w:val="center"/>
                </w:tcPr>
                <w:p w14:paraId="10E532A5">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严格项目总量。</w:t>
                  </w:r>
                  <w:r>
                    <w:rPr>
                      <w:rFonts w:hint="default" w:ascii="Times New Roman" w:hAnsi="Times New Roman" w:eastAsia="仿宋" w:cs="Times New Roman"/>
                      <w:color w:val="auto"/>
                      <w:sz w:val="21"/>
                      <w:szCs w:val="21"/>
                    </w:rPr>
                    <w:t>实施建设项目大气污染物总量负增长原则，即重点区域内建设项目使用大气污染物总量，原则上在重点区域范围内实施总量平衡，且必须实行总量2倍减量替代。</w:t>
                  </w:r>
                </w:p>
              </w:tc>
              <w:tc>
                <w:tcPr>
                  <w:tcW w:w="2246" w:type="pct"/>
                  <w:noWrap w:val="0"/>
                  <w:vAlign w:val="center"/>
                </w:tcPr>
                <w:p w14:paraId="134351F2">
                  <w:pPr>
                    <w:pStyle w:val="15"/>
                    <w:spacing w:after="0" w:line="300" w:lineRule="exact"/>
                    <w:ind w:left="0" w:lef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西湖街道长秀路8号（坤鼎常州创新产业基地9幢）</w:t>
                  </w:r>
                  <w:r>
                    <w:rPr>
                      <w:rFonts w:hint="default" w:ascii="Times New Roman" w:hAnsi="Times New Roman" w:eastAsia="仿宋" w:cs="Times New Roman"/>
                      <w:color w:val="auto"/>
                      <w:sz w:val="21"/>
                      <w:szCs w:val="21"/>
                    </w:rPr>
                    <w:t>，距离国控点（</w:t>
                  </w:r>
                  <w:r>
                    <w:rPr>
                      <w:rFonts w:hint="default" w:ascii="Times New Roman" w:hAnsi="Times New Roman" w:eastAsia="仿宋" w:cs="Times New Roman"/>
                      <w:color w:val="auto"/>
                      <w:sz w:val="21"/>
                      <w:szCs w:val="21"/>
                      <w:lang w:eastAsia="zh-CN"/>
                    </w:rPr>
                    <w:t>常州市武进区星韵学校</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5.1</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val="en-US" w:eastAsia="zh-CN"/>
                    </w:rPr>
                    <w:t>仅生产焊接烟尘。</w:t>
                  </w:r>
                </w:p>
              </w:tc>
              <w:tc>
                <w:tcPr>
                  <w:tcW w:w="494" w:type="pct"/>
                  <w:noWrap w:val="0"/>
                  <w:vAlign w:val="center"/>
                </w:tcPr>
                <w:p w14:paraId="03FBE887">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51E570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8" w:type="pct"/>
                  <w:noWrap w:val="0"/>
                  <w:vAlign w:val="center"/>
                </w:tcPr>
                <w:p w14:paraId="51FD23A8">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强化环评审批。</w:t>
                  </w:r>
                  <w:r>
                    <w:rPr>
                      <w:rFonts w:hint="default" w:ascii="Times New Roman" w:hAnsi="Times New Roman" w:eastAsia="仿宋" w:cs="Times New Roman"/>
                      <w:color w:val="auto"/>
                      <w:sz w:val="21"/>
                      <w:szCs w:val="21"/>
                    </w:rPr>
                    <w:t>对重点区域内新上的大气污染物排放的建设项目及全市范围内新上高能耗项目，审批部门对其环评文本应实施质量评估。</w:t>
                  </w:r>
                </w:p>
              </w:tc>
              <w:tc>
                <w:tcPr>
                  <w:tcW w:w="2246" w:type="pct"/>
                  <w:noWrap w:val="0"/>
                  <w:vAlign w:val="center"/>
                </w:tcPr>
                <w:p w14:paraId="71628C56">
                  <w:pPr>
                    <w:pStyle w:val="15"/>
                    <w:spacing w:after="0" w:line="300" w:lineRule="exact"/>
                    <w:ind w:left="0" w:lef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长秀路8号</w:t>
                  </w:r>
                  <w:r>
                    <w:rPr>
                      <w:rFonts w:hint="default" w:ascii="Times New Roman" w:hAnsi="Times New Roman" w:eastAsia="仿宋" w:cs="Times New Roman"/>
                      <w:color w:val="auto"/>
                      <w:sz w:val="21"/>
                      <w:szCs w:val="21"/>
                    </w:rPr>
                    <w:t>，距离国控点（</w:t>
                  </w:r>
                  <w:r>
                    <w:rPr>
                      <w:rFonts w:hint="default" w:ascii="Times New Roman" w:hAnsi="Times New Roman" w:eastAsia="仿宋" w:cs="Times New Roman"/>
                      <w:color w:val="auto"/>
                      <w:sz w:val="21"/>
                      <w:szCs w:val="21"/>
                      <w:lang w:eastAsia="zh-CN"/>
                    </w:rPr>
                    <w:t>常州市武进区星韵学校</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5.1</w:t>
                  </w:r>
                  <w:r>
                    <w:rPr>
                      <w:rFonts w:hint="default" w:ascii="Times New Roman" w:hAnsi="Times New Roman" w:eastAsia="仿宋" w:cs="Times New Roman"/>
                      <w:color w:val="auto"/>
                      <w:sz w:val="21"/>
                      <w:szCs w:val="21"/>
                    </w:rPr>
                    <w:t>km；为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，不属于“</w:t>
                  </w:r>
                  <w:r>
                    <w:rPr>
                      <w:rFonts w:hint="default" w:ascii="Times New Roman" w:hAnsi="Times New Roman" w:eastAsia="仿宋" w:cs="Times New Roman"/>
                      <w:color w:val="auto"/>
                      <w:sz w:val="21"/>
                      <w:szCs w:val="21"/>
                      <w:lang w:val="en-US" w:eastAsia="zh-CN"/>
                    </w:rPr>
                    <w:t>两</w:t>
                  </w:r>
                  <w:r>
                    <w:rPr>
                      <w:rFonts w:hint="default" w:ascii="Times New Roman" w:hAnsi="Times New Roman" w:eastAsia="仿宋" w:cs="Times New Roman"/>
                      <w:color w:val="auto"/>
                      <w:sz w:val="21"/>
                      <w:szCs w:val="21"/>
                    </w:rPr>
                    <w:t>高”项目</w:t>
                  </w:r>
                  <w:r>
                    <w:rPr>
                      <w:rFonts w:hint="default" w:ascii="Times New Roman" w:hAnsi="Times New Roman" w:eastAsia="仿宋" w:cs="Times New Roman"/>
                      <w:color w:val="auto"/>
                      <w:sz w:val="21"/>
                      <w:szCs w:val="21"/>
                      <w:lang w:val="en-US" w:eastAsia="zh-CN"/>
                    </w:rPr>
                    <w:t>。</w:t>
                  </w:r>
                </w:p>
              </w:tc>
              <w:tc>
                <w:tcPr>
                  <w:tcW w:w="494" w:type="pct"/>
                  <w:noWrap w:val="0"/>
                  <w:vAlign w:val="center"/>
                </w:tcPr>
                <w:p w14:paraId="7F48DD4B">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1F5074E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8" w:type="pct"/>
                  <w:noWrap w:val="0"/>
                  <w:vAlign w:val="center"/>
                </w:tcPr>
                <w:p w14:paraId="070B49F4">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推进减污降碳。</w:t>
                  </w:r>
                  <w:r>
                    <w:rPr>
                      <w:rFonts w:hint="default" w:ascii="Times New Roman" w:hAnsi="Times New Roman" w:eastAsia="仿宋" w:cs="Times New Roman"/>
                      <w:color w:val="auto"/>
                      <w:sz w:val="21"/>
                      <w:szCs w:val="21"/>
                    </w:rPr>
                    <w:t>对重点区域内新上的涉及大气污染物排放的建设项目及全市范围内新上高能耗建设项目的严格审批，区级审批部门审批前需向市生态环境局报备，审批部门方可出具审批文件。</w:t>
                  </w:r>
                </w:p>
              </w:tc>
              <w:tc>
                <w:tcPr>
                  <w:tcW w:w="2246" w:type="pct"/>
                  <w:noWrap w:val="0"/>
                  <w:vAlign w:val="center"/>
                </w:tcPr>
                <w:p w14:paraId="1A30C83B">
                  <w:pPr>
                    <w:pStyle w:val="15"/>
                    <w:spacing w:after="0" w:line="300" w:lineRule="exact"/>
                    <w:ind w:left="0" w:leftChars="0"/>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长秀路8号</w:t>
                  </w:r>
                  <w:r>
                    <w:rPr>
                      <w:rFonts w:hint="default" w:ascii="Times New Roman" w:hAnsi="Times New Roman" w:eastAsia="仿宋" w:cs="Times New Roman"/>
                      <w:color w:val="auto"/>
                      <w:sz w:val="21"/>
                      <w:szCs w:val="21"/>
                    </w:rPr>
                    <w:t>，距离国控点（</w:t>
                  </w:r>
                  <w:r>
                    <w:rPr>
                      <w:rFonts w:hint="default" w:ascii="Times New Roman" w:hAnsi="Times New Roman" w:eastAsia="仿宋" w:cs="Times New Roman"/>
                      <w:color w:val="auto"/>
                      <w:sz w:val="21"/>
                      <w:szCs w:val="21"/>
                      <w:lang w:eastAsia="zh-CN"/>
                    </w:rPr>
                    <w:t>常州市武进区星韵学校</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5.1</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不在重点区域范围内，焊接烟尘使用移动式焊烟净化器处理后无组织排放，</w:t>
                  </w:r>
                  <w:r>
                    <w:rPr>
                      <w:rFonts w:hint="default" w:ascii="Times New Roman" w:hAnsi="Times New Roman" w:eastAsia="仿宋" w:cs="Times New Roman"/>
                      <w:color w:val="auto"/>
                      <w:sz w:val="21"/>
                      <w:szCs w:val="21"/>
                    </w:rPr>
                    <w:t>审批前</w:t>
                  </w:r>
                  <w:r>
                    <w:rPr>
                      <w:rFonts w:hint="default" w:ascii="Times New Roman" w:hAnsi="Times New Roman" w:eastAsia="仿宋" w:cs="Times New Roman"/>
                      <w:color w:val="auto"/>
                      <w:sz w:val="21"/>
                      <w:szCs w:val="21"/>
                      <w:lang w:val="en-US" w:eastAsia="zh-CN"/>
                    </w:rPr>
                    <w:t>无需</w:t>
                  </w:r>
                  <w:r>
                    <w:rPr>
                      <w:rFonts w:hint="default" w:ascii="Times New Roman" w:hAnsi="Times New Roman" w:eastAsia="仿宋" w:cs="Times New Roman"/>
                      <w:color w:val="auto"/>
                      <w:sz w:val="21"/>
                      <w:szCs w:val="21"/>
                    </w:rPr>
                    <w:t>向市生态环境局报备</w:t>
                  </w:r>
                  <w:r>
                    <w:rPr>
                      <w:rFonts w:hint="default" w:ascii="Times New Roman" w:hAnsi="Times New Roman" w:eastAsia="仿宋" w:cs="Times New Roman"/>
                      <w:color w:val="auto"/>
                      <w:sz w:val="21"/>
                      <w:szCs w:val="21"/>
                      <w:lang w:eastAsia="zh-CN"/>
                    </w:rPr>
                    <w:t>。</w:t>
                  </w:r>
                </w:p>
              </w:tc>
              <w:tc>
                <w:tcPr>
                  <w:tcW w:w="494" w:type="pct"/>
                  <w:noWrap w:val="0"/>
                  <w:vAlign w:val="center"/>
                </w:tcPr>
                <w:p w14:paraId="0E5068B3">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r w14:paraId="2718A4C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2258" w:type="pct"/>
                  <w:noWrap w:val="0"/>
                  <w:vAlign w:val="center"/>
                </w:tcPr>
                <w:p w14:paraId="6A5884DD">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b/>
                      <w:bCs/>
                      <w:color w:val="auto"/>
                      <w:sz w:val="21"/>
                      <w:szCs w:val="21"/>
                    </w:rPr>
                    <w:t>做好项目正面引导。</w:t>
                  </w:r>
                  <w:r>
                    <w:rPr>
                      <w:rFonts w:hint="default" w:ascii="Times New Roman" w:hAnsi="Times New Roman" w:eastAsia="仿宋" w:cs="Times New Roman"/>
                      <w:color w:val="auto"/>
                      <w:sz w:val="21"/>
                      <w:szCs w:val="21"/>
                    </w:rPr>
                    <w:t>及时与属地经济部门做好衔接沟通，在项目筹备初期提前介入服务，引导项目从自身实际出发，采用建造绿色建筑、加大清洁能源使用比例、优化生产工艺技术、使用先进高效治污设施等切实有力的措施。</w:t>
                  </w:r>
                </w:p>
              </w:tc>
              <w:tc>
                <w:tcPr>
                  <w:tcW w:w="2246" w:type="pct"/>
                  <w:noWrap w:val="0"/>
                  <w:vAlign w:val="center"/>
                </w:tcPr>
                <w:p w14:paraId="043CFEEA">
                  <w:pPr>
                    <w:pStyle w:val="15"/>
                    <w:spacing w:after="0" w:line="300" w:lineRule="exact"/>
                    <w:ind w:left="0" w:left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本项目位于江苏武进经济开发区</w:t>
                  </w:r>
                  <w:r>
                    <w:rPr>
                      <w:rFonts w:hint="default" w:ascii="Times New Roman" w:hAnsi="Times New Roman" w:eastAsia="仿宋" w:cs="Times New Roman"/>
                      <w:color w:val="auto"/>
                      <w:sz w:val="21"/>
                      <w:szCs w:val="21"/>
                      <w:lang w:eastAsia="zh-CN"/>
                    </w:rPr>
                    <w:t>长秀路8号</w:t>
                  </w:r>
                  <w:r>
                    <w:rPr>
                      <w:rFonts w:hint="default" w:ascii="Times New Roman" w:hAnsi="Times New Roman" w:eastAsia="仿宋" w:cs="Times New Roman"/>
                      <w:color w:val="auto"/>
                      <w:sz w:val="21"/>
                      <w:szCs w:val="21"/>
                    </w:rPr>
                    <w:t>，距离国控点（</w:t>
                  </w:r>
                  <w:r>
                    <w:rPr>
                      <w:rFonts w:hint="default" w:ascii="Times New Roman" w:hAnsi="Times New Roman" w:eastAsia="仿宋" w:cs="Times New Roman"/>
                      <w:color w:val="auto"/>
                      <w:sz w:val="21"/>
                      <w:szCs w:val="21"/>
                      <w:lang w:eastAsia="zh-CN"/>
                    </w:rPr>
                    <w:t>常州市武进区星韵学校</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5.1</w:t>
                  </w:r>
                  <w:r>
                    <w:rPr>
                      <w:rFonts w:hint="default" w:ascii="Times New Roman" w:hAnsi="Times New Roman" w:eastAsia="仿宋" w:cs="Times New Roman"/>
                      <w:color w:val="auto"/>
                      <w:sz w:val="21"/>
                      <w:szCs w:val="21"/>
                    </w:rPr>
                    <w:t>km</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为</w:t>
                  </w:r>
                  <w:r>
                    <w:rPr>
                      <w:rFonts w:hint="default" w:ascii="Times New Roman" w:hAnsi="Times New Roman" w:eastAsia="仿宋" w:cs="Times New Roman"/>
                      <w:color w:val="auto"/>
                      <w:sz w:val="21"/>
                      <w:szCs w:val="21"/>
                      <w:lang w:eastAsia="zh-CN"/>
                    </w:rPr>
                    <w:t>电机、驱动器</w:t>
                  </w:r>
                  <w:r>
                    <w:rPr>
                      <w:rFonts w:hint="default" w:ascii="Times New Roman" w:hAnsi="Times New Roman" w:eastAsia="仿宋" w:cs="Times New Roman"/>
                      <w:color w:val="auto"/>
                      <w:sz w:val="21"/>
                      <w:szCs w:val="21"/>
                      <w:lang w:val="en-US" w:eastAsia="zh-CN"/>
                    </w:rPr>
                    <w:t>生产</w:t>
                  </w:r>
                  <w:r>
                    <w:rPr>
                      <w:rFonts w:hint="default" w:ascii="Times New Roman" w:hAnsi="Times New Roman" w:eastAsia="仿宋" w:cs="Times New Roman"/>
                      <w:color w:val="auto"/>
                      <w:sz w:val="21"/>
                      <w:szCs w:val="21"/>
                      <w:lang w:eastAsia="zh-CN"/>
                    </w:rPr>
                    <w:t>项目</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val="en-US" w:eastAsia="zh-CN"/>
                    </w:rPr>
                    <w:t>生产过程中使用电能</w:t>
                  </w:r>
                  <w:r>
                    <w:rPr>
                      <w:rFonts w:hint="default" w:ascii="Times New Roman" w:hAnsi="Times New Roman" w:eastAsia="仿宋" w:cs="Times New Roman"/>
                      <w:color w:val="auto"/>
                      <w:sz w:val="21"/>
                      <w:szCs w:val="21"/>
                    </w:rPr>
                    <w:t>，</w:t>
                  </w:r>
                  <w:r>
                    <w:rPr>
                      <w:rFonts w:hint="default" w:ascii="Times New Roman" w:hAnsi="Times New Roman" w:eastAsia="仿宋" w:cs="Times New Roman"/>
                      <w:color w:val="auto"/>
                      <w:sz w:val="21"/>
                      <w:szCs w:val="21"/>
                      <w:lang w:eastAsia="zh-CN"/>
                    </w:rPr>
                    <w:t>本项目</w:t>
                  </w:r>
                  <w:r>
                    <w:rPr>
                      <w:rFonts w:hint="eastAsia" w:ascii="Times New Roman" w:hAnsi="Times New Roman" w:eastAsia="仿宋" w:cs="Times New Roman"/>
                      <w:color w:val="auto"/>
                      <w:sz w:val="21"/>
                      <w:szCs w:val="21"/>
                      <w:lang w:val="en-US" w:eastAsia="zh-CN"/>
                    </w:rPr>
                    <w:t>胶水用量较小，且根据企业提供的胶水VOCs检测报告，VOC含量未检出</w:t>
                  </w:r>
                  <w:r>
                    <w:rPr>
                      <w:rFonts w:hint="eastAsia" w:eastAsia="仿宋" w:cs="Times New Roman"/>
                      <w:color w:val="auto"/>
                      <w:sz w:val="21"/>
                      <w:szCs w:val="21"/>
                      <w:lang w:val="en-US" w:eastAsia="zh-CN"/>
                    </w:rPr>
                    <w:t>，本环评未进行定量分析；</w:t>
                  </w:r>
                  <w:r>
                    <w:rPr>
                      <w:rFonts w:hint="default" w:ascii="Times New Roman" w:hAnsi="Times New Roman" w:eastAsia="仿宋" w:cs="Times New Roman"/>
                      <w:color w:val="auto"/>
                      <w:sz w:val="21"/>
                      <w:szCs w:val="21"/>
                      <w:lang w:eastAsia="zh-CN"/>
                    </w:rPr>
                    <w:t>生产过程中产生</w:t>
                  </w:r>
                  <w:r>
                    <w:rPr>
                      <w:rFonts w:hint="eastAsia" w:eastAsia="仿宋" w:cs="Times New Roman"/>
                      <w:color w:val="auto"/>
                      <w:sz w:val="21"/>
                      <w:szCs w:val="21"/>
                      <w:lang w:val="en-US" w:eastAsia="zh-CN"/>
                    </w:rPr>
                    <w:t>的</w:t>
                  </w:r>
                  <w:r>
                    <w:rPr>
                      <w:rFonts w:hint="default" w:ascii="Times New Roman" w:hAnsi="Times New Roman" w:eastAsia="仿宋" w:cs="Times New Roman"/>
                      <w:color w:val="auto"/>
                      <w:sz w:val="21"/>
                      <w:szCs w:val="21"/>
                      <w:lang w:eastAsia="zh-CN"/>
                    </w:rPr>
                    <w:t>焊接烟尘</w:t>
                  </w:r>
                  <w:r>
                    <w:rPr>
                      <w:rFonts w:hint="eastAsia" w:eastAsia="仿宋" w:cs="Times New Roman"/>
                      <w:color w:val="auto"/>
                      <w:sz w:val="21"/>
                      <w:szCs w:val="21"/>
                      <w:lang w:val="en-US" w:eastAsia="zh-CN"/>
                    </w:rPr>
                    <w:t>经移动式焊烟净化装置收集处理后在车间无组织排放</w:t>
                  </w:r>
                  <w:r>
                    <w:rPr>
                      <w:rFonts w:hint="default" w:ascii="Times New Roman" w:hAnsi="Times New Roman" w:eastAsia="仿宋" w:cs="Times New Roman"/>
                      <w:color w:val="auto"/>
                      <w:sz w:val="21"/>
                      <w:szCs w:val="21"/>
                      <w:lang w:val="en-US" w:eastAsia="zh-CN"/>
                    </w:rPr>
                    <w:t>。</w:t>
                  </w:r>
                </w:p>
              </w:tc>
              <w:tc>
                <w:tcPr>
                  <w:tcW w:w="494" w:type="pct"/>
                  <w:noWrap w:val="0"/>
                  <w:vAlign w:val="center"/>
                </w:tcPr>
                <w:p w14:paraId="015795BF">
                  <w:pPr>
                    <w:pStyle w:val="15"/>
                    <w:spacing w:after="0" w:line="300" w:lineRule="exact"/>
                    <w:ind w:left="0" w:leftChars="0"/>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相符</w:t>
                  </w:r>
                </w:p>
              </w:tc>
            </w:tr>
          </w:tbl>
          <w:p w14:paraId="1BF152E2">
            <w:pPr>
              <w:pStyle w:val="3"/>
              <w:numPr>
                <w:ilvl w:val="0"/>
                <w:numId w:val="0"/>
              </w:numPr>
              <w:rPr>
                <w:rFonts w:hint="default" w:ascii="Times New Roman" w:hAnsi="Times New Roman" w:eastAsia="仿宋" w:cs="Times New Roman"/>
                <w:color w:val="auto"/>
              </w:rPr>
            </w:pPr>
          </w:p>
          <w:p w14:paraId="150B6D72">
            <w:pPr>
              <w:pStyle w:val="3"/>
              <w:numPr>
                <w:ilvl w:val="0"/>
                <w:numId w:val="0"/>
              </w:numPr>
              <w:rPr>
                <w:rFonts w:hint="default" w:ascii="Times New Roman" w:hAnsi="Times New Roman" w:eastAsia="仿宋" w:cs="Times New Roman"/>
                <w:color w:val="auto"/>
              </w:rPr>
            </w:pPr>
          </w:p>
          <w:p w14:paraId="4AB677D1">
            <w:pPr>
              <w:pStyle w:val="3"/>
              <w:numPr>
                <w:ilvl w:val="0"/>
                <w:numId w:val="0"/>
              </w:numPr>
              <w:rPr>
                <w:rFonts w:hint="default" w:ascii="Times New Roman" w:hAnsi="Times New Roman" w:eastAsia="仿宋" w:cs="Times New Roman"/>
                <w:color w:val="auto"/>
              </w:rPr>
            </w:pPr>
          </w:p>
          <w:p w14:paraId="0CAED933">
            <w:pPr>
              <w:pStyle w:val="3"/>
              <w:numPr>
                <w:ilvl w:val="0"/>
                <w:numId w:val="0"/>
              </w:numPr>
              <w:rPr>
                <w:rFonts w:hint="default" w:ascii="Times New Roman" w:hAnsi="Times New Roman" w:eastAsia="仿宋" w:cs="Times New Roman"/>
                <w:color w:val="auto"/>
              </w:rPr>
            </w:pPr>
          </w:p>
          <w:p w14:paraId="6AE9AF36">
            <w:pPr>
              <w:pStyle w:val="3"/>
              <w:numPr>
                <w:ilvl w:val="0"/>
                <w:numId w:val="0"/>
              </w:numPr>
              <w:rPr>
                <w:rFonts w:hint="default" w:ascii="Times New Roman" w:hAnsi="Times New Roman" w:eastAsia="仿宋" w:cs="Times New Roman"/>
                <w:color w:val="auto"/>
              </w:rPr>
            </w:pPr>
          </w:p>
          <w:p w14:paraId="4F47D38A">
            <w:pPr>
              <w:pStyle w:val="3"/>
              <w:numPr>
                <w:ilvl w:val="0"/>
                <w:numId w:val="0"/>
              </w:numPr>
              <w:rPr>
                <w:rFonts w:hint="default" w:ascii="Times New Roman" w:hAnsi="Times New Roman" w:eastAsia="仿宋" w:cs="Times New Roman"/>
                <w:color w:val="auto"/>
              </w:rPr>
            </w:pPr>
          </w:p>
          <w:p w14:paraId="598EF6AE">
            <w:pPr>
              <w:pStyle w:val="3"/>
              <w:numPr>
                <w:ilvl w:val="0"/>
                <w:numId w:val="0"/>
              </w:numPr>
              <w:rPr>
                <w:rFonts w:hint="default" w:ascii="Times New Roman" w:hAnsi="Times New Roman" w:eastAsia="仿宋" w:cs="Times New Roman"/>
                <w:color w:val="auto"/>
              </w:rPr>
            </w:pPr>
          </w:p>
          <w:p w14:paraId="76A9AD63">
            <w:pPr>
              <w:pStyle w:val="3"/>
              <w:numPr>
                <w:ilvl w:val="0"/>
                <w:numId w:val="0"/>
              </w:numPr>
              <w:rPr>
                <w:rFonts w:hint="default" w:ascii="Times New Roman" w:hAnsi="Times New Roman" w:eastAsia="仿宋" w:cs="Times New Roman"/>
                <w:color w:val="auto"/>
              </w:rPr>
            </w:pPr>
          </w:p>
          <w:p w14:paraId="288E8874">
            <w:pPr>
              <w:pStyle w:val="3"/>
              <w:numPr>
                <w:ilvl w:val="0"/>
                <w:numId w:val="0"/>
              </w:numPr>
              <w:rPr>
                <w:rFonts w:hint="default" w:ascii="Times New Roman" w:hAnsi="Times New Roman" w:eastAsia="仿宋" w:cs="Times New Roman"/>
                <w:color w:val="auto"/>
              </w:rPr>
            </w:pPr>
          </w:p>
          <w:p w14:paraId="11320834">
            <w:pPr>
              <w:rPr>
                <w:rFonts w:hint="default" w:ascii="Times New Roman" w:hAnsi="Times New Roman" w:eastAsia="仿宋" w:cs="Times New Roman"/>
                <w:color w:val="auto"/>
                <w:kern w:val="0"/>
                <w:szCs w:val="21"/>
              </w:rPr>
            </w:pPr>
          </w:p>
        </w:tc>
      </w:tr>
    </w:tbl>
    <w:p w14:paraId="43A80BB4">
      <w:pPr>
        <w:pStyle w:val="20"/>
        <w:jc w:val="center"/>
        <w:outlineLvl w:val="0"/>
        <w:rPr>
          <w:rFonts w:hint="default" w:ascii="Times New Roman" w:hAnsi="Times New Roman" w:eastAsia="仿宋" w:cs="Times New Roman"/>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14:paraId="6612926A">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7"/>
        <w:gridCol w:w="8343"/>
      </w:tblGrid>
      <w:tr w14:paraId="5BAE1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717" w:type="dxa"/>
            <w:noWrap w:val="0"/>
            <w:vAlign w:val="center"/>
          </w:tcPr>
          <w:p w14:paraId="5DF3392C">
            <w:pPr>
              <w:pStyle w:val="20"/>
              <w:adjustRightInd w:val="0"/>
              <w:snapToGrid w:val="0"/>
              <w:spacing w:before="0" w:beforeAutospacing="0" w:after="0" w:afterAutospacing="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建设内容</w:t>
            </w:r>
          </w:p>
        </w:tc>
        <w:tc>
          <w:tcPr>
            <w:tcW w:w="8343" w:type="dxa"/>
            <w:noWrap w:val="0"/>
            <w:vAlign w:val="top"/>
          </w:tcPr>
          <w:p w14:paraId="76D2D763">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1、项目由来</w:t>
            </w:r>
          </w:p>
          <w:p w14:paraId="42105999">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lang w:eastAsia="zh-CN"/>
              </w:rPr>
              <w:t>常州爱维电子控制技术有限公司</w:t>
            </w:r>
            <w:r>
              <w:rPr>
                <w:rFonts w:hint="default" w:ascii="Times New Roman" w:hAnsi="Times New Roman" w:eastAsia="仿宋" w:cs="Times New Roman"/>
                <w:color w:val="auto"/>
                <w:spacing w:val="-2"/>
                <w:sz w:val="24"/>
                <w:szCs w:val="24"/>
              </w:rPr>
              <w:t>成立于20</w:t>
            </w:r>
            <w:r>
              <w:rPr>
                <w:rFonts w:hint="default" w:ascii="Times New Roman" w:hAnsi="Times New Roman" w:eastAsia="仿宋" w:cs="Times New Roman"/>
                <w:color w:val="auto"/>
                <w:spacing w:val="-2"/>
                <w:sz w:val="24"/>
                <w:szCs w:val="24"/>
                <w:lang w:val="en-US" w:eastAsia="zh-CN"/>
              </w:rPr>
              <w:t>07</w:t>
            </w:r>
            <w:r>
              <w:rPr>
                <w:rFonts w:hint="default" w:ascii="Times New Roman" w:hAnsi="Times New Roman" w:eastAsia="仿宋" w:cs="Times New Roman"/>
                <w:color w:val="auto"/>
                <w:spacing w:val="-2"/>
                <w:sz w:val="24"/>
                <w:szCs w:val="24"/>
              </w:rPr>
              <w:t>年</w:t>
            </w:r>
            <w:r>
              <w:rPr>
                <w:rFonts w:hint="default" w:ascii="Times New Roman" w:hAnsi="Times New Roman" w:eastAsia="仿宋" w:cs="Times New Roman"/>
                <w:color w:val="auto"/>
                <w:spacing w:val="-2"/>
                <w:sz w:val="24"/>
                <w:szCs w:val="24"/>
                <w:lang w:val="en-US" w:eastAsia="zh-CN"/>
              </w:rPr>
              <w:t>02</w:t>
            </w:r>
            <w:r>
              <w:rPr>
                <w:rFonts w:hint="default" w:ascii="Times New Roman" w:hAnsi="Times New Roman" w:eastAsia="仿宋" w:cs="Times New Roman"/>
                <w:color w:val="auto"/>
                <w:spacing w:val="-2"/>
                <w:sz w:val="24"/>
                <w:szCs w:val="24"/>
              </w:rPr>
              <w:t>月</w:t>
            </w:r>
            <w:r>
              <w:rPr>
                <w:rFonts w:hint="default" w:ascii="Times New Roman" w:hAnsi="Times New Roman" w:eastAsia="仿宋" w:cs="Times New Roman"/>
                <w:color w:val="auto"/>
                <w:spacing w:val="-2"/>
                <w:sz w:val="24"/>
                <w:szCs w:val="24"/>
                <w:lang w:val="en-US" w:eastAsia="zh-CN"/>
              </w:rPr>
              <w:t>08</w:t>
            </w:r>
            <w:r>
              <w:rPr>
                <w:rFonts w:hint="default" w:ascii="Times New Roman" w:hAnsi="Times New Roman" w:eastAsia="仿宋" w:cs="Times New Roman"/>
                <w:color w:val="auto"/>
                <w:spacing w:val="-2"/>
                <w:sz w:val="24"/>
                <w:szCs w:val="24"/>
              </w:rPr>
              <w:t>日，注册地位于</w:t>
            </w:r>
            <w:r>
              <w:rPr>
                <w:rFonts w:hint="default" w:ascii="Times New Roman" w:hAnsi="Times New Roman" w:eastAsia="仿宋" w:cs="Times New Roman"/>
                <w:color w:val="auto"/>
                <w:spacing w:val="-2"/>
                <w:sz w:val="24"/>
                <w:szCs w:val="24"/>
                <w:lang w:eastAsia="zh-CN"/>
              </w:rPr>
              <w:t>江苏武进经济开发区西湖街道长秀路8号9幢</w:t>
            </w:r>
            <w:r>
              <w:rPr>
                <w:rFonts w:hint="default" w:ascii="Times New Roman" w:hAnsi="Times New Roman" w:eastAsia="仿宋" w:cs="Times New Roman"/>
                <w:color w:val="auto"/>
                <w:spacing w:val="-2"/>
                <w:sz w:val="24"/>
                <w:szCs w:val="24"/>
              </w:rPr>
              <w:t>，法定代表人为</w:t>
            </w:r>
            <w:r>
              <w:rPr>
                <w:rFonts w:hint="default" w:ascii="Times New Roman" w:hAnsi="Times New Roman" w:eastAsia="仿宋" w:cs="Times New Roman"/>
                <w:color w:val="auto"/>
                <w:spacing w:val="-2"/>
                <w:sz w:val="24"/>
                <w:szCs w:val="24"/>
                <w:lang w:eastAsia="zh-CN"/>
              </w:rPr>
              <w:t>FELICE CALDI</w:t>
            </w:r>
            <w:r>
              <w:rPr>
                <w:rFonts w:hint="default" w:ascii="Times New Roman" w:hAnsi="Times New Roman" w:eastAsia="仿宋" w:cs="Times New Roman"/>
                <w:color w:val="auto"/>
                <w:spacing w:val="-2"/>
                <w:sz w:val="24"/>
                <w:szCs w:val="24"/>
              </w:rPr>
              <w:t>。经营范围</w:t>
            </w:r>
            <w:r>
              <w:rPr>
                <w:rFonts w:hint="default" w:ascii="Times New Roman" w:hAnsi="Times New Roman" w:eastAsia="仿宋" w:cs="Times New Roman"/>
                <w:i w:val="0"/>
                <w:iCs w:val="0"/>
                <w:caps w:val="0"/>
                <w:color w:val="000000"/>
                <w:spacing w:val="0"/>
                <w:sz w:val="24"/>
                <w:szCs w:val="24"/>
                <w:shd w:val="clear" w:color="auto" w:fill="FFFFFF"/>
              </w:rPr>
              <w:t>包括从事电机、驱动器、控制器、相关配件的研发、技术转让、技术咨询、技术服务，从事上述产品的制造、加工；从事上述产品的国内采购、批发、佣金代理（拍卖除外），进出口业务</w:t>
            </w:r>
            <w:r>
              <w:rPr>
                <w:rFonts w:hint="default" w:ascii="Times New Roman" w:hAnsi="Times New Roman" w:eastAsia="仿宋" w:cs="Times New Roman"/>
                <w:color w:val="auto"/>
                <w:spacing w:val="-2"/>
                <w:sz w:val="24"/>
                <w:szCs w:val="24"/>
              </w:rPr>
              <w:t>。</w:t>
            </w:r>
          </w:p>
          <w:p w14:paraId="0644DF7D">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lang w:val="en-US" w:eastAsia="zh-CN"/>
              </w:rPr>
              <w:t>公司原址位于武进国家高新技术产业开发区武宜南路377号创新园区11号厂房西三层，从事电机和驱动器生产，于2021年委托河北启沙环保科技有限公司编制</w:t>
            </w:r>
            <w:r>
              <w:rPr>
                <w:rFonts w:hint="eastAsia" w:eastAsia="仿宋" w:cs="Times New Roman"/>
                <w:color w:val="auto"/>
                <w:spacing w:val="-2"/>
                <w:sz w:val="24"/>
                <w:szCs w:val="24"/>
                <w:lang w:val="en-US" w:eastAsia="zh-CN"/>
              </w:rPr>
              <w:t>了</w:t>
            </w:r>
            <w:r>
              <w:rPr>
                <w:rFonts w:hint="default" w:ascii="Times New Roman" w:hAnsi="Times New Roman" w:eastAsia="仿宋" w:cs="Times New Roman"/>
                <w:color w:val="auto"/>
                <w:spacing w:val="-2"/>
                <w:sz w:val="24"/>
                <w:szCs w:val="24"/>
                <w:lang w:val="en-US" w:eastAsia="zh-CN"/>
              </w:rPr>
              <w:t>《年产6万台步进电机、5万台驱动器项目环境影响报告表》，并于2021年7月6日取得常州市生态环境局的批复，于2021年11月19日进行排污登记，取得固定污染源排污登记回执，登记编号：91320412797435385W001W，于2022年4月12日开展竣工环境保护自主验收，取得验收意见</w:t>
            </w:r>
            <w:r>
              <w:rPr>
                <w:rFonts w:hint="default" w:ascii="Times New Roman" w:hAnsi="Times New Roman" w:eastAsia="仿宋" w:cs="Times New Roman"/>
                <w:color w:val="auto"/>
                <w:spacing w:val="-2"/>
                <w:sz w:val="24"/>
                <w:szCs w:val="24"/>
              </w:rPr>
              <w:t>。</w:t>
            </w:r>
          </w:p>
          <w:p w14:paraId="6353F5E7">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lang w:val="en-US" w:eastAsia="zh-CN"/>
              </w:rPr>
              <w:t>为适应市场需求扩大产能</w:t>
            </w:r>
            <w:r>
              <w:rPr>
                <w:rFonts w:hint="default" w:ascii="Times New Roman" w:hAnsi="Times New Roman" w:eastAsia="仿宋" w:cs="Times New Roman"/>
                <w:color w:val="auto"/>
                <w:spacing w:val="-2"/>
                <w:sz w:val="24"/>
                <w:szCs w:val="24"/>
                <w:lang w:eastAsia="zh-CN"/>
              </w:rPr>
              <w:t>，常州爱维电子控制技术有限公司拟投资</w:t>
            </w:r>
            <w:r>
              <w:rPr>
                <w:rFonts w:hint="default" w:ascii="Times New Roman" w:hAnsi="Times New Roman" w:eastAsia="仿宋" w:cs="Times New Roman"/>
                <w:color w:val="auto"/>
                <w:spacing w:val="-2"/>
                <w:sz w:val="24"/>
                <w:szCs w:val="24"/>
                <w:lang w:val="en-US" w:eastAsia="zh-CN"/>
              </w:rPr>
              <w:t>30</w:t>
            </w:r>
            <w:r>
              <w:rPr>
                <w:rFonts w:hint="default" w:ascii="Times New Roman" w:hAnsi="Times New Roman" w:eastAsia="仿宋" w:cs="Times New Roman"/>
                <w:color w:val="auto"/>
                <w:spacing w:val="-2"/>
                <w:sz w:val="24"/>
                <w:szCs w:val="24"/>
                <w:lang w:eastAsia="zh-CN"/>
              </w:rPr>
              <w:t>00万元，</w:t>
            </w:r>
            <w:r>
              <w:rPr>
                <w:rFonts w:hint="default" w:ascii="Times New Roman" w:hAnsi="Times New Roman" w:eastAsia="仿宋" w:cs="Times New Roman"/>
                <w:color w:val="auto"/>
                <w:spacing w:val="-2"/>
                <w:sz w:val="24"/>
                <w:szCs w:val="24"/>
                <w:lang w:val="en-US" w:eastAsia="zh-CN"/>
              </w:rPr>
              <w:t>利用自有</w:t>
            </w:r>
            <w:r>
              <w:rPr>
                <w:rFonts w:hint="default" w:ascii="Times New Roman" w:hAnsi="Times New Roman" w:eastAsia="仿宋" w:cs="Times New Roman"/>
                <w:color w:val="auto"/>
                <w:spacing w:val="-2"/>
                <w:sz w:val="24"/>
                <w:szCs w:val="24"/>
                <w:lang w:eastAsia="zh-CN"/>
              </w:rPr>
              <w:t>厂房（</w:t>
            </w:r>
            <w:r>
              <w:rPr>
                <w:rFonts w:hint="default" w:ascii="Times New Roman" w:hAnsi="Times New Roman" w:eastAsia="仿宋" w:cs="Times New Roman"/>
                <w:color w:val="auto"/>
                <w:spacing w:val="-2"/>
                <w:sz w:val="24"/>
                <w:szCs w:val="24"/>
                <w:lang w:val="en-US" w:eastAsia="zh-CN"/>
              </w:rPr>
              <w:t>购置</w:t>
            </w:r>
            <w:r>
              <w:rPr>
                <w:rFonts w:hint="default" w:ascii="Times New Roman" w:hAnsi="Times New Roman" w:eastAsia="仿宋" w:cs="Times New Roman"/>
                <w:color w:val="auto"/>
                <w:spacing w:val="-2"/>
                <w:sz w:val="24"/>
                <w:szCs w:val="24"/>
                <w:lang w:eastAsia="zh-CN"/>
              </w:rPr>
              <w:t>坤鼎常州创新产业基地</w:t>
            </w:r>
            <w:r>
              <w:rPr>
                <w:rFonts w:hint="default" w:ascii="Times New Roman" w:hAnsi="Times New Roman" w:eastAsia="仿宋" w:cs="Times New Roman"/>
                <w:color w:val="auto"/>
                <w:spacing w:val="-2"/>
                <w:sz w:val="24"/>
                <w:szCs w:val="24"/>
                <w:lang w:val="en-US" w:eastAsia="zh-CN"/>
              </w:rPr>
              <w:t>9幢已建空置厂房</w:t>
            </w:r>
            <w:r>
              <w:rPr>
                <w:rFonts w:hint="default" w:ascii="Times New Roman" w:hAnsi="Times New Roman" w:eastAsia="仿宋" w:cs="Times New Roman"/>
                <w:color w:val="auto"/>
                <w:spacing w:val="-2"/>
                <w:sz w:val="24"/>
                <w:szCs w:val="24"/>
                <w:lang w:eastAsia="zh-CN"/>
              </w:rPr>
              <w:t>）</w:t>
            </w:r>
            <w:r>
              <w:rPr>
                <w:rFonts w:hint="default" w:ascii="Times New Roman" w:hAnsi="Times New Roman" w:eastAsia="仿宋" w:cs="Times New Roman"/>
                <w:color w:val="auto"/>
                <w:spacing w:val="-2"/>
                <w:sz w:val="24"/>
                <w:szCs w:val="24"/>
                <w:lang w:val="en-US" w:eastAsia="zh-CN"/>
              </w:rPr>
              <w:t>建筑面积3369.31m</w:t>
            </w:r>
            <w:r>
              <w:rPr>
                <w:rFonts w:hint="default" w:ascii="Times New Roman" w:hAnsi="Times New Roman" w:eastAsia="仿宋" w:cs="Times New Roman"/>
                <w:color w:val="auto"/>
                <w:spacing w:val="-2"/>
                <w:sz w:val="24"/>
                <w:szCs w:val="24"/>
                <w:vertAlign w:val="superscript"/>
                <w:lang w:val="en-US" w:eastAsia="zh-CN"/>
              </w:rPr>
              <w:t>2</w:t>
            </w:r>
            <w:r>
              <w:rPr>
                <w:rFonts w:hint="default" w:ascii="Times New Roman" w:hAnsi="Times New Roman" w:eastAsia="仿宋" w:cs="Times New Roman"/>
                <w:color w:val="auto"/>
                <w:spacing w:val="-2"/>
                <w:sz w:val="24"/>
                <w:szCs w:val="24"/>
                <w:lang w:eastAsia="zh-CN"/>
              </w:rPr>
              <w:t>，</w:t>
            </w:r>
            <w:r>
              <w:rPr>
                <w:rFonts w:hint="default" w:ascii="Times New Roman" w:hAnsi="Times New Roman" w:eastAsia="仿宋" w:cs="Times New Roman"/>
                <w:color w:val="auto"/>
                <w:spacing w:val="-2"/>
                <w:sz w:val="24"/>
                <w:szCs w:val="24"/>
                <w:lang w:val="en-US" w:eastAsia="zh-CN"/>
              </w:rPr>
              <w:t>搬迁并购置压力机、立式定子绕线机、普通车床、六槽式超声波清洗机、数控珩磨机等生产设备共计45台套，项目建成后可形成年产步进电机100万台、直流无刷电机20万台、驱动器30万台的生产能力</w:t>
            </w:r>
            <w:r>
              <w:rPr>
                <w:rFonts w:hint="default" w:ascii="Times New Roman" w:hAnsi="Times New Roman" w:eastAsia="仿宋" w:cs="Times New Roman"/>
                <w:color w:val="auto"/>
                <w:spacing w:val="-2"/>
                <w:sz w:val="24"/>
                <w:szCs w:val="24"/>
                <w:lang w:eastAsia="zh-CN"/>
              </w:rPr>
              <w:t>。于202</w:t>
            </w:r>
            <w:r>
              <w:rPr>
                <w:rFonts w:hint="default" w:ascii="Times New Roman" w:hAnsi="Times New Roman" w:eastAsia="仿宋" w:cs="Times New Roman"/>
                <w:color w:val="auto"/>
                <w:spacing w:val="-2"/>
                <w:sz w:val="24"/>
                <w:szCs w:val="24"/>
                <w:lang w:val="en-US" w:eastAsia="zh-CN"/>
              </w:rPr>
              <w:t>4</w:t>
            </w:r>
            <w:r>
              <w:rPr>
                <w:rFonts w:hint="default" w:ascii="Times New Roman" w:hAnsi="Times New Roman" w:eastAsia="仿宋" w:cs="Times New Roman"/>
                <w:color w:val="auto"/>
                <w:spacing w:val="-2"/>
                <w:sz w:val="24"/>
                <w:szCs w:val="24"/>
                <w:lang w:eastAsia="zh-CN"/>
              </w:rPr>
              <w:t>年</w:t>
            </w:r>
            <w:r>
              <w:rPr>
                <w:rFonts w:hint="default" w:ascii="Times New Roman" w:hAnsi="Times New Roman" w:eastAsia="仿宋" w:cs="Times New Roman"/>
                <w:color w:val="auto"/>
                <w:spacing w:val="-2"/>
                <w:sz w:val="24"/>
                <w:szCs w:val="24"/>
                <w:lang w:val="en-US" w:eastAsia="zh-CN"/>
              </w:rPr>
              <w:t>7</w:t>
            </w:r>
            <w:r>
              <w:rPr>
                <w:rFonts w:hint="default" w:ascii="Times New Roman" w:hAnsi="Times New Roman" w:eastAsia="仿宋" w:cs="Times New Roman"/>
                <w:color w:val="auto"/>
                <w:spacing w:val="-2"/>
                <w:sz w:val="24"/>
                <w:szCs w:val="24"/>
                <w:lang w:eastAsia="zh-CN"/>
              </w:rPr>
              <w:t>月</w:t>
            </w:r>
            <w:r>
              <w:rPr>
                <w:rFonts w:hint="default" w:ascii="Times New Roman" w:hAnsi="Times New Roman" w:eastAsia="仿宋" w:cs="Times New Roman"/>
                <w:color w:val="auto"/>
                <w:spacing w:val="-2"/>
                <w:sz w:val="24"/>
                <w:szCs w:val="24"/>
                <w:lang w:val="en-US" w:eastAsia="zh-CN"/>
              </w:rPr>
              <w:t>18</w:t>
            </w:r>
            <w:r>
              <w:rPr>
                <w:rFonts w:hint="default" w:ascii="Times New Roman" w:hAnsi="Times New Roman" w:eastAsia="仿宋" w:cs="Times New Roman"/>
                <w:color w:val="auto"/>
                <w:spacing w:val="-2"/>
                <w:sz w:val="24"/>
                <w:szCs w:val="24"/>
                <w:lang w:eastAsia="zh-CN"/>
              </w:rPr>
              <w:t>日取得了江苏武进经济开发区管委会</w:t>
            </w:r>
            <w:r>
              <w:rPr>
                <w:rFonts w:hint="default" w:ascii="Times New Roman" w:hAnsi="Times New Roman" w:eastAsia="仿宋" w:cs="Times New Roman"/>
                <w:color w:val="auto"/>
                <w:spacing w:val="-2"/>
                <w:sz w:val="24"/>
                <w:szCs w:val="24"/>
              </w:rPr>
              <w:t>出具的江苏省投资项目备案证（备案证号：</w:t>
            </w:r>
            <w:r>
              <w:rPr>
                <w:rFonts w:hint="default" w:ascii="Times New Roman" w:hAnsi="Times New Roman" w:eastAsia="仿宋" w:cs="Times New Roman"/>
                <w:color w:val="auto"/>
                <w:spacing w:val="-2"/>
                <w:sz w:val="24"/>
                <w:szCs w:val="24"/>
                <w:lang w:eastAsia="zh-CN"/>
              </w:rPr>
              <w:t>武经发管备[2024]109号</w:t>
            </w:r>
            <w:r>
              <w:rPr>
                <w:rFonts w:hint="default" w:ascii="Times New Roman" w:hAnsi="Times New Roman" w:eastAsia="仿宋" w:cs="Times New Roman"/>
                <w:color w:val="auto"/>
                <w:spacing w:val="-2"/>
                <w:sz w:val="24"/>
                <w:szCs w:val="24"/>
              </w:rPr>
              <w:t>），目前本项目正在筹备中。</w:t>
            </w:r>
          </w:p>
          <w:p w14:paraId="4C5E8535">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根据《中华人民共和国环境影响评价法》、《建设项目环境影响评价分类管理名录》及《建设项目环境影响评价分级审批规定》的规定，本项目属于“三十</w:t>
            </w:r>
            <w:r>
              <w:rPr>
                <w:rFonts w:hint="default" w:ascii="Times New Roman" w:hAnsi="Times New Roman" w:eastAsia="仿宋" w:cs="Times New Roman"/>
                <w:color w:val="auto"/>
                <w:spacing w:val="-2"/>
                <w:sz w:val="24"/>
                <w:szCs w:val="24"/>
                <w:lang w:val="en-US" w:eastAsia="zh-CN"/>
              </w:rPr>
              <w:t>五</w:t>
            </w:r>
            <w:r>
              <w:rPr>
                <w:rFonts w:hint="default" w:ascii="Times New Roman" w:hAnsi="Times New Roman" w:eastAsia="仿宋" w:cs="Times New Roman"/>
                <w:color w:val="auto"/>
                <w:spacing w:val="-2"/>
                <w:sz w:val="24"/>
                <w:szCs w:val="24"/>
              </w:rPr>
              <w:t>、</w:t>
            </w:r>
            <w:r>
              <w:rPr>
                <w:rFonts w:hint="default" w:ascii="Times New Roman" w:hAnsi="Times New Roman" w:eastAsia="仿宋" w:cs="Times New Roman"/>
                <w:color w:val="auto"/>
                <w:spacing w:val="-2"/>
                <w:sz w:val="24"/>
                <w:szCs w:val="24"/>
                <w:lang w:val="en-US" w:eastAsia="zh-CN"/>
              </w:rPr>
              <w:t>电气机械和器材</w:t>
            </w:r>
            <w:r>
              <w:rPr>
                <w:rFonts w:hint="default" w:ascii="Times New Roman" w:hAnsi="Times New Roman" w:eastAsia="仿宋" w:cs="Times New Roman"/>
                <w:color w:val="auto"/>
                <w:spacing w:val="-2"/>
                <w:sz w:val="24"/>
                <w:szCs w:val="24"/>
              </w:rPr>
              <w:t xml:space="preserve">制造业 </w:t>
            </w:r>
            <w:r>
              <w:rPr>
                <w:rFonts w:hint="default" w:ascii="Times New Roman" w:hAnsi="Times New Roman" w:eastAsia="仿宋" w:cs="Times New Roman"/>
                <w:color w:val="auto"/>
                <w:spacing w:val="-2"/>
                <w:sz w:val="24"/>
                <w:szCs w:val="24"/>
                <w:lang w:val="en-US" w:eastAsia="zh-CN"/>
              </w:rPr>
              <w:t>77电机</w:t>
            </w:r>
            <w:r>
              <w:rPr>
                <w:rFonts w:hint="default" w:ascii="Times New Roman" w:hAnsi="Times New Roman" w:eastAsia="仿宋" w:cs="Times New Roman"/>
                <w:color w:val="auto"/>
                <w:spacing w:val="-2"/>
                <w:sz w:val="24"/>
                <w:szCs w:val="24"/>
              </w:rPr>
              <w:t>制造3</w:t>
            </w:r>
            <w:r>
              <w:rPr>
                <w:rFonts w:hint="default" w:ascii="Times New Roman" w:hAnsi="Times New Roman" w:eastAsia="仿宋" w:cs="Times New Roman"/>
                <w:color w:val="auto"/>
                <w:spacing w:val="-2"/>
                <w:sz w:val="24"/>
                <w:szCs w:val="24"/>
                <w:lang w:val="en-US" w:eastAsia="zh-CN"/>
              </w:rPr>
              <w:t>81</w:t>
            </w:r>
            <w:r>
              <w:rPr>
                <w:rFonts w:hint="default" w:ascii="Times New Roman" w:hAnsi="Times New Roman" w:eastAsia="仿宋" w:cs="Times New Roman"/>
                <w:color w:val="auto"/>
                <w:spacing w:val="-2"/>
                <w:sz w:val="24"/>
                <w:szCs w:val="24"/>
              </w:rPr>
              <w:t>-其他（仅分割、焊接、组装的除外；年用非溶剂型低VOCs含量涂料10吨以下的除外）”，需编制环境影响报告表。为此</w:t>
            </w:r>
            <w:r>
              <w:rPr>
                <w:rFonts w:hint="default" w:ascii="Times New Roman" w:hAnsi="Times New Roman" w:eastAsia="仿宋" w:cs="Times New Roman"/>
                <w:color w:val="auto"/>
                <w:spacing w:val="-2"/>
                <w:sz w:val="24"/>
                <w:szCs w:val="24"/>
                <w:lang w:eastAsia="zh-CN"/>
              </w:rPr>
              <w:t>常州爱维电子控制技术有限公司</w:t>
            </w:r>
            <w:r>
              <w:rPr>
                <w:rFonts w:hint="default" w:ascii="Times New Roman" w:hAnsi="Times New Roman" w:eastAsia="仿宋" w:cs="Times New Roman"/>
                <w:color w:val="auto"/>
                <w:spacing w:val="-2"/>
                <w:sz w:val="24"/>
                <w:szCs w:val="24"/>
              </w:rPr>
              <w:t>委托常州华开环境技术服务有限公司承担该项目的编制工作，经过现场勘查及工程分析，依据《建设项目环境影响报告表编制技术指南（污染影响类）（试行）》的要求，编制了该项目的环境影响报告表。</w:t>
            </w:r>
          </w:p>
          <w:p w14:paraId="6C7DD9FB">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2、产品方案</w:t>
            </w:r>
          </w:p>
          <w:p w14:paraId="5589D5F2">
            <w:pPr>
              <w:keepNext w:val="0"/>
              <w:keepLines w:val="0"/>
              <w:pageBreakBefore w:val="0"/>
              <w:widowControl w:val="0"/>
              <w:kinsoku/>
              <w:wordWrap/>
              <w:overflowPunct/>
              <w:topLinePunct w:val="0"/>
              <w:autoSpaceDE/>
              <w:autoSpaceDN/>
              <w:bidi w:val="0"/>
              <w:adjustRightInd/>
              <w:snapToGrid/>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本项目产品方案见表2-1。</w:t>
            </w:r>
          </w:p>
          <w:p w14:paraId="1CDD58DF">
            <w:pPr>
              <w:tabs>
                <w:tab w:val="left" w:pos="2127"/>
                <w:tab w:val="center" w:pos="4452"/>
                <w:tab w:val="right" w:pos="8246"/>
              </w:tabs>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表2-1  本项目产品方案</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6"/>
              <w:gridCol w:w="2070"/>
              <w:gridCol w:w="416"/>
              <w:gridCol w:w="1938"/>
              <w:gridCol w:w="2124"/>
            </w:tblGrid>
            <w:tr w14:paraId="0E6D07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970" w:type="pct"/>
                  <w:noWrap w:val="0"/>
                  <w:vAlign w:val="center"/>
                </w:tcPr>
                <w:p w14:paraId="545DEC9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z w:val="21"/>
                      <w:szCs w:val="24"/>
                    </w:rPr>
                  </w:pPr>
                  <w:r>
                    <w:rPr>
                      <w:rFonts w:hint="default" w:ascii="Times New Roman" w:hAnsi="Times New Roman" w:eastAsia="仿宋" w:cs="Times New Roman"/>
                      <w:b/>
                      <w:sz w:val="21"/>
                      <w:szCs w:val="24"/>
                    </w:rPr>
                    <w:t>产品名称</w:t>
                  </w:r>
                </w:p>
              </w:tc>
              <w:tc>
                <w:tcPr>
                  <w:tcW w:w="1274" w:type="pct"/>
                  <w:noWrap w:val="0"/>
                  <w:vAlign w:val="center"/>
                </w:tcPr>
                <w:p w14:paraId="419D31C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z w:val="21"/>
                      <w:szCs w:val="24"/>
                    </w:rPr>
                  </w:pPr>
                  <w:r>
                    <w:rPr>
                      <w:rFonts w:hint="default" w:ascii="Times New Roman" w:hAnsi="Times New Roman" w:eastAsia="仿宋" w:cs="Times New Roman"/>
                      <w:b/>
                      <w:sz w:val="21"/>
                      <w:szCs w:val="24"/>
                      <w:lang w:val="en-US" w:eastAsia="zh-CN"/>
                    </w:rPr>
                    <w:t>搬迁前</w:t>
                  </w:r>
                  <w:r>
                    <w:rPr>
                      <w:rFonts w:hint="default" w:ascii="Times New Roman" w:hAnsi="Times New Roman" w:eastAsia="仿宋" w:cs="Times New Roman"/>
                      <w:b/>
                      <w:sz w:val="21"/>
                      <w:szCs w:val="24"/>
                    </w:rPr>
                    <w:t>设计能力/年</w:t>
                  </w:r>
                </w:p>
              </w:tc>
              <w:tc>
                <w:tcPr>
                  <w:tcW w:w="1449" w:type="pct"/>
                  <w:gridSpan w:val="2"/>
                  <w:noWrap w:val="0"/>
                  <w:vAlign w:val="center"/>
                </w:tcPr>
                <w:p w14:paraId="5ED2D78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z w:val="21"/>
                      <w:szCs w:val="24"/>
                      <w:lang w:val="en-US" w:eastAsia="zh-CN"/>
                    </w:rPr>
                  </w:pPr>
                  <w:r>
                    <w:rPr>
                      <w:rFonts w:hint="default" w:ascii="Times New Roman" w:hAnsi="Times New Roman" w:eastAsia="仿宋" w:cs="Times New Roman"/>
                      <w:b/>
                      <w:sz w:val="21"/>
                      <w:szCs w:val="24"/>
                      <w:lang w:val="en-US" w:eastAsia="zh-CN"/>
                    </w:rPr>
                    <w:t>搬迁后</w:t>
                  </w:r>
                  <w:r>
                    <w:rPr>
                      <w:rFonts w:hint="default" w:ascii="Times New Roman" w:hAnsi="Times New Roman" w:eastAsia="仿宋" w:cs="Times New Roman"/>
                      <w:b/>
                      <w:sz w:val="21"/>
                      <w:szCs w:val="24"/>
                    </w:rPr>
                    <w:t>设计能力/年</w:t>
                  </w:r>
                </w:p>
              </w:tc>
              <w:tc>
                <w:tcPr>
                  <w:tcW w:w="1306" w:type="pct"/>
                  <w:tcBorders>
                    <w:left w:val="single" w:color="auto" w:sz="4" w:space="0"/>
                  </w:tcBorders>
                  <w:noWrap w:val="0"/>
                  <w:vAlign w:val="center"/>
                </w:tcPr>
                <w:p w14:paraId="07A9252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sz w:val="21"/>
                      <w:szCs w:val="24"/>
                    </w:rPr>
                  </w:pPr>
                  <w:r>
                    <w:rPr>
                      <w:rFonts w:hint="default" w:ascii="Times New Roman" w:hAnsi="Times New Roman" w:eastAsia="仿宋" w:cs="Times New Roman"/>
                      <w:b/>
                      <w:sz w:val="21"/>
                      <w:szCs w:val="24"/>
                    </w:rPr>
                    <w:t>年运行时数</w:t>
                  </w:r>
                </w:p>
              </w:tc>
            </w:tr>
            <w:tr w14:paraId="031ACA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970" w:type="pct"/>
                  <w:noWrap w:val="0"/>
                  <w:vAlign w:val="center"/>
                </w:tcPr>
                <w:p w14:paraId="77F5A7F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eastAsia="zh-CN"/>
                    </w:rPr>
                  </w:pPr>
                  <w:r>
                    <w:rPr>
                      <w:rFonts w:hint="default" w:ascii="Times New Roman" w:hAnsi="Times New Roman" w:eastAsia="仿宋" w:cs="Times New Roman"/>
                      <w:b w:val="0"/>
                      <w:bCs w:val="0"/>
                      <w:sz w:val="21"/>
                      <w:szCs w:val="24"/>
                      <w:lang w:val="en-US" w:eastAsia="zh-CN"/>
                    </w:rPr>
                    <w:t>步进电机</w:t>
                  </w:r>
                </w:p>
              </w:tc>
              <w:tc>
                <w:tcPr>
                  <w:tcW w:w="1274" w:type="pct"/>
                  <w:noWrap w:val="0"/>
                  <w:vAlign w:val="center"/>
                </w:tcPr>
                <w:p w14:paraId="1B8F90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6万台</w:t>
                  </w:r>
                </w:p>
              </w:tc>
              <w:tc>
                <w:tcPr>
                  <w:tcW w:w="1449" w:type="pct"/>
                  <w:gridSpan w:val="2"/>
                  <w:noWrap w:val="0"/>
                  <w:vAlign w:val="center"/>
                </w:tcPr>
                <w:p w14:paraId="349F91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100万台</w:t>
                  </w:r>
                </w:p>
              </w:tc>
              <w:tc>
                <w:tcPr>
                  <w:tcW w:w="1306" w:type="pct"/>
                  <w:tcBorders>
                    <w:left w:val="single" w:color="auto" w:sz="4" w:space="0"/>
                  </w:tcBorders>
                  <w:noWrap w:val="0"/>
                  <w:vAlign w:val="center"/>
                </w:tcPr>
                <w:p w14:paraId="2FCA7D5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2400h</w:t>
                  </w:r>
                </w:p>
              </w:tc>
            </w:tr>
            <w:tr w14:paraId="5D28F1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970" w:type="pct"/>
                  <w:noWrap w:val="0"/>
                  <w:vAlign w:val="center"/>
                </w:tcPr>
                <w:p w14:paraId="680A8F4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eastAsia="zh-CN"/>
                    </w:rPr>
                  </w:pPr>
                  <w:r>
                    <w:rPr>
                      <w:rFonts w:hint="default" w:ascii="Times New Roman" w:hAnsi="Times New Roman" w:eastAsia="仿宋" w:cs="Times New Roman"/>
                      <w:b w:val="0"/>
                      <w:bCs w:val="0"/>
                      <w:sz w:val="21"/>
                      <w:szCs w:val="24"/>
                      <w:lang w:val="en-US" w:eastAsia="zh-CN"/>
                    </w:rPr>
                    <w:t>驱动器</w:t>
                  </w:r>
                </w:p>
              </w:tc>
              <w:tc>
                <w:tcPr>
                  <w:tcW w:w="1274" w:type="pct"/>
                  <w:noWrap w:val="0"/>
                  <w:vAlign w:val="center"/>
                </w:tcPr>
                <w:p w14:paraId="0299BA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5万台</w:t>
                  </w:r>
                </w:p>
              </w:tc>
              <w:tc>
                <w:tcPr>
                  <w:tcW w:w="1449" w:type="pct"/>
                  <w:gridSpan w:val="2"/>
                  <w:noWrap w:val="0"/>
                  <w:vAlign w:val="center"/>
                </w:tcPr>
                <w:p w14:paraId="5EEC06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30万台</w:t>
                  </w:r>
                </w:p>
              </w:tc>
              <w:tc>
                <w:tcPr>
                  <w:tcW w:w="1306" w:type="pct"/>
                  <w:tcBorders>
                    <w:left w:val="single" w:color="auto" w:sz="4" w:space="0"/>
                  </w:tcBorders>
                  <w:noWrap w:val="0"/>
                  <w:vAlign w:val="center"/>
                </w:tcPr>
                <w:p w14:paraId="6444F2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2400h</w:t>
                  </w:r>
                </w:p>
              </w:tc>
            </w:tr>
            <w:tr w14:paraId="7405C1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970" w:type="pct"/>
                  <w:noWrap w:val="0"/>
                  <w:vAlign w:val="center"/>
                </w:tcPr>
                <w:p w14:paraId="34F692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eastAsia="zh-CN"/>
                    </w:rPr>
                  </w:pPr>
                  <w:r>
                    <w:rPr>
                      <w:rFonts w:hint="default" w:ascii="Times New Roman" w:hAnsi="Times New Roman" w:eastAsia="仿宋" w:cs="Times New Roman"/>
                      <w:b w:val="0"/>
                      <w:bCs w:val="0"/>
                      <w:sz w:val="21"/>
                      <w:szCs w:val="24"/>
                      <w:lang w:val="en-US" w:eastAsia="zh-CN"/>
                    </w:rPr>
                    <w:t>直流无刷电机</w:t>
                  </w:r>
                </w:p>
              </w:tc>
              <w:tc>
                <w:tcPr>
                  <w:tcW w:w="1274" w:type="pct"/>
                  <w:noWrap w:val="0"/>
                  <w:vAlign w:val="center"/>
                </w:tcPr>
                <w:p w14:paraId="2954FF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w:t>
                  </w:r>
                </w:p>
              </w:tc>
              <w:tc>
                <w:tcPr>
                  <w:tcW w:w="1449" w:type="pct"/>
                  <w:gridSpan w:val="2"/>
                  <w:noWrap w:val="0"/>
                  <w:vAlign w:val="center"/>
                </w:tcPr>
                <w:p w14:paraId="4FBEF2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20万台</w:t>
                  </w:r>
                </w:p>
              </w:tc>
              <w:tc>
                <w:tcPr>
                  <w:tcW w:w="1306" w:type="pct"/>
                  <w:tcBorders>
                    <w:left w:val="single" w:color="auto" w:sz="4" w:space="0"/>
                  </w:tcBorders>
                  <w:noWrap w:val="0"/>
                  <w:vAlign w:val="center"/>
                </w:tcPr>
                <w:p w14:paraId="31F7EE7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val="0"/>
                      <w:bCs w:val="0"/>
                      <w:sz w:val="21"/>
                      <w:szCs w:val="24"/>
                      <w:lang w:val="en-US" w:eastAsia="zh-CN"/>
                    </w:rPr>
                    <w:t>2400h</w:t>
                  </w:r>
                </w:p>
              </w:tc>
            </w:tr>
            <w:tr w14:paraId="71D83A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5000" w:type="pct"/>
                  <w:gridSpan w:val="5"/>
                  <w:noWrap w:val="0"/>
                  <w:vAlign w:val="center"/>
                </w:tcPr>
                <w:p w14:paraId="1CB0A8B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b/>
                      <w:bCs/>
                      <w:sz w:val="21"/>
                      <w:szCs w:val="24"/>
                      <w:lang w:val="en-US" w:eastAsia="zh-CN"/>
                    </w:rPr>
                    <w:t>产品照片</w:t>
                  </w:r>
                </w:p>
              </w:tc>
            </w:tr>
            <w:tr w14:paraId="35AFB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2500" w:type="pct"/>
                  <w:gridSpan w:val="3"/>
                  <w:noWrap w:val="0"/>
                  <w:vAlign w:val="center"/>
                </w:tcPr>
                <w:p w14:paraId="180ED1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sz w:val="21"/>
                      <w:szCs w:val="24"/>
                      <w:lang w:val="en-US" w:eastAsia="zh-CN"/>
                    </w:rPr>
                  </w:pPr>
                  <w:r>
                    <w:rPr>
                      <w:rFonts w:hint="default" w:ascii="Times New Roman" w:hAnsi="Times New Roman" w:eastAsia="仿宋" w:cs="Times New Roman"/>
                      <w:b/>
                      <w:bCs/>
                      <w:sz w:val="21"/>
                      <w:szCs w:val="24"/>
                      <w:lang w:val="en-US" w:eastAsia="zh-CN"/>
                    </w:rPr>
                    <w:t>电机（步进电机/直流无刷电机）</w:t>
                  </w:r>
                </w:p>
              </w:tc>
              <w:tc>
                <w:tcPr>
                  <w:tcW w:w="2500" w:type="pct"/>
                  <w:gridSpan w:val="2"/>
                  <w:noWrap w:val="0"/>
                  <w:vAlign w:val="center"/>
                </w:tcPr>
                <w:p w14:paraId="60E1D1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bCs/>
                      <w:sz w:val="21"/>
                      <w:szCs w:val="24"/>
                      <w:lang w:val="en-US" w:eastAsia="zh-CN"/>
                    </w:rPr>
                  </w:pPr>
                  <w:r>
                    <w:rPr>
                      <w:rFonts w:hint="default" w:ascii="Times New Roman" w:hAnsi="Times New Roman" w:eastAsia="仿宋" w:cs="Times New Roman"/>
                      <w:b/>
                      <w:bCs/>
                      <w:sz w:val="21"/>
                      <w:szCs w:val="24"/>
                      <w:lang w:val="en-US" w:eastAsia="zh-CN"/>
                    </w:rPr>
                    <w:t>驱动器</w:t>
                  </w:r>
                </w:p>
              </w:tc>
            </w:tr>
            <w:tr w14:paraId="18F9D1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13" w:hRule="atLeast"/>
              </w:trPr>
              <w:tc>
                <w:tcPr>
                  <w:tcW w:w="2500" w:type="pct"/>
                  <w:gridSpan w:val="3"/>
                  <w:noWrap w:val="0"/>
                  <w:vAlign w:val="center"/>
                </w:tcPr>
                <w:p w14:paraId="27B135A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b w:val="0"/>
                      <w:bCs w:val="0"/>
                      <w:sz w:val="21"/>
                      <w:szCs w:val="24"/>
                      <w:lang w:val="en-US" w:eastAsia="zh-CN"/>
                    </w:rPr>
                  </w:pPr>
                  <w:r>
                    <w:rPr>
                      <w:rFonts w:hint="default" w:ascii="Times New Roman" w:hAnsi="Times New Roman" w:eastAsia="仿宋" w:cs="Times New Roman"/>
                    </w:rPr>
                    <w:drawing>
                      <wp:inline distT="0" distB="0" distL="114300" distR="114300">
                        <wp:extent cx="2013585" cy="1680210"/>
                        <wp:effectExtent l="0" t="0" r="5715" b="15240"/>
                        <wp:docPr id="9"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5"/>
                                <pic:cNvPicPr>
                                  <a:picLocks noChangeAspect="1"/>
                                </pic:cNvPicPr>
                              </pic:nvPicPr>
                              <pic:blipFill>
                                <a:blip r:embed="rId7"/>
                                <a:stretch>
                                  <a:fillRect/>
                                </a:stretch>
                              </pic:blipFill>
                              <pic:spPr>
                                <a:xfrm>
                                  <a:off x="0" y="0"/>
                                  <a:ext cx="2013585" cy="1680210"/>
                                </a:xfrm>
                                <a:prstGeom prst="rect">
                                  <a:avLst/>
                                </a:prstGeom>
                                <a:noFill/>
                                <a:ln>
                                  <a:noFill/>
                                </a:ln>
                              </pic:spPr>
                            </pic:pic>
                          </a:graphicData>
                        </a:graphic>
                      </wp:inline>
                    </w:drawing>
                  </w:r>
                </w:p>
              </w:tc>
              <w:tc>
                <w:tcPr>
                  <w:tcW w:w="2500" w:type="pct"/>
                  <w:gridSpan w:val="2"/>
                  <w:noWrap w:val="0"/>
                  <w:vAlign w:val="center"/>
                </w:tcPr>
                <w:p w14:paraId="0800AEA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 w:cs="Times New Roman"/>
                    </w:rPr>
                  </w:pPr>
                  <w:r>
                    <w:rPr>
                      <w:rFonts w:hint="default" w:ascii="Times New Roman" w:hAnsi="Times New Roman" w:eastAsia="仿宋" w:cs="Times New Roman"/>
                    </w:rPr>
                    <w:drawing>
                      <wp:inline distT="0" distB="0" distL="114300" distR="114300">
                        <wp:extent cx="2401570" cy="1670050"/>
                        <wp:effectExtent l="0" t="0" r="17780" b="6350"/>
                        <wp:docPr id="10"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7"/>
                                <pic:cNvPicPr>
                                  <a:picLocks noChangeAspect="1"/>
                                </pic:cNvPicPr>
                              </pic:nvPicPr>
                              <pic:blipFill>
                                <a:blip r:embed="rId8"/>
                                <a:stretch>
                                  <a:fillRect/>
                                </a:stretch>
                              </pic:blipFill>
                              <pic:spPr>
                                <a:xfrm>
                                  <a:off x="0" y="0"/>
                                  <a:ext cx="2401570" cy="1670050"/>
                                </a:xfrm>
                                <a:prstGeom prst="rect">
                                  <a:avLst/>
                                </a:prstGeom>
                                <a:noFill/>
                                <a:ln>
                                  <a:noFill/>
                                </a:ln>
                              </pic:spPr>
                            </pic:pic>
                          </a:graphicData>
                        </a:graphic>
                      </wp:inline>
                    </w:drawing>
                  </w:r>
                </w:p>
              </w:tc>
            </w:tr>
          </w:tbl>
          <w:p w14:paraId="3BAE404E">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仿宋" w:cs="Times New Roman"/>
                <w:b/>
                <w:bCs/>
                <w:color w:val="auto"/>
                <w:kern w:val="0"/>
                <w:sz w:val="21"/>
                <w:szCs w:val="21"/>
                <w:lang w:val="en-US" w:eastAsia="zh-CN"/>
              </w:rPr>
            </w:pPr>
            <w:r>
              <w:rPr>
                <w:rFonts w:hint="default" w:ascii="Times New Roman" w:hAnsi="Times New Roman" w:eastAsia="仿宋" w:cs="Times New Roman"/>
                <w:b/>
                <w:bCs/>
                <w:color w:val="auto"/>
                <w:kern w:val="0"/>
                <w:sz w:val="21"/>
                <w:szCs w:val="21"/>
                <w:lang w:val="en-US" w:eastAsia="zh-CN"/>
              </w:rPr>
              <w:t>注：本项目步进电机和驱动器工艺与原有项目一致。</w:t>
            </w:r>
          </w:p>
          <w:p w14:paraId="7F38AEC2">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3、主体</w:t>
            </w:r>
            <w:r>
              <w:rPr>
                <w:rFonts w:hint="default" w:ascii="Times New Roman" w:hAnsi="Times New Roman" w:eastAsia="仿宋" w:cs="Times New Roman"/>
                <w:b/>
                <w:bCs/>
                <w:color w:val="auto"/>
                <w:kern w:val="0"/>
                <w:sz w:val="24"/>
                <w:szCs w:val="24"/>
                <w:lang w:val="en-US" w:eastAsia="zh-CN"/>
              </w:rPr>
              <w:t>及公辅</w:t>
            </w:r>
            <w:r>
              <w:rPr>
                <w:rFonts w:hint="default" w:ascii="Times New Roman" w:hAnsi="Times New Roman" w:eastAsia="仿宋" w:cs="Times New Roman"/>
                <w:b/>
                <w:bCs/>
                <w:color w:val="auto"/>
                <w:kern w:val="0"/>
                <w:sz w:val="24"/>
                <w:szCs w:val="24"/>
              </w:rPr>
              <w:t>工程</w:t>
            </w:r>
          </w:p>
          <w:p w14:paraId="0EEF3EC2">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lang w:val="en-US" w:eastAsia="zh-CN"/>
              </w:rPr>
              <w:t>本项目主要公用及辅助工程</w:t>
            </w:r>
            <w:r>
              <w:rPr>
                <w:rFonts w:hint="default" w:ascii="Times New Roman" w:hAnsi="Times New Roman" w:eastAsia="仿宋" w:cs="Times New Roman"/>
                <w:color w:val="auto"/>
                <w:spacing w:val="-2"/>
                <w:sz w:val="24"/>
                <w:szCs w:val="24"/>
              </w:rPr>
              <w:t>见表2-</w:t>
            </w:r>
            <w:r>
              <w:rPr>
                <w:rFonts w:hint="default" w:ascii="Times New Roman" w:hAnsi="Times New Roman" w:eastAsia="仿宋" w:cs="Times New Roman"/>
                <w:color w:val="auto"/>
                <w:spacing w:val="-2"/>
                <w:sz w:val="24"/>
                <w:szCs w:val="24"/>
                <w:lang w:val="en-US" w:eastAsia="zh-CN"/>
              </w:rPr>
              <w:t>2</w:t>
            </w:r>
            <w:r>
              <w:rPr>
                <w:rFonts w:hint="default" w:ascii="Times New Roman" w:hAnsi="Times New Roman" w:eastAsia="仿宋" w:cs="Times New Roman"/>
                <w:color w:val="auto"/>
                <w:spacing w:val="-2"/>
                <w:sz w:val="24"/>
                <w:szCs w:val="24"/>
              </w:rPr>
              <w:t>。</w:t>
            </w:r>
          </w:p>
          <w:p w14:paraId="43A91188">
            <w:pPr>
              <w:tabs>
                <w:tab w:val="left" w:pos="2127"/>
                <w:tab w:val="center" w:pos="4452"/>
                <w:tab w:val="right" w:pos="8246"/>
              </w:tabs>
              <w:spacing w:line="240"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表2-</w:t>
            </w:r>
            <w:r>
              <w:rPr>
                <w:rFonts w:hint="default" w:ascii="Times New Roman" w:hAnsi="Times New Roman" w:eastAsia="仿宋" w:cs="Times New Roman"/>
                <w:b/>
                <w:color w:val="auto"/>
                <w:szCs w:val="21"/>
                <w:highlight w:val="none"/>
                <w:lang w:val="en-US" w:eastAsia="zh-CN"/>
              </w:rPr>
              <w:t>2</w:t>
            </w:r>
            <w:r>
              <w:rPr>
                <w:rFonts w:hint="default" w:ascii="Times New Roman" w:hAnsi="Times New Roman" w:eastAsia="仿宋" w:cs="Times New Roman"/>
                <w:b/>
                <w:color w:val="auto"/>
                <w:szCs w:val="21"/>
                <w:highlight w:val="none"/>
              </w:rPr>
              <w:t xml:space="preserve">  本项目主要公用及辅助工程一览表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28" w:type="dxa"/>
                <w:bottom w:w="0" w:type="dxa"/>
                <w:right w:w="28" w:type="dxa"/>
              </w:tblCellMar>
            </w:tblPr>
            <w:tblGrid>
              <w:gridCol w:w="574"/>
              <w:gridCol w:w="584"/>
              <w:gridCol w:w="621"/>
              <w:gridCol w:w="1208"/>
              <w:gridCol w:w="1120"/>
              <w:gridCol w:w="4020"/>
            </w:tblGrid>
            <w:tr w14:paraId="22B6134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tblHeader/>
                <w:jc w:val="center"/>
              </w:trPr>
              <w:tc>
                <w:tcPr>
                  <w:tcW w:w="353" w:type="pct"/>
                  <w:tcBorders>
                    <w:tl2br w:val="nil"/>
                    <w:tr2bl w:val="nil"/>
                  </w:tcBorders>
                  <w:noWrap w:val="0"/>
                  <w:vAlign w:val="center"/>
                </w:tcPr>
                <w:p w14:paraId="0F6DED58">
                  <w:pPr>
                    <w:spacing w:line="260" w:lineRule="exact"/>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类别</w:t>
                  </w:r>
                </w:p>
              </w:tc>
              <w:tc>
                <w:tcPr>
                  <w:tcW w:w="1484" w:type="pct"/>
                  <w:gridSpan w:val="3"/>
                  <w:tcBorders>
                    <w:tl2br w:val="nil"/>
                    <w:tr2bl w:val="nil"/>
                  </w:tcBorders>
                  <w:noWrap w:val="0"/>
                  <w:tcMar>
                    <w:top w:w="15" w:type="dxa"/>
                    <w:left w:w="15" w:type="dxa"/>
                    <w:bottom w:w="0" w:type="dxa"/>
                    <w:right w:w="15" w:type="dxa"/>
                  </w:tcMar>
                  <w:vAlign w:val="center"/>
                </w:tcPr>
                <w:p w14:paraId="6F9ECCEB">
                  <w:pPr>
                    <w:spacing w:line="260" w:lineRule="exact"/>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建筑物名称</w:t>
                  </w:r>
                </w:p>
              </w:tc>
              <w:tc>
                <w:tcPr>
                  <w:tcW w:w="689" w:type="pct"/>
                  <w:tcBorders>
                    <w:tl2br w:val="nil"/>
                    <w:tr2bl w:val="nil"/>
                  </w:tcBorders>
                  <w:noWrap w:val="0"/>
                  <w:vAlign w:val="center"/>
                </w:tcPr>
                <w:p w14:paraId="546BBFEC">
                  <w:pPr>
                    <w:spacing w:line="260" w:lineRule="exact"/>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设计能力</w:t>
                  </w:r>
                </w:p>
              </w:tc>
              <w:tc>
                <w:tcPr>
                  <w:tcW w:w="2473" w:type="pct"/>
                  <w:tcBorders>
                    <w:tl2br w:val="nil"/>
                    <w:tr2bl w:val="nil"/>
                  </w:tcBorders>
                  <w:noWrap w:val="0"/>
                  <w:tcMar>
                    <w:top w:w="15" w:type="dxa"/>
                    <w:left w:w="15" w:type="dxa"/>
                    <w:bottom w:w="0" w:type="dxa"/>
                    <w:right w:w="15" w:type="dxa"/>
                  </w:tcMar>
                  <w:vAlign w:val="center"/>
                </w:tcPr>
                <w:p w14:paraId="7F936935">
                  <w:pPr>
                    <w:spacing w:line="260" w:lineRule="exact"/>
                    <w:jc w:val="center"/>
                    <w:rPr>
                      <w:rFonts w:hint="default" w:ascii="Times New Roman" w:hAnsi="Times New Roman" w:eastAsia="仿宋" w:cs="Times New Roman"/>
                      <w:b/>
                      <w:sz w:val="21"/>
                      <w:szCs w:val="21"/>
                    </w:rPr>
                  </w:pPr>
                  <w:r>
                    <w:rPr>
                      <w:rFonts w:hint="default" w:ascii="Times New Roman" w:hAnsi="Times New Roman" w:eastAsia="仿宋" w:cs="Times New Roman"/>
                      <w:b/>
                      <w:sz w:val="21"/>
                      <w:szCs w:val="21"/>
                    </w:rPr>
                    <w:t>备注</w:t>
                  </w:r>
                </w:p>
              </w:tc>
            </w:tr>
            <w:tr w14:paraId="1D20B37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tcBorders>
                    <w:tl2br w:val="nil"/>
                    <w:tr2bl w:val="nil"/>
                  </w:tcBorders>
                  <w:noWrap w:val="0"/>
                  <w:vAlign w:val="center"/>
                </w:tcPr>
                <w:p w14:paraId="4AB3C2B1">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主体工程</w:t>
                  </w:r>
                </w:p>
              </w:tc>
              <w:tc>
                <w:tcPr>
                  <w:tcW w:w="1484" w:type="pct"/>
                  <w:gridSpan w:val="3"/>
                  <w:tcBorders>
                    <w:tl2br w:val="nil"/>
                    <w:tr2bl w:val="nil"/>
                  </w:tcBorders>
                  <w:noWrap w:val="0"/>
                  <w:tcMar>
                    <w:top w:w="15" w:type="dxa"/>
                    <w:left w:w="15" w:type="dxa"/>
                    <w:bottom w:w="0" w:type="dxa"/>
                    <w:right w:w="15" w:type="dxa"/>
                  </w:tcMar>
                  <w:vAlign w:val="center"/>
                </w:tcPr>
                <w:p w14:paraId="21F4019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9幢生产车间</w:t>
                  </w:r>
                </w:p>
              </w:tc>
              <w:tc>
                <w:tcPr>
                  <w:tcW w:w="689" w:type="pct"/>
                  <w:tcBorders>
                    <w:tl2br w:val="nil"/>
                    <w:tr2bl w:val="nil"/>
                  </w:tcBorders>
                  <w:noWrap w:val="0"/>
                  <w:vAlign w:val="center"/>
                </w:tcPr>
                <w:p w14:paraId="4CC0DFA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3369.31m</w:t>
                  </w:r>
                  <w:r>
                    <w:rPr>
                      <w:rFonts w:hint="default" w:ascii="Times New Roman" w:hAnsi="Times New Roman" w:eastAsia="仿宋" w:cs="Times New Roman"/>
                      <w:sz w:val="21"/>
                      <w:szCs w:val="21"/>
                      <w:vertAlign w:val="superscript"/>
                      <w:lang w:val="en-US" w:eastAsia="zh-CN"/>
                    </w:rPr>
                    <w:t>2</w:t>
                  </w:r>
                  <w:r>
                    <w:rPr>
                      <w:rFonts w:hint="default" w:ascii="Times New Roman" w:hAnsi="Times New Roman" w:eastAsia="仿宋" w:cs="Times New Roman"/>
                      <w:sz w:val="21"/>
                      <w:szCs w:val="21"/>
                      <w:lang w:val="en-US" w:eastAsia="zh-CN"/>
                    </w:rPr>
                    <w:t>（建筑面积）</w:t>
                  </w:r>
                </w:p>
              </w:tc>
              <w:tc>
                <w:tcPr>
                  <w:tcW w:w="2473" w:type="pct"/>
                  <w:tcBorders>
                    <w:tl2br w:val="nil"/>
                    <w:tr2bl w:val="nil"/>
                  </w:tcBorders>
                  <w:noWrap w:val="0"/>
                  <w:tcMar>
                    <w:top w:w="15" w:type="dxa"/>
                    <w:left w:w="15" w:type="dxa"/>
                    <w:bottom w:w="0" w:type="dxa"/>
                    <w:right w:w="15" w:type="dxa"/>
                  </w:tcMar>
                  <w:vAlign w:val="center"/>
                </w:tcPr>
                <w:p w14:paraId="0F6857DA">
                  <w:pPr>
                    <w:spacing w:line="260" w:lineRule="exact"/>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4F，1F有转子加工区、</w:t>
                  </w:r>
                  <w:r>
                    <w:rPr>
                      <w:rFonts w:hint="eastAsia" w:eastAsia="仿宋" w:cs="Times New Roman"/>
                      <w:sz w:val="21"/>
                      <w:szCs w:val="21"/>
                      <w:highlight w:val="none"/>
                      <w:lang w:val="en-US" w:eastAsia="zh-CN"/>
                    </w:rPr>
                    <w:t>涂胶、固化区、</w:t>
                  </w:r>
                  <w:r>
                    <w:rPr>
                      <w:rFonts w:hint="default" w:ascii="Times New Roman" w:hAnsi="Times New Roman" w:eastAsia="仿宋" w:cs="Times New Roman"/>
                      <w:sz w:val="21"/>
                      <w:szCs w:val="21"/>
                      <w:highlight w:val="none"/>
                      <w:lang w:val="en-US" w:eastAsia="zh-CN"/>
                    </w:rPr>
                    <w:t>办公区、清洗区、珩磨区、检验区、一般固废堆场、危废仓库等，2F有焊接、组装、检验区、绕线区、办公区等，3F有组装区、办公区、检验区等，4F有餐厅、会议室</w:t>
                  </w:r>
                  <w:r>
                    <w:rPr>
                      <w:rFonts w:hint="eastAsia" w:eastAsia="仿宋" w:cs="Times New Roman"/>
                      <w:sz w:val="21"/>
                      <w:szCs w:val="21"/>
                      <w:highlight w:val="none"/>
                      <w:lang w:val="en-US" w:eastAsia="zh-CN"/>
                    </w:rPr>
                    <w:t>、成品堆场</w:t>
                  </w:r>
                  <w:r>
                    <w:rPr>
                      <w:rFonts w:hint="default" w:ascii="Times New Roman" w:hAnsi="Times New Roman" w:eastAsia="仿宋" w:cs="Times New Roman"/>
                      <w:sz w:val="21"/>
                      <w:szCs w:val="21"/>
                      <w:highlight w:val="none"/>
                      <w:lang w:val="en-US" w:eastAsia="zh-CN"/>
                    </w:rPr>
                    <w:t>和闲置车间</w:t>
                  </w:r>
                </w:p>
              </w:tc>
            </w:tr>
            <w:tr w14:paraId="09445A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restart"/>
                  <w:tcBorders>
                    <w:tl2br w:val="nil"/>
                    <w:tr2bl w:val="nil"/>
                  </w:tcBorders>
                  <w:noWrap w:val="0"/>
                  <w:vAlign w:val="center"/>
                </w:tcPr>
                <w:p w14:paraId="009E7700">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贮存工程</w:t>
                  </w:r>
                </w:p>
              </w:tc>
              <w:tc>
                <w:tcPr>
                  <w:tcW w:w="1484" w:type="pct"/>
                  <w:gridSpan w:val="3"/>
                  <w:tcBorders>
                    <w:tl2br w:val="nil"/>
                    <w:tr2bl w:val="nil"/>
                  </w:tcBorders>
                  <w:noWrap w:val="0"/>
                  <w:tcMar>
                    <w:top w:w="15" w:type="dxa"/>
                    <w:left w:w="15" w:type="dxa"/>
                    <w:bottom w:w="0" w:type="dxa"/>
                    <w:right w:w="15" w:type="dxa"/>
                  </w:tcMar>
                  <w:vAlign w:val="center"/>
                </w:tcPr>
                <w:p w14:paraId="5D0F658E">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原料堆场1</w:t>
                  </w:r>
                </w:p>
              </w:tc>
              <w:tc>
                <w:tcPr>
                  <w:tcW w:w="689" w:type="pct"/>
                  <w:tcBorders>
                    <w:tl2br w:val="nil"/>
                    <w:tr2bl w:val="nil"/>
                  </w:tcBorders>
                  <w:noWrap w:val="0"/>
                  <w:vAlign w:val="center"/>
                </w:tcPr>
                <w:p w14:paraId="252F3FA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2473" w:type="pct"/>
                  <w:tcBorders>
                    <w:tl2br w:val="nil"/>
                    <w:tr2bl w:val="nil"/>
                  </w:tcBorders>
                  <w:noWrap w:val="0"/>
                  <w:tcMar>
                    <w:top w:w="15" w:type="dxa"/>
                    <w:left w:w="15" w:type="dxa"/>
                    <w:bottom w:w="0" w:type="dxa"/>
                    <w:right w:w="15" w:type="dxa"/>
                  </w:tcMar>
                  <w:vAlign w:val="center"/>
                </w:tcPr>
                <w:p w14:paraId="39479DA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位于1F</w:t>
                  </w:r>
                </w:p>
              </w:tc>
            </w:tr>
            <w:tr w14:paraId="0CA2CF1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793E846C">
                  <w:pPr>
                    <w:spacing w:line="260" w:lineRule="exact"/>
                    <w:jc w:val="center"/>
                    <w:rPr>
                      <w:rFonts w:hint="default" w:ascii="Times New Roman" w:hAnsi="Times New Roman" w:eastAsia="仿宋" w:cs="Times New Roman"/>
                      <w:sz w:val="21"/>
                      <w:szCs w:val="21"/>
                    </w:rPr>
                  </w:pPr>
                </w:p>
              </w:tc>
              <w:tc>
                <w:tcPr>
                  <w:tcW w:w="1484" w:type="pct"/>
                  <w:gridSpan w:val="3"/>
                  <w:tcBorders>
                    <w:tl2br w:val="nil"/>
                    <w:tr2bl w:val="nil"/>
                  </w:tcBorders>
                  <w:noWrap w:val="0"/>
                  <w:tcMar>
                    <w:top w:w="15" w:type="dxa"/>
                    <w:left w:w="15" w:type="dxa"/>
                    <w:bottom w:w="0" w:type="dxa"/>
                    <w:right w:w="15" w:type="dxa"/>
                  </w:tcMar>
                  <w:vAlign w:val="center"/>
                </w:tcPr>
                <w:p w14:paraId="5D31170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原料堆场2</w:t>
                  </w:r>
                </w:p>
              </w:tc>
              <w:tc>
                <w:tcPr>
                  <w:tcW w:w="689" w:type="pct"/>
                  <w:tcBorders>
                    <w:tl2br w:val="nil"/>
                    <w:tr2bl w:val="nil"/>
                  </w:tcBorders>
                  <w:noWrap w:val="0"/>
                  <w:vAlign w:val="center"/>
                </w:tcPr>
                <w:p w14:paraId="4B9C8F7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2473" w:type="pct"/>
                  <w:tcBorders>
                    <w:tl2br w:val="nil"/>
                    <w:tr2bl w:val="nil"/>
                  </w:tcBorders>
                  <w:noWrap w:val="0"/>
                  <w:tcMar>
                    <w:top w:w="15" w:type="dxa"/>
                    <w:left w:w="15" w:type="dxa"/>
                    <w:bottom w:w="0" w:type="dxa"/>
                    <w:right w:w="15" w:type="dxa"/>
                  </w:tcMar>
                  <w:vAlign w:val="center"/>
                </w:tcPr>
                <w:p w14:paraId="2B28ACA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位于2F</w:t>
                  </w:r>
                </w:p>
              </w:tc>
            </w:tr>
            <w:tr w14:paraId="67D5638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04C8A1F1">
                  <w:pPr>
                    <w:spacing w:line="260" w:lineRule="exact"/>
                    <w:jc w:val="center"/>
                    <w:rPr>
                      <w:rFonts w:hint="default" w:ascii="Times New Roman" w:hAnsi="Times New Roman" w:eastAsia="仿宋" w:cs="Times New Roman"/>
                      <w:sz w:val="21"/>
                      <w:szCs w:val="21"/>
                    </w:rPr>
                  </w:pPr>
                </w:p>
              </w:tc>
              <w:tc>
                <w:tcPr>
                  <w:tcW w:w="1484" w:type="pct"/>
                  <w:gridSpan w:val="3"/>
                  <w:tcBorders>
                    <w:tl2br w:val="nil"/>
                    <w:tr2bl w:val="nil"/>
                  </w:tcBorders>
                  <w:noWrap w:val="0"/>
                  <w:tcMar>
                    <w:top w:w="15" w:type="dxa"/>
                    <w:left w:w="15" w:type="dxa"/>
                    <w:bottom w:w="0" w:type="dxa"/>
                    <w:right w:w="15" w:type="dxa"/>
                  </w:tcMar>
                  <w:vAlign w:val="center"/>
                </w:tcPr>
                <w:p w14:paraId="42E4FF3C">
                  <w:pPr>
                    <w:spacing w:line="260" w:lineRule="exact"/>
                    <w:jc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原料堆场3</w:t>
                  </w:r>
                </w:p>
              </w:tc>
              <w:tc>
                <w:tcPr>
                  <w:tcW w:w="689" w:type="pct"/>
                  <w:tcBorders>
                    <w:tl2br w:val="nil"/>
                    <w:tr2bl w:val="nil"/>
                  </w:tcBorders>
                  <w:noWrap w:val="0"/>
                  <w:vAlign w:val="center"/>
                </w:tcPr>
                <w:p w14:paraId="384FA81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2473" w:type="pct"/>
                  <w:tcBorders>
                    <w:tl2br w:val="nil"/>
                    <w:tr2bl w:val="nil"/>
                  </w:tcBorders>
                  <w:noWrap w:val="0"/>
                  <w:tcMar>
                    <w:top w:w="15" w:type="dxa"/>
                    <w:left w:w="15" w:type="dxa"/>
                    <w:bottom w:w="0" w:type="dxa"/>
                    <w:right w:w="15" w:type="dxa"/>
                  </w:tcMar>
                  <w:vAlign w:val="center"/>
                </w:tcPr>
                <w:p w14:paraId="4238CDE3">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lang w:val="en-US" w:eastAsia="zh-CN"/>
                    </w:rPr>
                    <w:t>位于3F</w:t>
                  </w:r>
                </w:p>
              </w:tc>
            </w:tr>
            <w:tr w14:paraId="355619C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159B7F46">
                  <w:pPr>
                    <w:spacing w:line="260" w:lineRule="exact"/>
                    <w:jc w:val="center"/>
                    <w:rPr>
                      <w:rFonts w:hint="default" w:ascii="Times New Roman" w:hAnsi="Times New Roman" w:eastAsia="仿宋" w:cs="Times New Roman"/>
                      <w:sz w:val="21"/>
                      <w:szCs w:val="21"/>
                    </w:rPr>
                  </w:pPr>
                </w:p>
              </w:tc>
              <w:tc>
                <w:tcPr>
                  <w:tcW w:w="1484" w:type="pct"/>
                  <w:gridSpan w:val="3"/>
                  <w:tcBorders>
                    <w:tl2br w:val="nil"/>
                    <w:tr2bl w:val="nil"/>
                  </w:tcBorders>
                  <w:noWrap w:val="0"/>
                  <w:tcMar>
                    <w:top w:w="15" w:type="dxa"/>
                    <w:left w:w="15" w:type="dxa"/>
                    <w:bottom w:w="0" w:type="dxa"/>
                    <w:right w:w="15" w:type="dxa"/>
                  </w:tcMar>
                  <w:vAlign w:val="center"/>
                </w:tcPr>
                <w:p w14:paraId="45A9DC67">
                  <w:pPr>
                    <w:spacing w:line="260" w:lineRule="exact"/>
                    <w:jc w:val="center"/>
                    <w:rPr>
                      <w:rFonts w:hint="default" w:ascii="Times New Roman" w:hAnsi="Times New Roman" w:eastAsia="仿宋" w:cs="Times New Roman"/>
                      <w:sz w:val="21"/>
                      <w:szCs w:val="21"/>
                      <w:lang w:val="en-US"/>
                    </w:rPr>
                  </w:pPr>
                  <w:r>
                    <w:rPr>
                      <w:rFonts w:hint="default" w:ascii="Times New Roman" w:hAnsi="Times New Roman" w:eastAsia="仿宋" w:cs="Times New Roman"/>
                      <w:sz w:val="21"/>
                      <w:szCs w:val="21"/>
                      <w:lang w:val="en-US" w:eastAsia="zh-CN"/>
                    </w:rPr>
                    <w:t>半成品堆场</w:t>
                  </w:r>
                </w:p>
              </w:tc>
              <w:tc>
                <w:tcPr>
                  <w:tcW w:w="689" w:type="pct"/>
                  <w:tcBorders>
                    <w:tl2br w:val="nil"/>
                    <w:tr2bl w:val="nil"/>
                  </w:tcBorders>
                  <w:noWrap w:val="0"/>
                  <w:vAlign w:val="center"/>
                </w:tcPr>
                <w:p w14:paraId="6F4DD1C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10</w:t>
                  </w:r>
                </w:p>
              </w:tc>
              <w:tc>
                <w:tcPr>
                  <w:tcW w:w="2473" w:type="pct"/>
                  <w:tcBorders>
                    <w:tl2br w:val="nil"/>
                    <w:tr2bl w:val="nil"/>
                  </w:tcBorders>
                  <w:noWrap w:val="0"/>
                  <w:tcMar>
                    <w:top w:w="15" w:type="dxa"/>
                    <w:left w:w="15" w:type="dxa"/>
                    <w:bottom w:w="0" w:type="dxa"/>
                    <w:right w:w="15" w:type="dxa"/>
                  </w:tcMar>
                  <w:vAlign w:val="center"/>
                </w:tcPr>
                <w:p w14:paraId="5BAD54E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位于1F</w:t>
                  </w:r>
                </w:p>
              </w:tc>
            </w:tr>
            <w:tr w14:paraId="6829CF9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73AAFC75">
                  <w:pPr>
                    <w:spacing w:line="260" w:lineRule="exact"/>
                    <w:jc w:val="center"/>
                    <w:rPr>
                      <w:rFonts w:hint="default" w:ascii="Times New Roman" w:hAnsi="Times New Roman" w:eastAsia="仿宋" w:cs="Times New Roman"/>
                      <w:sz w:val="21"/>
                      <w:szCs w:val="21"/>
                    </w:rPr>
                  </w:pPr>
                </w:p>
              </w:tc>
              <w:tc>
                <w:tcPr>
                  <w:tcW w:w="1484" w:type="pct"/>
                  <w:gridSpan w:val="3"/>
                  <w:tcBorders>
                    <w:tl2br w:val="nil"/>
                    <w:tr2bl w:val="nil"/>
                  </w:tcBorders>
                  <w:noWrap w:val="0"/>
                  <w:tcMar>
                    <w:top w:w="15" w:type="dxa"/>
                    <w:left w:w="15" w:type="dxa"/>
                    <w:bottom w:w="0" w:type="dxa"/>
                    <w:right w:w="15" w:type="dxa"/>
                  </w:tcMar>
                  <w:vAlign w:val="center"/>
                </w:tcPr>
                <w:p w14:paraId="78EF4D20">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成品堆场</w:t>
                  </w:r>
                </w:p>
              </w:tc>
              <w:tc>
                <w:tcPr>
                  <w:tcW w:w="689" w:type="pct"/>
                  <w:tcBorders>
                    <w:tl2br w:val="nil"/>
                    <w:tr2bl w:val="nil"/>
                  </w:tcBorders>
                  <w:noWrap w:val="0"/>
                  <w:vAlign w:val="center"/>
                </w:tcPr>
                <w:p w14:paraId="68E2F7E6">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100</w:t>
                  </w:r>
                </w:p>
              </w:tc>
              <w:tc>
                <w:tcPr>
                  <w:tcW w:w="2473" w:type="pct"/>
                  <w:tcBorders>
                    <w:tl2br w:val="nil"/>
                    <w:tr2bl w:val="nil"/>
                  </w:tcBorders>
                  <w:noWrap w:val="0"/>
                  <w:tcMar>
                    <w:top w:w="15" w:type="dxa"/>
                    <w:left w:w="15" w:type="dxa"/>
                    <w:bottom w:w="0" w:type="dxa"/>
                    <w:right w:w="15" w:type="dxa"/>
                  </w:tcMar>
                  <w:vAlign w:val="center"/>
                </w:tcPr>
                <w:p w14:paraId="4841B35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位于</w:t>
                  </w:r>
                  <w:r>
                    <w:rPr>
                      <w:rFonts w:hint="eastAsia" w:eastAsia="仿宋" w:cs="Times New Roman"/>
                      <w:sz w:val="21"/>
                      <w:szCs w:val="21"/>
                      <w:lang w:val="en-US" w:eastAsia="zh-CN"/>
                    </w:rPr>
                    <w:t>4</w:t>
                  </w:r>
                  <w:r>
                    <w:rPr>
                      <w:rFonts w:hint="default" w:ascii="Times New Roman" w:hAnsi="Times New Roman" w:eastAsia="仿宋" w:cs="Times New Roman"/>
                      <w:sz w:val="21"/>
                      <w:szCs w:val="21"/>
                      <w:lang w:val="en-US" w:eastAsia="zh-CN"/>
                    </w:rPr>
                    <w:t>F</w:t>
                  </w:r>
                </w:p>
              </w:tc>
            </w:tr>
            <w:tr w14:paraId="1809B0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restart"/>
                  <w:tcBorders>
                    <w:tl2br w:val="nil"/>
                    <w:tr2bl w:val="nil"/>
                  </w:tcBorders>
                  <w:noWrap w:val="0"/>
                  <w:vAlign w:val="center"/>
                </w:tcPr>
                <w:p w14:paraId="29012F5F">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公用工程</w:t>
                  </w:r>
                </w:p>
              </w:tc>
              <w:tc>
                <w:tcPr>
                  <w:tcW w:w="1484" w:type="pct"/>
                  <w:gridSpan w:val="3"/>
                  <w:tcBorders>
                    <w:tl2br w:val="nil"/>
                    <w:tr2bl w:val="nil"/>
                  </w:tcBorders>
                  <w:noWrap w:val="0"/>
                  <w:tcMar>
                    <w:top w:w="15" w:type="dxa"/>
                    <w:left w:w="15" w:type="dxa"/>
                    <w:bottom w:w="0" w:type="dxa"/>
                    <w:right w:w="15" w:type="dxa"/>
                  </w:tcMar>
                  <w:vAlign w:val="center"/>
                </w:tcPr>
                <w:p w14:paraId="4A8D69A2">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供配电系统（万度/a）</w:t>
                  </w:r>
                </w:p>
              </w:tc>
              <w:tc>
                <w:tcPr>
                  <w:tcW w:w="689" w:type="pct"/>
                  <w:tcBorders>
                    <w:tl2br w:val="nil"/>
                    <w:tr2bl w:val="nil"/>
                  </w:tcBorders>
                  <w:noWrap w:val="0"/>
                  <w:vAlign w:val="center"/>
                </w:tcPr>
                <w:p w14:paraId="2DF3040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51.4</w:t>
                  </w:r>
                </w:p>
              </w:tc>
              <w:tc>
                <w:tcPr>
                  <w:tcW w:w="2473" w:type="pct"/>
                  <w:tcBorders>
                    <w:tl2br w:val="nil"/>
                    <w:tr2bl w:val="nil"/>
                  </w:tcBorders>
                  <w:noWrap w:val="0"/>
                  <w:tcMar>
                    <w:top w:w="15" w:type="dxa"/>
                    <w:left w:w="15" w:type="dxa"/>
                    <w:bottom w:w="0" w:type="dxa"/>
                    <w:right w:w="15" w:type="dxa"/>
                  </w:tcMar>
                  <w:vAlign w:val="center"/>
                </w:tcPr>
                <w:p w14:paraId="39CF5FEF">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区域供电，依托</w:t>
                  </w:r>
                  <w:r>
                    <w:rPr>
                      <w:rFonts w:hint="default" w:ascii="Times New Roman" w:hAnsi="Times New Roman" w:eastAsia="仿宋" w:cs="Times New Roman"/>
                      <w:sz w:val="21"/>
                      <w:szCs w:val="21"/>
                      <w:lang w:val="en-US" w:eastAsia="zh-CN"/>
                    </w:rPr>
                    <w:t>园区</w:t>
                  </w:r>
                  <w:r>
                    <w:rPr>
                      <w:rFonts w:hint="default" w:ascii="Times New Roman" w:hAnsi="Times New Roman" w:eastAsia="仿宋" w:cs="Times New Roman"/>
                      <w:sz w:val="21"/>
                      <w:szCs w:val="21"/>
                    </w:rPr>
                    <w:t>供电管网以及配电房</w:t>
                  </w:r>
                </w:p>
              </w:tc>
            </w:tr>
            <w:tr w14:paraId="1A28956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67" w:hRule="atLeast"/>
                <w:jc w:val="center"/>
              </w:trPr>
              <w:tc>
                <w:tcPr>
                  <w:tcW w:w="353" w:type="pct"/>
                  <w:vMerge w:val="continue"/>
                  <w:tcBorders>
                    <w:tl2br w:val="nil"/>
                    <w:tr2bl w:val="nil"/>
                  </w:tcBorders>
                  <w:noWrap w:val="0"/>
                  <w:vAlign w:val="center"/>
                </w:tcPr>
                <w:p w14:paraId="7C3F3750">
                  <w:pPr>
                    <w:spacing w:line="260" w:lineRule="exact"/>
                    <w:jc w:val="center"/>
                    <w:rPr>
                      <w:rFonts w:hint="default" w:ascii="Times New Roman" w:hAnsi="Times New Roman" w:eastAsia="仿宋" w:cs="Times New Roman"/>
                      <w:sz w:val="21"/>
                      <w:szCs w:val="21"/>
                    </w:rPr>
                  </w:pPr>
                </w:p>
              </w:tc>
              <w:tc>
                <w:tcPr>
                  <w:tcW w:w="741" w:type="pct"/>
                  <w:gridSpan w:val="2"/>
                  <w:vMerge w:val="restart"/>
                  <w:tcBorders>
                    <w:tl2br w:val="nil"/>
                    <w:tr2bl w:val="nil"/>
                  </w:tcBorders>
                  <w:noWrap w:val="0"/>
                  <w:tcMar>
                    <w:top w:w="15" w:type="dxa"/>
                    <w:left w:w="15" w:type="dxa"/>
                    <w:bottom w:w="0" w:type="dxa"/>
                    <w:right w:w="15" w:type="dxa"/>
                  </w:tcMar>
                  <w:vAlign w:val="center"/>
                </w:tcPr>
                <w:p w14:paraId="59F98FBD">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给水系统（m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743" w:type="pct"/>
                  <w:tcBorders>
                    <w:tl2br w:val="nil"/>
                    <w:tr2bl w:val="nil"/>
                  </w:tcBorders>
                  <w:noWrap w:val="0"/>
                  <w:tcMar>
                    <w:top w:w="15" w:type="dxa"/>
                    <w:left w:w="15" w:type="dxa"/>
                    <w:bottom w:w="0" w:type="dxa"/>
                    <w:right w:w="15" w:type="dxa"/>
                  </w:tcMar>
                  <w:vAlign w:val="center"/>
                </w:tcPr>
                <w:p w14:paraId="52EEF76E">
                  <w:pPr>
                    <w:spacing w:line="260" w:lineRule="exact"/>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生产用水</w:t>
                  </w:r>
                </w:p>
              </w:tc>
              <w:tc>
                <w:tcPr>
                  <w:tcW w:w="689" w:type="pct"/>
                  <w:tcBorders>
                    <w:tl2br w:val="nil"/>
                    <w:tr2bl w:val="nil"/>
                  </w:tcBorders>
                  <w:noWrap w:val="0"/>
                  <w:vAlign w:val="center"/>
                </w:tcPr>
                <w:p w14:paraId="759D6F83">
                  <w:pPr>
                    <w:spacing w:line="260" w:lineRule="exact"/>
                    <w:jc w:val="center"/>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55</w:t>
                  </w:r>
                </w:p>
              </w:tc>
              <w:tc>
                <w:tcPr>
                  <w:tcW w:w="2473" w:type="pct"/>
                  <w:vMerge w:val="restart"/>
                  <w:tcBorders>
                    <w:tl2br w:val="nil"/>
                    <w:tr2bl w:val="nil"/>
                  </w:tcBorders>
                  <w:noWrap w:val="0"/>
                  <w:tcMar>
                    <w:top w:w="15" w:type="dxa"/>
                    <w:left w:w="15" w:type="dxa"/>
                    <w:bottom w:w="0" w:type="dxa"/>
                    <w:right w:w="15" w:type="dxa"/>
                  </w:tcMar>
                  <w:vAlign w:val="center"/>
                </w:tcPr>
                <w:p w14:paraId="7B3FBAF0">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区域供水管网</w:t>
                  </w:r>
                </w:p>
              </w:tc>
            </w:tr>
            <w:tr w14:paraId="16CA8F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167" w:hRule="atLeast"/>
                <w:jc w:val="center"/>
              </w:trPr>
              <w:tc>
                <w:tcPr>
                  <w:tcW w:w="353" w:type="pct"/>
                  <w:vMerge w:val="continue"/>
                  <w:tcBorders>
                    <w:tl2br w:val="nil"/>
                    <w:tr2bl w:val="nil"/>
                  </w:tcBorders>
                  <w:noWrap w:val="0"/>
                  <w:vAlign w:val="center"/>
                </w:tcPr>
                <w:p w14:paraId="0F224761">
                  <w:pPr>
                    <w:spacing w:line="260" w:lineRule="exact"/>
                    <w:jc w:val="center"/>
                  </w:pPr>
                </w:p>
              </w:tc>
              <w:tc>
                <w:tcPr>
                  <w:tcW w:w="741" w:type="pct"/>
                  <w:gridSpan w:val="2"/>
                  <w:vMerge w:val="continue"/>
                  <w:tcBorders>
                    <w:tl2br w:val="nil"/>
                    <w:tr2bl w:val="nil"/>
                  </w:tcBorders>
                  <w:noWrap w:val="0"/>
                  <w:tcMar>
                    <w:top w:w="15" w:type="dxa"/>
                    <w:left w:w="15" w:type="dxa"/>
                    <w:bottom w:w="0" w:type="dxa"/>
                    <w:right w:w="15" w:type="dxa"/>
                  </w:tcMar>
                  <w:vAlign w:val="center"/>
                </w:tcPr>
                <w:p w14:paraId="2EEB5488">
                  <w:pPr>
                    <w:spacing w:line="260" w:lineRule="exact"/>
                    <w:jc w:val="center"/>
                  </w:pPr>
                </w:p>
              </w:tc>
              <w:tc>
                <w:tcPr>
                  <w:tcW w:w="743" w:type="pct"/>
                  <w:tcBorders>
                    <w:tl2br w:val="nil"/>
                    <w:tr2bl w:val="nil"/>
                  </w:tcBorders>
                  <w:noWrap w:val="0"/>
                  <w:tcMar>
                    <w:top w:w="15" w:type="dxa"/>
                    <w:left w:w="15" w:type="dxa"/>
                    <w:bottom w:w="0" w:type="dxa"/>
                    <w:right w:w="15" w:type="dxa"/>
                  </w:tcMar>
                  <w:vAlign w:val="center"/>
                </w:tcPr>
                <w:p w14:paraId="264E67CE">
                  <w:pPr>
                    <w:spacing w:line="260" w:lineRule="exact"/>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生活用水</w:t>
                  </w:r>
                </w:p>
              </w:tc>
              <w:tc>
                <w:tcPr>
                  <w:tcW w:w="689" w:type="pct"/>
                  <w:tcBorders>
                    <w:tl2br w:val="nil"/>
                    <w:tr2bl w:val="nil"/>
                  </w:tcBorders>
                  <w:noWrap w:val="0"/>
                  <w:vAlign w:val="center"/>
                </w:tcPr>
                <w:p w14:paraId="23CE4E5F">
                  <w:pPr>
                    <w:spacing w:line="260" w:lineRule="exact"/>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2400</w:t>
                  </w:r>
                </w:p>
              </w:tc>
              <w:tc>
                <w:tcPr>
                  <w:tcW w:w="2473" w:type="pct"/>
                  <w:vMerge w:val="continue"/>
                  <w:tcBorders>
                    <w:tl2br w:val="nil"/>
                    <w:tr2bl w:val="nil"/>
                  </w:tcBorders>
                  <w:noWrap w:val="0"/>
                  <w:tcMar>
                    <w:top w:w="15" w:type="dxa"/>
                    <w:left w:w="15" w:type="dxa"/>
                    <w:bottom w:w="0" w:type="dxa"/>
                    <w:right w:w="15" w:type="dxa"/>
                  </w:tcMar>
                  <w:vAlign w:val="center"/>
                </w:tcPr>
                <w:p w14:paraId="01265602">
                  <w:pPr>
                    <w:spacing w:line="260" w:lineRule="exact"/>
                    <w:jc w:val="center"/>
                    <w:rPr>
                      <w:rFonts w:hint="default" w:ascii="Times New Roman" w:hAnsi="Times New Roman" w:eastAsia="仿宋" w:cs="Times New Roman"/>
                      <w:sz w:val="21"/>
                      <w:szCs w:val="21"/>
                    </w:rPr>
                  </w:pPr>
                </w:p>
              </w:tc>
            </w:tr>
            <w:tr w14:paraId="56E0E79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7F9ADC5A">
                  <w:pPr>
                    <w:spacing w:line="260" w:lineRule="exact"/>
                    <w:jc w:val="center"/>
                    <w:rPr>
                      <w:rFonts w:hint="default" w:ascii="Times New Roman" w:hAnsi="Times New Roman" w:eastAsia="仿宋" w:cs="Times New Roman"/>
                      <w:sz w:val="21"/>
                      <w:szCs w:val="21"/>
                    </w:rPr>
                  </w:pPr>
                </w:p>
              </w:tc>
              <w:tc>
                <w:tcPr>
                  <w:tcW w:w="741" w:type="pct"/>
                  <w:gridSpan w:val="2"/>
                  <w:tcBorders>
                    <w:tl2br w:val="nil"/>
                    <w:tr2bl w:val="nil"/>
                  </w:tcBorders>
                  <w:noWrap w:val="0"/>
                  <w:tcMar>
                    <w:top w:w="15" w:type="dxa"/>
                    <w:left w:w="15" w:type="dxa"/>
                    <w:bottom w:w="0" w:type="dxa"/>
                    <w:right w:w="15" w:type="dxa"/>
                  </w:tcMar>
                  <w:vAlign w:val="center"/>
                </w:tcPr>
                <w:p w14:paraId="36155D19">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排水系统（m</w:t>
                  </w:r>
                  <w:r>
                    <w:rPr>
                      <w:rFonts w:hint="default" w:ascii="Times New Roman" w:hAnsi="Times New Roman" w:eastAsia="仿宋" w:cs="Times New Roman"/>
                      <w:sz w:val="21"/>
                      <w:szCs w:val="21"/>
                      <w:vertAlign w:val="superscript"/>
                    </w:rPr>
                    <w:t>3</w:t>
                  </w:r>
                  <w:r>
                    <w:rPr>
                      <w:rFonts w:hint="default" w:ascii="Times New Roman" w:hAnsi="Times New Roman" w:eastAsia="仿宋" w:cs="Times New Roman"/>
                      <w:sz w:val="21"/>
                      <w:szCs w:val="21"/>
                    </w:rPr>
                    <w:t>/a）</w:t>
                  </w:r>
                </w:p>
              </w:tc>
              <w:tc>
                <w:tcPr>
                  <w:tcW w:w="743" w:type="pct"/>
                  <w:tcBorders>
                    <w:tl2br w:val="nil"/>
                    <w:tr2bl w:val="nil"/>
                  </w:tcBorders>
                  <w:noWrap w:val="0"/>
                  <w:tcMar>
                    <w:top w:w="15" w:type="dxa"/>
                    <w:left w:w="15" w:type="dxa"/>
                    <w:bottom w:w="0" w:type="dxa"/>
                    <w:right w:w="15" w:type="dxa"/>
                  </w:tcMar>
                  <w:vAlign w:val="center"/>
                </w:tcPr>
                <w:p w14:paraId="7588C278">
                  <w:pPr>
                    <w:spacing w:line="260" w:lineRule="exact"/>
                    <w:jc w:val="center"/>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生活污水</w:t>
                  </w:r>
                </w:p>
              </w:tc>
              <w:tc>
                <w:tcPr>
                  <w:tcW w:w="689" w:type="pct"/>
                  <w:tcBorders>
                    <w:tl2br w:val="nil"/>
                    <w:tr2bl w:val="nil"/>
                  </w:tcBorders>
                  <w:noWrap w:val="0"/>
                  <w:vAlign w:val="center"/>
                </w:tcPr>
                <w:p w14:paraId="344CE65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1920</w:t>
                  </w:r>
                </w:p>
              </w:tc>
              <w:tc>
                <w:tcPr>
                  <w:tcW w:w="2473" w:type="pct"/>
                  <w:tcBorders>
                    <w:tl2br w:val="nil"/>
                    <w:tr2bl w:val="nil"/>
                  </w:tcBorders>
                  <w:noWrap w:val="0"/>
                  <w:vAlign w:val="center"/>
                </w:tcPr>
                <w:p w14:paraId="588FB82C">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依托</w:t>
                  </w:r>
                  <w:r>
                    <w:rPr>
                      <w:rFonts w:hint="default" w:ascii="Times New Roman" w:hAnsi="Times New Roman" w:eastAsia="仿宋" w:cs="Times New Roman"/>
                      <w:sz w:val="21"/>
                      <w:szCs w:val="21"/>
                      <w:lang w:val="en-US" w:eastAsia="zh-CN"/>
                    </w:rPr>
                    <w:t>园区</w:t>
                  </w:r>
                  <w:r>
                    <w:rPr>
                      <w:rFonts w:hint="default" w:ascii="Times New Roman" w:hAnsi="Times New Roman" w:eastAsia="仿宋" w:cs="Times New Roman"/>
                      <w:sz w:val="21"/>
                      <w:szCs w:val="21"/>
                    </w:rPr>
                    <w:t>现有排水管网，雨污分流，雨水经雨水管网收集后就近排入附近河流，生活污水接管至市政污水管网进滨湖污水处理厂处理，最终排入新京杭运河。</w:t>
                  </w:r>
                </w:p>
              </w:tc>
            </w:tr>
            <w:tr w14:paraId="0F26D35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restart"/>
                  <w:tcBorders>
                    <w:tl2br w:val="nil"/>
                    <w:tr2bl w:val="nil"/>
                  </w:tcBorders>
                  <w:noWrap w:val="0"/>
                  <w:vAlign w:val="center"/>
                </w:tcPr>
                <w:p w14:paraId="6557EDC6">
                  <w:pPr>
                    <w:spacing w:line="260" w:lineRule="exact"/>
                    <w:jc w:val="center"/>
                    <w:rPr>
                      <w:rFonts w:hint="default" w:ascii="Times New Roman" w:hAnsi="Times New Roman" w:eastAsia="仿宋" w:cs="Times New Roman"/>
                      <w:sz w:val="21"/>
                      <w:szCs w:val="21"/>
                    </w:rPr>
                  </w:pPr>
                  <w:r>
                    <w:rPr>
                      <w:rFonts w:hint="default" w:ascii="Times New Roman" w:hAnsi="Times New Roman" w:eastAsia="仿宋" w:cs="Times New Roman"/>
                      <w:sz w:val="21"/>
                      <w:szCs w:val="21"/>
                    </w:rPr>
                    <w:t>环保工程</w:t>
                  </w:r>
                </w:p>
              </w:tc>
              <w:tc>
                <w:tcPr>
                  <w:tcW w:w="359" w:type="pct"/>
                  <w:vMerge w:val="restart"/>
                  <w:tcBorders>
                    <w:tl2br w:val="nil"/>
                    <w:tr2bl w:val="nil"/>
                  </w:tcBorders>
                  <w:noWrap w:val="0"/>
                  <w:tcMar>
                    <w:top w:w="15" w:type="dxa"/>
                    <w:left w:w="15" w:type="dxa"/>
                    <w:bottom w:w="0" w:type="dxa"/>
                    <w:right w:w="15" w:type="dxa"/>
                  </w:tcMar>
                  <w:vAlign w:val="center"/>
                </w:tcPr>
                <w:p w14:paraId="3E04024C">
                  <w:pPr>
                    <w:spacing w:line="260" w:lineRule="exact"/>
                    <w:jc w:val="center"/>
                    <w:rPr>
                      <w:rFonts w:hint="default" w:ascii="Times New Roman" w:hAnsi="Times New Roman" w:eastAsia="仿宋" w:cs="Times New Roman"/>
                      <w:kern w:val="0"/>
                      <w:sz w:val="21"/>
                      <w:szCs w:val="21"/>
                      <w:lang w:val="en-US" w:eastAsia="zh-CN" w:bidi="ar-SA"/>
                    </w:rPr>
                  </w:pPr>
                  <w:r>
                    <w:rPr>
                      <w:rFonts w:hint="default" w:ascii="Times New Roman" w:hAnsi="Times New Roman" w:eastAsia="仿宋" w:cs="Times New Roman"/>
                      <w:kern w:val="0"/>
                      <w:sz w:val="21"/>
                      <w:szCs w:val="21"/>
                    </w:rPr>
                    <w:t>固废</w:t>
                  </w:r>
                </w:p>
              </w:tc>
              <w:tc>
                <w:tcPr>
                  <w:tcW w:w="1125" w:type="pct"/>
                  <w:gridSpan w:val="2"/>
                  <w:tcBorders>
                    <w:tl2br w:val="nil"/>
                    <w:tr2bl w:val="nil"/>
                  </w:tcBorders>
                  <w:noWrap w:val="0"/>
                  <w:tcMar>
                    <w:top w:w="15" w:type="dxa"/>
                    <w:left w:w="15" w:type="dxa"/>
                    <w:bottom w:w="0" w:type="dxa"/>
                    <w:right w:w="15" w:type="dxa"/>
                  </w:tcMar>
                  <w:vAlign w:val="center"/>
                </w:tcPr>
                <w:p w14:paraId="4E57B4D0">
                  <w:pPr>
                    <w:spacing w:line="26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一般固废堆场</w:t>
                  </w:r>
                </w:p>
              </w:tc>
              <w:tc>
                <w:tcPr>
                  <w:tcW w:w="689" w:type="pct"/>
                  <w:tcBorders>
                    <w:tl2br w:val="nil"/>
                    <w:tr2bl w:val="nil"/>
                  </w:tcBorders>
                  <w:noWrap w:val="0"/>
                  <w:vAlign w:val="center"/>
                </w:tcPr>
                <w:p w14:paraId="73ACC45F">
                  <w:pPr>
                    <w:spacing w:line="26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w:t>
                  </w:r>
                  <w:r>
                    <w:rPr>
                      <w:rFonts w:hint="eastAsia"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2</w:t>
                  </w:r>
                </w:p>
              </w:tc>
              <w:tc>
                <w:tcPr>
                  <w:tcW w:w="2473" w:type="pct"/>
                  <w:tcBorders>
                    <w:tl2br w:val="nil"/>
                    <w:tr2bl w:val="nil"/>
                  </w:tcBorders>
                  <w:noWrap w:val="0"/>
                  <w:vAlign w:val="center"/>
                </w:tcPr>
                <w:p w14:paraId="6089137A">
                  <w:pPr>
                    <w:spacing w:line="26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位于1F东北角</w:t>
                  </w:r>
                </w:p>
              </w:tc>
            </w:tr>
            <w:tr w14:paraId="1D8C15E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28" w:type="dxa"/>
                  <w:bottom w:w="0" w:type="dxa"/>
                  <w:right w:w="28" w:type="dxa"/>
                </w:tblCellMar>
              </w:tblPrEx>
              <w:trPr>
                <w:trHeight w:val="340" w:hRule="atLeast"/>
                <w:jc w:val="center"/>
              </w:trPr>
              <w:tc>
                <w:tcPr>
                  <w:tcW w:w="353" w:type="pct"/>
                  <w:vMerge w:val="continue"/>
                  <w:tcBorders>
                    <w:tl2br w:val="nil"/>
                    <w:tr2bl w:val="nil"/>
                  </w:tcBorders>
                  <w:noWrap w:val="0"/>
                  <w:vAlign w:val="center"/>
                </w:tcPr>
                <w:p w14:paraId="64D6259B">
                  <w:pPr>
                    <w:spacing w:line="260" w:lineRule="exact"/>
                    <w:jc w:val="center"/>
                    <w:rPr>
                      <w:rFonts w:hint="default" w:ascii="Times New Roman" w:hAnsi="Times New Roman" w:eastAsia="仿宋" w:cs="Times New Roman"/>
                      <w:sz w:val="21"/>
                      <w:szCs w:val="21"/>
                    </w:rPr>
                  </w:pPr>
                </w:p>
              </w:tc>
              <w:tc>
                <w:tcPr>
                  <w:tcW w:w="359" w:type="pct"/>
                  <w:vMerge w:val="continue"/>
                  <w:tcBorders>
                    <w:tl2br w:val="nil"/>
                    <w:tr2bl w:val="nil"/>
                  </w:tcBorders>
                  <w:noWrap w:val="0"/>
                  <w:tcMar>
                    <w:top w:w="15" w:type="dxa"/>
                    <w:left w:w="15" w:type="dxa"/>
                    <w:bottom w:w="0" w:type="dxa"/>
                    <w:right w:w="15" w:type="dxa"/>
                  </w:tcMar>
                  <w:vAlign w:val="center"/>
                </w:tcPr>
                <w:p w14:paraId="4CBAD03F">
                  <w:pPr>
                    <w:spacing w:line="260" w:lineRule="exact"/>
                    <w:jc w:val="center"/>
                    <w:rPr>
                      <w:rFonts w:hint="default" w:ascii="Times New Roman" w:hAnsi="Times New Roman" w:eastAsia="仿宋" w:cs="Times New Roman"/>
                      <w:kern w:val="0"/>
                      <w:sz w:val="21"/>
                      <w:szCs w:val="21"/>
                    </w:rPr>
                  </w:pPr>
                </w:p>
              </w:tc>
              <w:tc>
                <w:tcPr>
                  <w:tcW w:w="1125" w:type="pct"/>
                  <w:gridSpan w:val="2"/>
                  <w:tcBorders>
                    <w:tl2br w:val="nil"/>
                    <w:tr2bl w:val="nil"/>
                  </w:tcBorders>
                  <w:noWrap w:val="0"/>
                  <w:tcMar>
                    <w:top w:w="15" w:type="dxa"/>
                    <w:left w:w="15" w:type="dxa"/>
                    <w:bottom w:w="0" w:type="dxa"/>
                    <w:right w:w="15" w:type="dxa"/>
                  </w:tcMar>
                  <w:vAlign w:val="center"/>
                </w:tcPr>
                <w:p w14:paraId="2A387B1A">
                  <w:pPr>
                    <w:spacing w:line="26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危废仓库</w:t>
                  </w:r>
                </w:p>
              </w:tc>
              <w:tc>
                <w:tcPr>
                  <w:tcW w:w="689" w:type="pct"/>
                  <w:tcBorders>
                    <w:tl2br w:val="nil"/>
                    <w:tr2bl w:val="nil"/>
                  </w:tcBorders>
                  <w:noWrap w:val="0"/>
                  <w:vAlign w:val="center"/>
                </w:tcPr>
                <w:p w14:paraId="274BFAD7">
                  <w:pPr>
                    <w:spacing w:line="260" w:lineRule="exact"/>
                    <w:jc w:val="center"/>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w:t>
                  </w:r>
                  <w:r>
                    <w:rPr>
                      <w:rFonts w:hint="eastAsia" w:ascii="Times New Roman" w:hAnsi="Times New Roman" w:eastAsia="仿宋" w:cs="Times New Roman"/>
                      <w:color w:val="auto"/>
                      <w:sz w:val="21"/>
                      <w:szCs w:val="21"/>
                      <w:highlight w:val="none"/>
                      <w:lang w:val="en-US" w:eastAsia="zh-CN"/>
                    </w:rPr>
                    <w:t>2</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2</w:t>
                  </w:r>
                </w:p>
              </w:tc>
              <w:tc>
                <w:tcPr>
                  <w:tcW w:w="2473" w:type="pct"/>
                  <w:tcBorders>
                    <w:tl2br w:val="nil"/>
                    <w:tr2bl w:val="nil"/>
                  </w:tcBorders>
                  <w:noWrap w:val="0"/>
                  <w:vAlign w:val="center"/>
                </w:tcPr>
                <w:p w14:paraId="32F1BE70">
                  <w:pPr>
                    <w:spacing w:line="260" w:lineRule="exact"/>
                    <w:jc w:val="center"/>
                    <w:rPr>
                      <w:rFonts w:hint="default" w:ascii="Times New Roman" w:hAnsi="Times New Roman" w:eastAsia="仿宋" w:cs="Times New Roman"/>
                      <w:color w:val="auto"/>
                      <w:sz w:val="21"/>
                      <w:szCs w:val="21"/>
                      <w:highlight w:val="none"/>
                      <w:lang w:val="en-US"/>
                    </w:rPr>
                  </w:pPr>
                  <w:r>
                    <w:rPr>
                      <w:rFonts w:hint="default" w:ascii="Times New Roman" w:hAnsi="Times New Roman" w:eastAsia="仿宋" w:cs="Times New Roman"/>
                      <w:color w:val="auto"/>
                      <w:sz w:val="21"/>
                      <w:szCs w:val="21"/>
                      <w:highlight w:val="none"/>
                      <w:lang w:val="en-US" w:eastAsia="zh-CN"/>
                    </w:rPr>
                    <w:t>位于1F东北角</w:t>
                  </w:r>
                </w:p>
              </w:tc>
            </w:tr>
          </w:tbl>
          <w:p w14:paraId="26ECFD61">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4</w:t>
            </w:r>
            <w:r>
              <w:rPr>
                <w:rFonts w:hint="default" w:ascii="Times New Roman" w:hAnsi="Times New Roman" w:eastAsia="仿宋" w:cs="Times New Roman"/>
                <w:b/>
                <w:bCs/>
                <w:color w:val="auto"/>
                <w:kern w:val="0"/>
                <w:sz w:val="24"/>
                <w:szCs w:val="24"/>
              </w:rPr>
              <w:t>、主要</w:t>
            </w:r>
            <w:r>
              <w:rPr>
                <w:rFonts w:hint="default" w:ascii="Times New Roman" w:hAnsi="Times New Roman" w:eastAsia="仿宋" w:cs="Times New Roman"/>
                <w:b/>
                <w:bCs/>
                <w:color w:val="auto"/>
                <w:kern w:val="0"/>
                <w:sz w:val="24"/>
                <w:szCs w:val="24"/>
                <w:lang w:val="en-US" w:eastAsia="zh-CN"/>
              </w:rPr>
              <w:t>生产</w:t>
            </w:r>
            <w:r>
              <w:rPr>
                <w:rFonts w:hint="default" w:ascii="Times New Roman" w:hAnsi="Times New Roman" w:eastAsia="仿宋" w:cs="Times New Roman"/>
                <w:b/>
                <w:bCs/>
                <w:color w:val="auto"/>
                <w:kern w:val="0"/>
                <w:sz w:val="24"/>
                <w:szCs w:val="24"/>
              </w:rPr>
              <w:t>设备</w:t>
            </w:r>
          </w:p>
          <w:p w14:paraId="1BB7F52E">
            <w:pPr>
              <w:keepNext w:val="0"/>
              <w:keepLines w:val="0"/>
              <w:pageBreakBefore w:val="0"/>
              <w:widowControl w:val="0"/>
              <w:kinsoku/>
              <w:wordWrap/>
              <w:overflowPunct/>
              <w:topLinePunct w:val="0"/>
              <w:bidi w:val="0"/>
              <w:spacing w:line="40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本项目主要</w:t>
            </w:r>
            <w:r>
              <w:rPr>
                <w:rFonts w:hint="default" w:ascii="Times New Roman" w:hAnsi="Times New Roman" w:eastAsia="仿宋" w:cs="Times New Roman"/>
                <w:color w:val="auto"/>
                <w:spacing w:val="-2"/>
                <w:sz w:val="24"/>
                <w:szCs w:val="24"/>
                <w:lang w:val="en-US" w:eastAsia="zh-CN"/>
              </w:rPr>
              <w:t>生产</w:t>
            </w:r>
            <w:r>
              <w:rPr>
                <w:rFonts w:hint="default" w:ascii="Times New Roman" w:hAnsi="Times New Roman" w:eastAsia="仿宋" w:cs="Times New Roman"/>
                <w:color w:val="auto"/>
                <w:spacing w:val="-2"/>
                <w:sz w:val="24"/>
                <w:szCs w:val="24"/>
              </w:rPr>
              <w:t>设备见表2-</w:t>
            </w:r>
            <w:r>
              <w:rPr>
                <w:rFonts w:hint="default" w:ascii="Times New Roman" w:hAnsi="Times New Roman" w:eastAsia="仿宋" w:cs="Times New Roman"/>
                <w:color w:val="auto"/>
                <w:spacing w:val="-2"/>
                <w:sz w:val="24"/>
                <w:szCs w:val="24"/>
                <w:lang w:val="en-US" w:eastAsia="zh-CN"/>
              </w:rPr>
              <w:t>3</w:t>
            </w:r>
            <w:r>
              <w:rPr>
                <w:rFonts w:hint="default" w:ascii="Times New Roman" w:hAnsi="Times New Roman" w:eastAsia="仿宋" w:cs="Times New Roman"/>
                <w:color w:val="auto"/>
                <w:spacing w:val="-2"/>
                <w:sz w:val="24"/>
                <w:szCs w:val="24"/>
              </w:rPr>
              <w:t>。</w:t>
            </w:r>
          </w:p>
          <w:p w14:paraId="76BA79FD">
            <w:pPr>
              <w:tabs>
                <w:tab w:val="left" w:pos="2127"/>
                <w:tab w:val="center" w:pos="4452"/>
                <w:tab w:val="right" w:pos="8246"/>
              </w:tabs>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表2-</w:t>
            </w:r>
            <w:r>
              <w:rPr>
                <w:rFonts w:hint="default" w:ascii="Times New Roman" w:hAnsi="Times New Roman" w:eastAsia="仿宋" w:cs="Times New Roman"/>
                <w:b/>
                <w:color w:val="auto"/>
                <w:szCs w:val="21"/>
                <w:lang w:val="en-US" w:eastAsia="zh-CN"/>
              </w:rPr>
              <w:t>3</w:t>
            </w:r>
            <w:r>
              <w:rPr>
                <w:rFonts w:hint="default" w:ascii="Times New Roman" w:hAnsi="Times New Roman" w:eastAsia="仿宋" w:cs="Times New Roman"/>
                <w:b/>
                <w:color w:val="auto"/>
                <w:szCs w:val="21"/>
              </w:rPr>
              <w:t xml:space="preserve">  本项目主要</w:t>
            </w:r>
            <w:r>
              <w:rPr>
                <w:rFonts w:hint="default" w:ascii="Times New Roman" w:hAnsi="Times New Roman" w:eastAsia="仿宋" w:cs="Times New Roman"/>
                <w:b/>
                <w:color w:val="auto"/>
                <w:szCs w:val="21"/>
                <w:lang w:val="en-US" w:eastAsia="zh-CN"/>
              </w:rPr>
              <w:t>生产</w:t>
            </w:r>
            <w:r>
              <w:rPr>
                <w:rFonts w:hint="default" w:ascii="Times New Roman" w:hAnsi="Times New Roman" w:eastAsia="仿宋" w:cs="Times New Roman"/>
                <w:b/>
                <w:color w:val="auto"/>
                <w:szCs w:val="21"/>
              </w:rPr>
              <w:t>设备一览表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040"/>
              <w:gridCol w:w="1995"/>
              <w:gridCol w:w="886"/>
              <w:gridCol w:w="917"/>
              <w:gridCol w:w="852"/>
              <w:gridCol w:w="706"/>
            </w:tblGrid>
            <w:tr w14:paraId="4415EB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48" w:type="pct"/>
                  <w:vMerge w:val="restart"/>
                  <w:noWrap w:val="0"/>
                  <w:vAlign w:val="center"/>
                </w:tcPr>
                <w:p w14:paraId="531E7B83">
                  <w:pPr>
                    <w:adjustRightInd w:val="0"/>
                    <w:snapToGrid w:val="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类别</w:t>
                  </w:r>
                </w:p>
              </w:tc>
              <w:tc>
                <w:tcPr>
                  <w:tcW w:w="1255" w:type="pct"/>
                  <w:vMerge w:val="restart"/>
                  <w:noWrap w:val="0"/>
                  <w:vAlign w:val="center"/>
                </w:tcPr>
                <w:p w14:paraId="1D52CC16">
                  <w:pPr>
                    <w:adjustRightInd w:val="0"/>
                    <w:snapToGrid w:val="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设备名称</w:t>
                  </w:r>
                </w:p>
              </w:tc>
              <w:tc>
                <w:tcPr>
                  <w:tcW w:w="1227" w:type="pct"/>
                  <w:vMerge w:val="restart"/>
                  <w:noWrap/>
                  <w:vAlign w:val="center"/>
                </w:tcPr>
                <w:p w14:paraId="4590B24F">
                  <w:pPr>
                    <w:adjustRightInd w:val="0"/>
                    <w:snapToGrid w:val="0"/>
                    <w:jc w:val="center"/>
                    <w:rPr>
                      <w:rFonts w:hint="default" w:ascii="Times New Roman" w:hAnsi="Times New Roman" w:eastAsia="仿宋" w:cs="Times New Roman"/>
                      <w:b/>
                      <w:bCs w:val="0"/>
                      <w:color w:val="auto"/>
                      <w:sz w:val="21"/>
                      <w:szCs w:val="21"/>
                    </w:rPr>
                  </w:pPr>
                  <w:r>
                    <w:rPr>
                      <w:rFonts w:hint="default" w:ascii="Times New Roman" w:hAnsi="Times New Roman" w:eastAsia="仿宋" w:cs="Times New Roman"/>
                      <w:b/>
                      <w:bCs w:val="0"/>
                      <w:color w:val="auto"/>
                      <w:sz w:val="21"/>
                      <w:szCs w:val="21"/>
                    </w:rPr>
                    <w:t>规格型号</w:t>
                  </w:r>
                </w:p>
              </w:tc>
              <w:tc>
                <w:tcPr>
                  <w:tcW w:w="1634" w:type="pct"/>
                  <w:gridSpan w:val="3"/>
                  <w:noWrap w:val="0"/>
                  <w:vAlign w:val="center"/>
                </w:tcPr>
                <w:p w14:paraId="2BCB47F7">
                  <w:pPr>
                    <w:adjustRightInd w:val="0"/>
                    <w:snapToGrid w:val="0"/>
                    <w:jc w:val="center"/>
                    <w:rPr>
                      <w:rFonts w:hint="default" w:ascii="Times New Roman" w:hAnsi="Times New Roman" w:eastAsia="仿宋" w:cs="Times New Roman"/>
                      <w:b/>
                      <w:bCs w:val="0"/>
                      <w:color w:val="auto"/>
                      <w:sz w:val="21"/>
                      <w:szCs w:val="21"/>
                      <w:lang w:eastAsia="zh-CN"/>
                    </w:rPr>
                  </w:pPr>
                  <w:r>
                    <w:rPr>
                      <w:rFonts w:hint="default" w:ascii="Times New Roman" w:hAnsi="Times New Roman" w:eastAsia="仿宋" w:cs="Times New Roman"/>
                      <w:b/>
                      <w:bCs w:val="0"/>
                      <w:color w:val="auto"/>
                      <w:sz w:val="21"/>
                      <w:szCs w:val="21"/>
                    </w:rPr>
                    <w:t>数量</w:t>
                  </w:r>
                  <w:r>
                    <w:rPr>
                      <w:rFonts w:hint="default" w:ascii="Times New Roman" w:hAnsi="Times New Roman" w:eastAsia="仿宋" w:cs="Times New Roman"/>
                      <w:b/>
                      <w:bCs w:val="0"/>
                      <w:color w:val="auto"/>
                      <w:sz w:val="21"/>
                      <w:szCs w:val="21"/>
                      <w:lang w:eastAsia="zh-CN"/>
                    </w:rPr>
                    <w:t>（</w:t>
                  </w:r>
                  <w:r>
                    <w:rPr>
                      <w:rFonts w:hint="default" w:ascii="Times New Roman" w:hAnsi="Times New Roman" w:eastAsia="仿宋" w:cs="Times New Roman"/>
                      <w:b/>
                      <w:bCs w:val="0"/>
                      <w:color w:val="auto"/>
                      <w:sz w:val="21"/>
                      <w:szCs w:val="21"/>
                      <w:lang w:val="en-US" w:eastAsia="zh-CN"/>
                    </w:rPr>
                    <w:t>台/套/条</w:t>
                  </w:r>
                  <w:r>
                    <w:rPr>
                      <w:rFonts w:hint="default" w:ascii="Times New Roman" w:hAnsi="Times New Roman" w:eastAsia="仿宋" w:cs="Times New Roman"/>
                      <w:b/>
                      <w:bCs w:val="0"/>
                      <w:color w:val="auto"/>
                      <w:sz w:val="21"/>
                      <w:szCs w:val="21"/>
                      <w:lang w:eastAsia="zh-CN"/>
                    </w:rPr>
                    <w:t>）</w:t>
                  </w:r>
                </w:p>
              </w:tc>
              <w:tc>
                <w:tcPr>
                  <w:tcW w:w="434" w:type="pct"/>
                  <w:vMerge w:val="restart"/>
                  <w:noWrap w:val="0"/>
                  <w:vAlign w:val="center"/>
                </w:tcPr>
                <w:p w14:paraId="00164435">
                  <w:pPr>
                    <w:adjustRightInd w:val="0"/>
                    <w:snapToGrid w:val="0"/>
                    <w:jc w:val="center"/>
                    <w:rPr>
                      <w:rFonts w:hint="default" w:ascii="Times New Roman" w:hAnsi="Times New Roman" w:eastAsia="仿宋" w:cs="Times New Roman"/>
                      <w:bCs/>
                      <w:color w:val="auto"/>
                      <w:sz w:val="21"/>
                      <w:szCs w:val="21"/>
                      <w:lang w:eastAsia="zh-CN"/>
                    </w:rPr>
                  </w:pPr>
                  <w:r>
                    <w:rPr>
                      <w:rFonts w:hint="default" w:ascii="Times New Roman" w:hAnsi="Times New Roman" w:eastAsia="仿宋" w:cs="Times New Roman"/>
                      <w:b/>
                      <w:bCs w:val="0"/>
                      <w:color w:val="auto"/>
                      <w:sz w:val="21"/>
                      <w:szCs w:val="21"/>
                      <w:lang w:val="en-US" w:eastAsia="zh-CN"/>
                    </w:rPr>
                    <w:t>产地</w:t>
                  </w:r>
                </w:p>
              </w:tc>
            </w:tr>
            <w:tr w14:paraId="1E78E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448" w:type="pct"/>
                  <w:vMerge w:val="continue"/>
                  <w:noWrap w:val="0"/>
                  <w:vAlign w:val="center"/>
                </w:tcPr>
                <w:p w14:paraId="0E6A9A00">
                  <w:pPr>
                    <w:adjustRightInd w:val="0"/>
                    <w:snapToGrid w:val="0"/>
                    <w:jc w:val="center"/>
                    <w:rPr>
                      <w:rFonts w:hint="default" w:ascii="Times New Roman" w:hAnsi="Times New Roman" w:eastAsia="仿宋" w:cs="Times New Roman"/>
                      <w:b/>
                      <w:bCs w:val="0"/>
                    </w:rPr>
                  </w:pPr>
                </w:p>
              </w:tc>
              <w:tc>
                <w:tcPr>
                  <w:tcW w:w="1255" w:type="pct"/>
                  <w:vMerge w:val="continue"/>
                  <w:noWrap w:val="0"/>
                  <w:vAlign w:val="center"/>
                </w:tcPr>
                <w:p w14:paraId="5650179C">
                  <w:pPr>
                    <w:adjustRightInd w:val="0"/>
                    <w:snapToGrid w:val="0"/>
                    <w:jc w:val="center"/>
                    <w:rPr>
                      <w:rFonts w:hint="default" w:ascii="Times New Roman" w:hAnsi="Times New Roman" w:eastAsia="仿宋" w:cs="Times New Roman"/>
                      <w:b/>
                      <w:bCs w:val="0"/>
                    </w:rPr>
                  </w:pPr>
                </w:p>
              </w:tc>
              <w:tc>
                <w:tcPr>
                  <w:tcW w:w="1227" w:type="pct"/>
                  <w:vMerge w:val="continue"/>
                  <w:noWrap/>
                  <w:vAlign w:val="center"/>
                </w:tcPr>
                <w:p w14:paraId="696D0476">
                  <w:pPr>
                    <w:adjustRightInd w:val="0"/>
                    <w:snapToGrid w:val="0"/>
                    <w:jc w:val="center"/>
                    <w:rPr>
                      <w:rFonts w:hint="default" w:ascii="Times New Roman" w:hAnsi="Times New Roman" w:eastAsia="仿宋" w:cs="Times New Roman"/>
                      <w:b/>
                      <w:bCs w:val="0"/>
                    </w:rPr>
                  </w:pPr>
                </w:p>
              </w:tc>
              <w:tc>
                <w:tcPr>
                  <w:tcW w:w="545" w:type="pct"/>
                  <w:noWrap w:val="0"/>
                  <w:vAlign w:val="center"/>
                </w:tcPr>
                <w:p w14:paraId="0633BFBA">
                  <w:pPr>
                    <w:adjustRightInd w:val="0"/>
                    <w:snapToGrid w:val="0"/>
                    <w:jc w:val="center"/>
                    <w:rPr>
                      <w:rFonts w:hint="default" w:ascii="Times New Roman" w:hAnsi="Times New Roman" w:eastAsia="仿宋" w:cs="Times New Roman"/>
                      <w:b/>
                      <w:bCs w:val="0"/>
                      <w:lang w:val="en-US" w:eastAsia="zh-CN"/>
                    </w:rPr>
                  </w:pPr>
                  <w:r>
                    <w:rPr>
                      <w:rFonts w:hint="default" w:ascii="Times New Roman" w:hAnsi="Times New Roman" w:eastAsia="仿宋" w:cs="Times New Roman"/>
                      <w:b/>
                      <w:bCs w:val="0"/>
                      <w:lang w:val="en-US" w:eastAsia="zh-CN"/>
                    </w:rPr>
                    <w:t>搬迁前</w:t>
                  </w:r>
                </w:p>
              </w:tc>
              <w:tc>
                <w:tcPr>
                  <w:tcW w:w="564" w:type="pct"/>
                  <w:noWrap w:val="0"/>
                  <w:vAlign w:val="center"/>
                </w:tcPr>
                <w:p w14:paraId="4CE274D8">
                  <w:pPr>
                    <w:adjustRightInd w:val="0"/>
                    <w:snapToGrid w:val="0"/>
                    <w:jc w:val="center"/>
                    <w:rPr>
                      <w:rFonts w:hint="default" w:ascii="Times New Roman" w:hAnsi="Times New Roman" w:eastAsia="仿宋" w:cs="Times New Roman"/>
                      <w:b/>
                      <w:bCs w:val="0"/>
                      <w:lang w:val="en-US" w:eastAsia="zh-CN"/>
                    </w:rPr>
                  </w:pPr>
                  <w:r>
                    <w:rPr>
                      <w:rFonts w:hint="default" w:ascii="Times New Roman" w:hAnsi="Times New Roman" w:eastAsia="仿宋" w:cs="Times New Roman"/>
                      <w:b/>
                      <w:bCs w:val="0"/>
                      <w:lang w:val="en-US" w:eastAsia="zh-CN"/>
                    </w:rPr>
                    <w:t>搬迁后</w:t>
                  </w:r>
                </w:p>
              </w:tc>
              <w:tc>
                <w:tcPr>
                  <w:tcW w:w="524" w:type="pct"/>
                  <w:noWrap w:val="0"/>
                  <w:vAlign w:val="center"/>
                </w:tcPr>
                <w:p w14:paraId="69D5EFC5">
                  <w:pPr>
                    <w:adjustRightInd w:val="0"/>
                    <w:snapToGrid w:val="0"/>
                    <w:jc w:val="center"/>
                    <w:rPr>
                      <w:rFonts w:hint="default" w:ascii="Times New Roman" w:hAnsi="Times New Roman" w:eastAsia="仿宋" w:cs="Times New Roman"/>
                      <w:b/>
                      <w:bCs w:val="0"/>
                      <w:lang w:val="en-US" w:eastAsia="zh-CN"/>
                    </w:rPr>
                  </w:pPr>
                  <w:r>
                    <w:rPr>
                      <w:rFonts w:hint="default" w:ascii="Times New Roman" w:hAnsi="Times New Roman" w:eastAsia="仿宋" w:cs="Times New Roman"/>
                      <w:b/>
                      <w:bCs w:val="0"/>
                      <w:lang w:val="en-US" w:eastAsia="zh-CN"/>
                    </w:rPr>
                    <w:t>增减量</w:t>
                  </w:r>
                </w:p>
              </w:tc>
              <w:tc>
                <w:tcPr>
                  <w:tcW w:w="434" w:type="pct"/>
                  <w:vMerge w:val="continue"/>
                  <w:noWrap w:val="0"/>
                  <w:vAlign w:val="center"/>
                </w:tcPr>
                <w:p w14:paraId="28FDE067">
                  <w:pPr>
                    <w:adjustRightInd w:val="0"/>
                    <w:snapToGrid w:val="0"/>
                    <w:jc w:val="center"/>
                    <w:rPr>
                      <w:rFonts w:hint="default" w:ascii="Times New Roman" w:hAnsi="Times New Roman" w:eastAsia="仿宋" w:cs="Times New Roman"/>
                    </w:rPr>
                  </w:pPr>
                </w:p>
              </w:tc>
            </w:tr>
            <w:tr w14:paraId="5D27D1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restart"/>
                  <w:noWrap w:val="0"/>
                  <w:vAlign w:val="center"/>
                </w:tcPr>
                <w:p w14:paraId="3072F34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生产设备</w:t>
                  </w:r>
                </w:p>
              </w:tc>
              <w:tc>
                <w:tcPr>
                  <w:tcW w:w="1255" w:type="pct"/>
                  <w:noWrap w:val="0"/>
                  <w:vAlign w:val="center"/>
                </w:tcPr>
                <w:p w14:paraId="1DB9F6A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数控步进马达转子磨床</w:t>
                  </w:r>
                </w:p>
              </w:tc>
              <w:tc>
                <w:tcPr>
                  <w:tcW w:w="1227" w:type="pct"/>
                  <w:noWrap/>
                  <w:vAlign w:val="center"/>
                </w:tcPr>
                <w:p w14:paraId="3CE2482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EG-M11</w:t>
                  </w:r>
                </w:p>
              </w:tc>
              <w:tc>
                <w:tcPr>
                  <w:tcW w:w="545" w:type="pct"/>
                  <w:noWrap w:val="0"/>
                  <w:vAlign w:val="center"/>
                </w:tcPr>
                <w:p w14:paraId="7FB890A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64" w:type="pct"/>
                  <w:noWrap w:val="0"/>
                  <w:vAlign w:val="center"/>
                </w:tcPr>
                <w:p w14:paraId="3F967C0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4</w:t>
                  </w:r>
                </w:p>
              </w:tc>
              <w:tc>
                <w:tcPr>
                  <w:tcW w:w="524" w:type="pct"/>
                  <w:noWrap w:val="0"/>
                  <w:vAlign w:val="center"/>
                </w:tcPr>
                <w:p w14:paraId="7DEF79D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576E68A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国产</w:t>
                  </w:r>
                </w:p>
              </w:tc>
            </w:tr>
            <w:tr w14:paraId="29E54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53594622">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1D7EB3A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珩磨机</w:t>
                  </w:r>
                </w:p>
              </w:tc>
              <w:tc>
                <w:tcPr>
                  <w:tcW w:w="1227" w:type="pct"/>
                  <w:noWrap/>
                  <w:vAlign w:val="center"/>
                </w:tcPr>
                <w:p w14:paraId="64C2CA2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WHM-200</w:t>
                  </w:r>
                </w:p>
              </w:tc>
              <w:tc>
                <w:tcPr>
                  <w:tcW w:w="545" w:type="pct"/>
                  <w:noWrap w:val="0"/>
                  <w:vAlign w:val="center"/>
                </w:tcPr>
                <w:p w14:paraId="127C359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6F07750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27D54C1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434" w:type="pct"/>
                  <w:noWrap w:val="0"/>
                  <w:vAlign w:val="center"/>
                </w:tcPr>
                <w:p w14:paraId="4D11D84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国产</w:t>
                  </w:r>
                </w:p>
              </w:tc>
            </w:tr>
            <w:tr w14:paraId="0428A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0CB53296">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1F3774C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压力机</w:t>
                  </w:r>
                </w:p>
              </w:tc>
              <w:tc>
                <w:tcPr>
                  <w:tcW w:w="1227" w:type="pct"/>
                  <w:noWrap/>
                  <w:vAlign w:val="center"/>
                </w:tcPr>
                <w:p w14:paraId="05FE543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QY-3T</w:t>
                  </w:r>
                </w:p>
              </w:tc>
              <w:tc>
                <w:tcPr>
                  <w:tcW w:w="545" w:type="pct"/>
                  <w:noWrap w:val="0"/>
                  <w:vAlign w:val="center"/>
                </w:tcPr>
                <w:p w14:paraId="39E7C2B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03FAB87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6F4CA28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3AA71946">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1FFF7F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25CEF7E6">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0AD4606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充磁电源</w:t>
                  </w:r>
                </w:p>
              </w:tc>
              <w:tc>
                <w:tcPr>
                  <w:tcW w:w="1227" w:type="pct"/>
                  <w:noWrap/>
                  <w:vAlign w:val="center"/>
                </w:tcPr>
                <w:p w14:paraId="6EE53B9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DCD-1100/4-192</w:t>
                  </w:r>
                </w:p>
              </w:tc>
              <w:tc>
                <w:tcPr>
                  <w:tcW w:w="545" w:type="pct"/>
                  <w:noWrap w:val="0"/>
                  <w:vAlign w:val="center"/>
                </w:tcPr>
                <w:p w14:paraId="5398B50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792818C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07E2ECA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403781DF">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00406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761D4F9">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512DCA3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冷冻式干燥机</w:t>
                  </w:r>
                </w:p>
              </w:tc>
              <w:tc>
                <w:tcPr>
                  <w:tcW w:w="1227" w:type="pct"/>
                  <w:noWrap/>
                  <w:vAlign w:val="center"/>
                </w:tcPr>
                <w:p w14:paraId="09497C8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THD21</w:t>
                  </w:r>
                </w:p>
              </w:tc>
              <w:tc>
                <w:tcPr>
                  <w:tcW w:w="545" w:type="pct"/>
                  <w:noWrap w:val="0"/>
                  <w:vAlign w:val="center"/>
                </w:tcPr>
                <w:p w14:paraId="07DBDEC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7AD30FB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5B58E42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434" w:type="pct"/>
                  <w:noWrap w:val="0"/>
                  <w:vAlign w:val="center"/>
                </w:tcPr>
                <w:p w14:paraId="0B334FB8">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73471C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13F7AEF9">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4A97414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过滤器</w:t>
                  </w:r>
                </w:p>
              </w:tc>
              <w:tc>
                <w:tcPr>
                  <w:tcW w:w="1227" w:type="pct"/>
                  <w:noWrap/>
                  <w:vAlign w:val="center"/>
                </w:tcPr>
                <w:p w14:paraId="2F69256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p>
              </w:tc>
              <w:tc>
                <w:tcPr>
                  <w:tcW w:w="545" w:type="pct"/>
                  <w:noWrap w:val="0"/>
                  <w:vAlign w:val="center"/>
                </w:tcPr>
                <w:p w14:paraId="626D1A0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1D9EBF3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395A000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3EACD97D">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15957C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0CD6F14">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2B873BB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冷却机</w:t>
                  </w:r>
                </w:p>
              </w:tc>
              <w:tc>
                <w:tcPr>
                  <w:tcW w:w="1227" w:type="pct"/>
                  <w:noWrap/>
                  <w:vAlign w:val="center"/>
                </w:tcPr>
                <w:p w14:paraId="5E9FA95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CW5200-T1</w:t>
                  </w:r>
                </w:p>
              </w:tc>
              <w:tc>
                <w:tcPr>
                  <w:tcW w:w="545" w:type="pct"/>
                  <w:noWrap w:val="0"/>
                  <w:vAlign w:val="center"/>
                </w:tcPr>
                <w:p w14:paraId="5A2E1DB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39A5C72F">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2</w:t>
                  </w:r>
                </w:p>
              </w:tc>
              <w:tc>
                <w:tcPr>
                  <w:tcW w:w="524" w:type="pct"/>
                  <w:noWrap w:val="0"/>
                  <w:vAlign w:val="center"/>
                </w:tcPr>
                <w:p w14:paraId="4CF097F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eastAsia="仿宋" w:cs="Times New Roman"/>
                      <w:sz w:val="21"/>
                      <w:szCs w:val="21"/>
                      <w:lang w:val="en-US" w:eastAsia="zh-CN"/>
                    </w:rPr>
                    <w:t>2</w:t>
                  </w:r>
                </w:p>
              </w:tc>
              <w:tc>
                <w:tcPr>
                  <w:tcW w:w="434" w:type="pct"/>
                  <w:noWrap w:val="0"/>
                  <w:vAlign w:val="center"/>
                </w:tcPr>
                <w:p w14:paraId="0CDA5166">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0BEEE2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0C4B7A7C">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0222A4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六槽式超声波清洗机</w:t>
                  </w:r>
                </w:p>
              </w:tc>
              <w:tc>
                <w:tcPr>
                  <w:tcW w:w="1227" w:type="pct"/>
                  <w:noWrap/>
                  <w:vAlign w:val="center"/>
                </w:tcPr>
                <w:p w14:paraId="104BDA2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NK-6072CBFH</w:t>
                  </w:r>
                </w:p>
              </w:tc>
              <w:tc>
                <w:tcPr>
                  <w:tcW w:w="545" w:type="pct"/>
                  <w:noWrap w:val="0"/>
                  <w:vAlign w:val="center"/>
                </w:tcPr>
                <w:p w14:paraId="13DFDA3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300F635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524" w:type="pct"/>
                  <w:noWrap w:val="0"/>
                  <w:vAlign w:val="center"/>
                </w:tcPr>
                <w:p w14:paraId="39AE7D4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2BE88460">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5E1F6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3EF41C86">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29DDF33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多极定子绕线机</w:t>
                  </w:r>
                </w:p>
              </w:tc>
              <w:tc>
                <w:tcPr>
                  <w:tcW w:w="1227" w:type="pct"/>
                  <w:noWrap/>
                  <w:vAlign w:val="center"/>
                </w:tcPr>
                <w:p w14:paraId="7D882AB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TSM-1</w:t>
                  </w:r>
                </w:p>
              </w:tc>
              <w:tc>
                <w:tcPr>
                  <w:tcW w:w="545" w:type="pct"/>
                  <w:noWrap w:val="0"/>
                  <w:vAlign w:val="center"/>
                </w:tcPr>
                <w:p w14:paraId="5E9AEE0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64" w:type="pct"/>
                  <w:noWrap w:val="0"/>
                  <w:vAlign w:val="center"/>
                </w:tcPr>
                <w:p w14:paraId="405959A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41936A4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434" w:type="pct"/>
                  <w:noWrap w:val="0"/>
                  <w:vAlign w:val="center"/>
                </w:tcPr>
                <w:p w14:paraId="41D1C744">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60AB02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57B9D3F0">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B604ED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普通车床</w:t>
                  </w:r>
                </w:p>
              </w:tc>
              <w:tc>
                <w:tcPr>
                  <w:tcW w:w="1227" w:type="pct"/>
                  <w:noWrap/>
                  <w:vAlign w:val="center"/>
                </w:tcPr>
                <w:p w14:paraId="369435A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6136/750</w:t>
                  </w:r>
                </w:p>
              </w:tc>
              <w:tc>
                <w:tcPr>
                  <w:tcW w:w="545" w:type="pct"/>
                  <w:noWrap w:val="0"/>
                  <w:vAlign w:val="center"/>
                </w:tcPr>
                <w:p w14:paraId="6B70DD95">
                  <w:pPr>
                    <w:spacing w:line="260" w:lineRule="exact"/>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w:t>
                  </w:r>
                </w:p>
              </w:tc>
              <w:tc>
                <w:tcPr>
                  <w:tcW w:w="564" w:type="pct"/>
                  <w:noWrap w:val="0"/>
                  <w:vAlign w:val="center"/>
                </w:tcPr>
                <w:p w14:paraId="6D73827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055DB490">
                  <w:pPr>
                    <w:spacing w:line="260" w:lineRule="exact"/>
                    <w:jc w:val="center"/>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0</w:t>
                  </w:r>
                </w:p>
              </w:tc>
              <w:tc>
                <w:tcPr>
                  <w:tcW w:w="434" w:type="pct"/>
                  <w:noWrap w:val="0"/>
                  <w:vAlign w:val="center"/>
                </w:tcPr>
                <w:p w14:paraId="244F740D">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3152AB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17FDA9DE">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4B44DCC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立式定子绕线机</w:t>
                  </w:r>
                </w:p>
              </w:tc>
              <w:tc>
                <w:tcPr>
                  <w:tcW w:w="1227" w:type="pct"/>
                  <w:noWrap/>
                  <w:vAlign w:val="center"/>
                </w:tcPr>
                <w:p w14:paraId="68466A7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ZR-9006</w:t>
                  </w:r>
                </w:p>
              </w:tc>
              <w:tc>
                <w:tcPr>
                  <w:tcW w:w="545" w:type="pct"/>
                  <w:noWrap w:val="0"/>
                  <w:vAlign w:val="center"/>
                </w:tcPr>
                <w:p w14:paraId="1D5A655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5C6B214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666D82C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3E72C124">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39352E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25F7CFF1">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2C2D4C0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数控珩磨机</w:t>
                  </w:r>
                </w:p>
              </w:tc>
              <w:tc>
                <w:tcPr>
                  <w:tcW w:w="1227" w:type="pct"/>
                  <w:noWrap/>
                  <w:vAlign w:val="center"/>
                </w:tcPr>
                <w:p w14:paraId="3437CA0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HM80-Y</w:t>
                  </w:r>
                </w:p>
              </w:tc>
              <w:tc>
                <w:tcPr>
                  <w:tcW w:w="545" w:type="pct"/>
                  <w:noWrap w:val="0"/>
                  <w:vAlign w:val="center"/>
                </w:tcPr>
                <w:p w14:paraId="6932CBF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425F51D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2FE6653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65B82A17">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49C9B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2AA1E7B5">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1F136F9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伺服双工位绕线机</w:t>
                  </w:r>
                </w:p>
              </w:tc>
              <w:tc>
                <w:tcPr>
                  <w:tcW w:w="1227" w:type="pct"/>
                  <w:noWrap/>
                  <w:vAlign w:val="center"/>
                </w:tcPr>
                <w:p w14:paraId="6AA0038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ZR-9008</w:t>
                  </w:r>
                </w:p>
              </w:tc>
              <w:tc>
                <w:tcPr>
                  <w:tcW w:w="545" w:type="pct"/>
                  <w:noWrap w:val="0"/>
                  <w:vAlign w:val="center"/>
                </w:tcPr>
                <w:p w14:paraId="22F5B84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411D161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610887B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7F6C4422">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523D5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53E23181">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15CB946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数控珩磨机</w:t>
                  </w:r>
                </w:p>
              </w:tc>
              <w:tc>
                <w:tcPr>
                  <w:tcW w:w="1227" w:type="pct"/>
                  <w:noWrap/>
                  <w:vAlign w:val="center"/>
                </w:tcPr>
                <w:p w14:paraId="5978A75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HM60-3</w:t>
                  </w:r>
                </w:p>
              </w:tc>
              <w:tc>
                <w:tcPr>
                  <w:tcW w:w="545" w:type="pct"/>
                  <w:noWrap w:val="0"/>
                  <w:vAlign w:val="center"/>
                </w:tcPr>
                <w:p w14:paraId="50F6353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005D7D9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6E93DD4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52B78DA1">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5B9EF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17E16BA">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7E20353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自动锁螺丝机</w:t>
                  </w:r>
                </w:p>
              </w:tc>
              <w:tc>
                <w:tcPr>
                  <w:tcW w:w="1227" w:type="pct"/>
                  <w:noWrap/>
                  <w:vAlign w:val="center"/>
                </w:tcPr>
                <w:p w14:paraId="1299532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HST-L2H</w:t>
                  </w:r>
                </w:p>
              </w:tc>
              <w:tc>
                <w:tcPr>
                  <w:tcW w:w="545" w:type="pct"/>
                  <w:noWrap w:val="0"/>
                  <w:vAlign w:val="center"/>
                </w:tcPr>
                <w:p w14:paraId="305EBC8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0DA8B85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3C4A9FD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38551104">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253C9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9F538F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5983E1F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四工位绕线机</w:t>
                  </w:r>
                </w:p>
              </w:tc>
              <w:tc>
                <w:tcPr>
                  <w:tcW w:w="1227" w:type="pct"/>
                  <w:noWrap/>
                  <w:vAlign w:val="center"/>
                </w:tcPr>
                <w:p w14:paraId="3E25FA8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ZR-9009</w:t>
                  </w:r>
                </w:p>
              </w:tc>
              <w:tc>
                <w:tcPr>
                  <w:tcW w:w="545" w:type="pct"/>
                  <w:noWrap w:val="0"/>
                  <w:vAlign w:val="center"/>
                </w:tcPr>
                <w:p w14:paraId="005EC8A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78568F7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2DDBD98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785FD5CD">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461A8B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08B04E6">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4E0F403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电机组装测试生产线</w:t>
                  </w:r>
                </w:p>
              </w:tc>
              <w:tc>
                <w:tcPr>
                  <w:tcW w:w="1227" w:type="pct"/>
                  <w:noWrap/>
                  <w:vAlign w:val="center"/>
                </w:tcPr>
                <w:p w14:paraId="478B4C5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ZC01D/ZC02D</w:t>
                  </w:r>
                </w:p>
              </w:tc>
              <w:tc>
                <w:tcPr>
                  <w:tcW w:w="545" w:type="pct"/>
                  <w:noWrap w:val="0"/>
                  <w:vAlign w:val="center"/>
                </w:tcPr>
                <w:p w14:paraId="2EBC978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3BBBDF6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34C3DF3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3F6DC836">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693183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3115399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F0EA61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干燥柜</w:t>
                  </w:r>
                </w:p>
              </w:tc>
              <w:tc>
                <w:tcPr>
                  <w:tcW w:w="1227" w:type="pct"/>
                  <w:noWrap/>
                  <w:vAlign w:val="center"/>
                </w:tcPr>
                <w:p w14:paraId="50F9178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X2BE-157</w:t>
                  </w:r>
                </w:p>
              </w:tc>
              <w:tc>
                <w:tcPr>
                  <w:tcW w:w="545" w:type="pct"/>
                  <w:noWrap w:val="0"/>
                  <w:vAlign w:val="center"/>
                </w:tcPr>
                <w:p w14:paraId="10B23FB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56E613F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2DC9558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46D06A15">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7B492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40D6A72A">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1A36ECA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四柱伺服压机</w:t>
                  </w:r>
                </w:p>
              </w:tc>
              <w:tc>
                <w:tcPr>
                  <w:tcW w:w="1227" w:type="pct"/>
                  <w:noWrap/>
                  <w:vAlign w:val="center"/>
                </w:tcPr>
                <w:p w14:paraId="233FF84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HJX200-4000</w:t>
                  </w:r>
                </w:p>
              </w:tc>
              <w:tc>
                <w:tcPr>
                  <w:tcW w:w="545" w:type="pct"/>
                  <w:noWrap w:val="0"/>
                  <w:vAlign w:val="center"/>
                </w:tcPr>
                <w:p w14:paraId="752E356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4B8CE72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7A4AC07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011C4707">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220EB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10DC5479">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290890A">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烘箱</w:t>
                  </w:r>
                </w:p>
              </w:tc>
              <w:tc>
                <w:tcPr>
                  <w:tcW w:w="1227" w:type="pct"/>
                  <w:noWrap/>
                  <w:vAlign w:val="center"/>
                </w:tcPr>
                <w:p w14:paraId="6890054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FD260</w:t>
                  </w:r>
                </w:p>
              </w:tc>
              <w:tc>
                <w:tcPr>
                  <w:tcW w:w="545" w:type="pct"/>
                  <w:noWrap w:val="0"/>
                  <w:vAlign w:val="center"/>
                </w:tcPr>
                <w:p w14:paraId="233BA8B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0A04E7F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645B39C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26F67F17">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43D5E5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6332941E">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6FB1BF9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转子涂胶机</w:t>
                  </w:r>
                </w:p>
              </w:tc>
              <w:tc>
                <w:tcPr>
                  <w:tcW w:w="1227" w:type="pct"/>
                  <w:noWrap/>
                  <w:vAlign w:val="center"/>
                </w:tcPr>
                <w:p w14:paraId="41B1E79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RHZD05</w:t>
                  </w:r>
                </w:p>
              </w:tc>
              <w:tc>
                <w:tcPr>
                  <w:tcW w:w="545" w:type="pct"/>
                  <w:noWrap w:val="0"/>
                  <w:vAlign w:val="center"/>
                </w:tcPr>
                <w:p w14:paraId="04A16118">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0</w:t>
                  </w:r>
                </w:p>
              </w:tc>
              <w:tc>
                <w:tcPr>
                  <w:tcW w:w="564" w:type="pct"/>
                  <w:noWrap w:val="0"/>
                  <w:vAlign w:val="center"/>
                </w:tcPr>
                <w:p w14:paraId="0B295302">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1</w:t>
                  </w:r>
                </w:p>
              </w:tc>
              <w:tc>
                <w:tcPr>
                  <w:tcW w:w="524" w:type="pct"/>
                  <w:noWrap w:val="0"/>
                  <w:vAlign w:val="center"/>
                </w:tcPr>
                <w:p w14:paraId="778594FF">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740B7143">
                  <w:pPr>
                    <w:adjustRightInd w:val="0"/>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国产</w:t>
                  </w:r>
                </w:p>
              </w:tc>
            </w:tr>
            <w:tr w14:paraId="1B9D1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noWrap w:val="0"/>
                  <w:vAlign w:val="center"/>
                </w:tcPr>
                <w:p w14:paraId="61A3D10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公辅设备</w:t>
                  </w:r>
                </w:p>
              </w:tc>
              <w:tc>
                <w:tcPr>
                  <w:tcW w:w="1255" w:type="pct"/>
                  <w:noWrap w:val="0"/>
                  <w:vAlign w:val="center"/>
                </w:tcPr>
                <w:p w14:paraId="1EFEABF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变频螺杆空气压缩机</w:t>
                  </w:r>
                </w:p>
              </w:tc>
              <w:tc>
                <w:tcPr>
                  <w:tcW w:w="1227" w:type="pct"/>
                  <w:noWrap/>
                  <w:vAlign w:val="center"/>
                </w:tcPr>
                <w:p w14:paraId="5CC898B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TH15PM-8</w:t>
                  </w:r>
                </w:p>
              </w:tc>
              <w:tc>
                <w:tcPr>
                  <w:tcW w:w="545" w:type="pct"/>
                  <w:noWrap w:val="0"/>
                  <w:vAlign w:val="center"/>
                </w:tcPr>
                <w:p w14:paraId="6DF04A7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64" w:type="pct"/>
                  <w:noWrap w:val="0"/>
                  <w:vAlign w:val="center"/>
                </w:tcPr>
                <w:p w14:paraId="4265BE4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3F8E26B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434" w:type="pct"/>
                  <w:noWrap w:val="0"/>
                  <w:vAlign w:val="center"/>
                </w:tcPr>
                <w:p w14:paraId="2C0050A4">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3819B5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restart"/>
                  <w:noWrap w:val="0"/>
                  <w:vAlign w:val="center"/>
                </w:tcPr>
                <w:p w14:paraId="26E40E4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检验设备</w:t>
                  </w:r>
                </w:p>
              </w:tc>
              <w:tc>
                <w:tcPr>
                  <w:tcW w:w="1255" w:type="pct"/>
                  <w:noWrap w:val="0"/>
                  <w:vAlign w:val="center"/>
                </w:tcPr>
                <w:p w14:paraId="2F646F9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程控测试仪</w:t>
                  </w:r>
                </w:p>
              </w:tc>
              <w:tc>
                <w:tcPr>
                  <w:tcW w:w="1227" w:type="pct"/>
                  <w:noWrap/>
                  <w:vAlign w:val="center"/>
                </w:tcPr>
                <w:p w14:paraId="4D9A3AD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LK7122</w:t>
                  </w:r>
                </w:p>
              </w:tc>
              <w:tc>
                <w:tcPr>
                  <w:tcW w:w="545" w:type="pct"/>
                  <w:noWrap w:val="0"/>
                  <w:vAlign w:val="center"/>
                </w:tcPr>
                <w:p w14:paraId="7FFD667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45C71EA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78CD9A4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4FCC5745">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0880A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766F08B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02E6F7D9">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步进电机综合测试仪</w:t>
                  </w:r>
                </w:p>
              </w:tc>
              <w:tc>
                <w:tcPr>
                  <w:tcW w:w="1227" w:type="pct"/>
                  <w:noWrap/>
                  <w:vAlign w:val="center"/>
                </w:tcPr>
                <w:p w14:paraId="2015F7A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KYCM06J3B</w:t>
                  </w:r>
                </w:p>
              </w:tc>
              <w:tc>
                <w:tcPr>
                  <w:tcW w:w="545" w:type="pct"/>
                  <w:noWrap w:val="0"/>
                  <w:vAlign w:val="center"/>
                </w:tcPr>
                <w:p w14:paraId="38CEDF6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16E402C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24" w:type="pct"/>
                  <w:noWrap w:val="0"/>
                  <w:vAlign w:val="center"/>
                </w:tcPr>
                <w:p w14:paraId="4152AF4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434" w:type="pct"/>
                  <w:noWrap w:val="0"/>
                  <w:vAlign w:val="center"/>
                </w:tcPr>
                <w:p w14:paraId="28D27471">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2BEDC9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29DFADF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5A78E22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影像测量仪</w:t>
                  </w:r>
                </w:p>
              </w:tc>
              <w:tc>
                <w:tcPr>
                  <w:tcW w:w="1227" w:type="pct"/>
                  <w:noWrap/>
                  <w:vAlign w:val="center"/>
                </w:tcPr>
                <w:p w14:paraId="4C33181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JTVMS-3020T</w:t>
                  </w:r>
                </w:p>
              </w:tc>
              <w:tc>
                <w:tcPr>
                  <w:tcW w:w="545" w:type="pct"/>
                  <w:noWrap w:val="0"/>
                  <w:vAlign w:val="center"/>
                </w:tcPr>
                <w:p w14:paraId="508E8E7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2A486F2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6226AA5B">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72858814">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795684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2B2B8C1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514AEDC">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多路温度测试仪</w:t>
                  </w:r>
                </w:p>
              </w:tc>
              <w:tc>
                <w:tcPr>
                  <w:tcW w:w="1227" w:type="pct"/>
                  <w:noWrap/>
                  <w:vAlign w:val="center"/>
                </w:tcPr>
                <w:p w14:paraId="025B7368">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AT4516</w:t>
                  </w:r>
                </w:p>
              </w:tc>
              <w:tc>
                <w:tcPr>
                  <w:tcW w:w="545" w:type="pct"/>
                  <w:noWrap w:val="0"/>
                  <w:vAlign w:val="center"/>
                </w:tcPr>
                <w:p w14:paraId="6634926E">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7F982AB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479EBAC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41A71C1B">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391E12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560B63F7">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20719282">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直流马达测试仪</w:t>
                  </w:r>
                </w:p>
              </w:tc>
              <w:tc>
                <w:tcPr>
                  <w:tcW w:w="1227" w:type="pct"/>
                  <w:noWrap/>
                  <w:vAlign w:val="center"/>
                </w:tcPr>
                <w:p w14:paraId="748A497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DM3302</w:t>
                  </w:r>
                </w:p>
              </w:tc>
              <w:tc>
                <w:tcPr>
                  <w:tcW w:w="545" w:type="pct"/>
                  <w:noWrap w:val="0"/>
                  <w:vAlign w:val="center"/>
                </w:tcPr>
                <w:p w14:paraId="232C6051">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29A72FD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524" w:type="pct"/>
                  <w:noWrap w:val="0"/>
                  <w:vAlign w:val="center"/>
                </w:tcPr>
                <w:p w14:paraId="5AC8CDE7">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+1</w:t>
                  </w:r>
                </w:p>
              </w:tc>
              <w:tc>
                <w:tcPr>
                  <w:tcW w:w="434" w:type="pct"/>
                  <w:noWrap w:val="0"/>
                  <w:vAlign w:val="center"/>
                </w:tcPr>
                <w:p w14:paraId="0FF8361D">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0569A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vMerge w:val="continue"/>
                  <w:noWrap w:val="0"/>
                  <w:vAlign w:val="center"/>
                </w:tcPr>
                <w:p w14:paraId="3FBF95C8">
                  <w:pPr>
                    <w:spacing w:line="260" w:lineRule="exact"/>
                    <w:jc w:val="center"/>
                    <w:rPr>
                      <w:rFonts w:hint="default" w:ascii="Times New Roman" w:hAnsi="Times New Roman" w:eastAsia="仿宋" w:cs="Times New Roman"/>
                      <w:sz w:val="21"/>
                      <w:szCs w:val="21"/>
                      <w:lang w:val="en-US" w:eastAsia="zh-CN"/>
                    </w:rPr>
                  </w:pPr>
                </w:p>
              </w:tc>
              <w:tc>
                <w:tcPr>
                  <w:tcW w:w="1255" w:type="pct"/>
                  <w:noWrap w:val="0"/>
                  <w:vAlign w:val="center"/>
                </w:tcPr>
                <w:p w14:paraId="3BAACBD5">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步进整机综合测试系统</w:t>
                  </w:r>
                </w:p>
              </w:tc>
              <w:tc>
                <w:tcPr>
                  <w:tcW w:w="1227" w:type="pct"/>
                  <w:noWrap/>
                  <w:vAlign w:val="center"/>
                </w:tcPr>
                <w:p w14:paraId="478A8F0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AN8355F1B55-A5701</w:t>
                  </w:r>
                </w:p>
              </w:tc>
              <w:tc>
                <w:tcPr>
                  <w:tcW w:w="545" w:type="pct"/>
                  <w:noWrap w:val="0"/>
                  <w:vAlign w:val="center"/>
                </w:tcPr>
                <w:p w14:paraId="678E55F4">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0</w:t>
                  </w:r>
                </w:p>
              </w:tc>
              <w:tc>
                <w:tcPr>
                  <w:tcW w:w="564" w:type="pct"/>
                  <w:noWrap w:val="0"/>
                  <w:vAlign w:val="center"/>
                </w:tcPr>
                <w:p w14:paraId="47E34BA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524" w:type="pct"/>
                  <w:noWrap w:val="0"/>
                  <w:vAlign w:val="center"/>
                </w:tcPr>
                <w:p w14:paraId="6DED3FFD">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+3</w:t>
                  </w:r>
                </w:p>
              </w:tc>
              <w:tc>
                <w:tcPr>
                  <w:tcW w:w="434" w:type="pct"/>
                  <w:noWrap w:val="0"/>
                  <w:vAlign w:val="center"/>
                </w:tcPr>
                <w:p w14:paraId="248EB77C">
                  <w:pPr>
                    <w:adjustRightInd w:val="0"/>
                    <w:snapToGrid w:val="0"/>
                    <w:jc w:val="center"/>
                    <w:rPr>
                      <w:rFonts w:hint="default" w:ascii="Times New Roman" w:hAnsi="Times New Roman" w:eastAsia="仿宋" w:cs="Times New Roman"/>
                      <w:bCs/>
                      <w:color w:val="auto"/>
                      <w:sz w:val="21"/>
                      <w:szCs w:val="21"/>
                    </w:rPr>
                  </w:pPr>
                  <w:r>
                    <w:rPr>
                      <w:rFonts w:hint="default" w:ascii="Times New Roman" w:hAnsi="Times New Roman" w:eastAsia="仿宋" w:cs="Times New Roman"/>
                      <w:sz w:val="21"/>
                      <w:szCs w:val="21"/>
                      <w:lang w:val="en-US" w:eastAsia="zh-CN"/>
                    </w:rPr>
                    <w:t>国产</w:t>
                  </w:r>
                </w:p>
              </w:tc>
            </w:tr>
            <w:tr w14:paraId="7567C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noWrap w:val="0"/>
                  <w:vAlign w:val="center"/>
                </w:tcPr>
                <w:p w14:paraId="2F029A53">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环保设备</w:t>
                  </w:r>
                </w:p>
              </w:tc>
              <w:tc>
                <w:tcPr>
                  <w:tcW w:w="1255" w:type="pct"/>
                  <w:noWrap w:val="0"/>
                  <w:vAlign w:val="center"/>
                </w:tcPr>
                <w:p w14:paraId="3D1BEF8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移动式焊烟净化器</w:t>
                  </w:r>
                </w:p>
              </w:tc>
              <w:tc>
                <w:tcPr>
                  <w:tcW w:w="1227" w:type="pct"/>
                  <w:noWrap/>
                  <w:vAlign w:val="center"/>
                </w:tcPr>
                <w:p w14:paraId="60DDD28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Q=5000m</w:t>
                  </w:r>
                  <w:r>
                    <w:rPr>
                      <w:rFonts w:hint="default" w:ascii="Times New Roman" w:hAnsi="Times New Roman" w:eastAsia="仿宋" w:cs="Times New Roman"/>
                      <w:sz w:val="21"/>
                      <w:szCs w:val="21"/>
                      <w:vertAlign w:val="superscript"/>
                      <w:lang w:val="en-US" w:eastAsia="zh-CN"/>
                    </w:rPr>
                    <w:t>3</w:t>
                  </w:r>
                  <w:r>
                    <w:rPr>
                      <w:rFonts w:hint="default" w:ascii="Times New Roman" w:hAnsi="Times New Roman" w:eastAsia="仿宋" w:cs="Times New Roman"/>
                      <w:sz w:val="21"/>
                      <w:szCs w:val="21"/>
                      <w:lang w:val="en-US" w:eastAsia="zh-CN"/>
                    </w:rPr>
                    <w:t>/h</w:t>
                  </w:r>
                </w:p>
              </w:tc>
              <w:tc>
                <w:tcPr>
                  <w:tcW w:w="545" w:type="pct"/>
                  <w:noWrap w:val="0"/>
                  <w:vAlign w:val="center"/>
                </w:tcPr>
                <w:p w14:paraId="455B86B6">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2</w:t>
                  </w:r>
                </w:p>
              </w:tc>
              <w:tc>
                <w:tcPr>
                  <w:tcW w:w="564" w:type="pct"/>
                  <w:noWrap w:val="0"/>
                  <w:vAlign w:val="center"/>
                </w:tcPr>
                <w:p w14:paraId="2990CAFF">
                  <w:pPr>
                    <w:spacing w:line="260" w:lineRule="exact"/>
                    <w:jc w:val="center"/>
                    <w:rPr>
                      <w:rFonts w:hint="default" w:ascii="Times New Roman" w:hAnsi="Times New Roman" w:eastAsia="仿宋" w:cs="Times New Roman"/>
                      <w:sz w:val="21"/>
                      <w:szCs w:val="21"/>
                      <w:lang w:val="en-US" w:eastAsia="zh-CN"/>
                    </w:rPr>
                  </w:pPr>
                  <w:r>
                    <w:rPr>
                      <w:rFonts w:hint="eastAsia" w:eastAsia="仿宋" w:cs="Times New Roman"/>
                      <w:sz w:val="21"/>
                      <w:szCs w:val="21"/>
                      <w:lang w:val="en-US" w:eastAsia="zh-CN"/>
                    </w:rPr>
                    <w:t>6</w:t>
                  </w:r>
                </w:p>
              </w:tc>
              <w:tc>
                <w:tcPr>
                  <w:tcW w:w="524" w:type="pct"/>
                  <w:noWrap w:val="0"/>
                  <w:vAlign w:val="center"/>
                </w:tcPr>
                <w:p w14:paraId="2D66FA10">
                  <w:pPr>
                    <w:spacing w:line="260" w:lineRule="exact"/>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w:t>
                  </w:r>
                  <w:r>
                    <w:rPr>
                      <w:rFonts w:hint="eastAsia" w:eastAsia="仿宋" w:cs="Times New Roman"/>
                      <w:sz w:val="21"/>
                      <w:szCs w:val="21"/>
                      <w:lang w:val="en-US" w:eastAsia="zh-CN"/>
                    </w:rPr>
                    <w:t>4</w:t>
                  </w:r>
                </w:p>
              </w:tc>
              <w:tc>
                <w:tcPr>
                  <w:tcW w:w="434" w:type="pct"/>
                  <w:noWrap w:val="0"/>
                  <w:vAlign w:val="center"/>
                </w:tcPr>
                <w:p w14:paraId="7C1281E7">
                  <w:pPr>
                    <w:adjustRightInd w:val="0"/>
                    <w:snapToGrid w:val="0"/>
                    <w:jc w:val="center"/>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国产</w:t>
                  </w:r>
                </w:p>
              </w:tc>
            </w:tr>
            <w:tr w14:paraId="5CBFE0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48" w:type="pct"/>
                  <w:noWrap w:val="0"/>
                  <w:vAlign w:val="center"/>
                </w:tcPr>
                <w:p w14:paraId="7F729207">
                  <w:pPr>
                    <w:spacing w:line="260" w:lineRule="exac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合计</w:t>
                  </w:r>
                </w:p>
              </w:tc>
              <w:tc>
                <w:tcPr>
                  <w:tcW w:w="1255" w:type="pct"/>
                  <w:noWrap w:val="0"/>
                  <w:vAlign w:val="center"/>
                </w:tcPr>
                <w:p w14:paraId="1D76188E">
                  <w:pPr>
                    <w:spacing w:line="260" w:lineRule="exac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w:t>
                  </w:r>
                </w:p>
              </w:tc>
              <w:tc>
                <w:tcPr>
                  <w:tcW w:w="1227" w:type="pct"/>
                  <w:noWrap/>
                  <w:vAlign w:val="center"/>
                </w:tcPr>
                <w:p w14:paraId="6873897D">
                  <w:pPr>
                    <w:spacing w:line="260" w:lineRule="exac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w:t>
                  </w:r>
                </w:p>
              </w:tc>
              <w:tc>
                <w:tcPr>
                  <w:tcW w:w="545" w:type="pct"/>
                  <w:noWrap w:val="0"/>
                  <w:vAlign w:val="center"/>
                </w:tcPr>
                <w:p w14:paraId="6F2CF02D">
                  <w:pPr>
                    <w:spacing w:line="260" w:lineRule="exac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1</w:t>
                  </w:r>
                  <w:r>
                    <w:rPr>
                      <w:rFonts w:hint="eastAsia" w:ascii="Times New Roman" w:hAnsi="Times New Roman" w:eastAsia="仿宋" w:cs="Times New Roman"/>
                      <w:b/>
                      <w:bCs/>
                      <w:sz w:val="21"/>
                      <w:szCs w:val="21"/>
                      <w:lang w:val="en-US" w:eastAsia="zh-CN"/>
                    </w:rPr>
                    <w:t>4</w:t>
                  </w:r>
                </w:p>
              </w:tc>
              <w:tc>
                <w:tcPr>
                  <w:tcW w:w="564" w:type="pct"/>
                  <w:noWrap w:val="0"/>
                  <w:vAlign w:val="center"/>
                </w:tcPr>
                <w:p w14:paraId="16E4A34E">
                  <w:pPr>
                    <w:spacing w:line="260" w:lineRule="exact"/>
                    <w:jc w:val="center"/>
                    <w:rPr>
                      <w:rFonts w:hint="default" w:ascii="Times New Roman" w:hAnsi="Times New Roman" w:eastAsia="仿宋" w:cs="Times New Roman"/>
                      <w:b/>
                      <w:bCs/>
                      <w:sz w:val="21"/>
                      <w:szCs w:val="21"/>
                      <w:lang w:val="en-US" w:eastAsia="zh-CN"/>
                    </w:rPr>
                  </w:pPr>
                  <w:r>
                    <w:rPr>
                      <w:rFonts w:hint="eastAsia" w:eastAsia="仿宋" w:cs="Times New Roman"/>
                      <w:b/>
                      <w:bCs/>
                      <w:sz w:val="21"/>
                      <w:szCs w:val="21"/>
                      <w:lang w:val="en-US" w:eastAsia="zh-CN"/>
                    </w:rPr>
                    <w:t>51</w:t>
                  </w:r>
                </w:p>
              </w:tc>
              <w:tc>
                <w:tcPr>
                  <w:tcW w:w="524" w:type="pct"/>
                  <w:noWrap w:val="0"/>
                  <w:vAlign w:val="center"/>
                </w:tcPr>
                <w:p w14:paraId="22260507">
                  <w:pPr>
                    <w:spacing w:line="260" w:lineRule="exact"/>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+3</w:t>
                  </w:r>
                  <w:r>
                    <w:rPr>
                      <w:rFonts w:hint="eastAsia" w:eastAsia="仿宋" w:cs="Times New Roman"/>
                      <w:b/>
                      <w:bCs/>
                      <w:sz w:val="21"/>
                      <w:szCs w:val="21"/>
                      <w:lang w:val="en-US" w:eastAsia="zh-CN"/>
                    </w:rPr>
                    <w:t>7</w:t>
                  </w:r>
                </w:p>
              </w:tc>
              <w:tc>
                <w:tcPr>
                  <w:tcW w:w="434" w:type="pct"/>
                  <w:noWrap w:val="0"/>
                  <w:vAlign w:val="center"/>
                </w:tcPr>
                <w:p w14:paraId="306022EE">
                  <w:pPr>
                    <w:adjustRightInd w:val="0"/>
                    <w:snapToGrid w:val="0"/>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w:t>
                  </w:r>
                </w:p>
              </w:tc>
            </w:tr>
          </w:tbl>
          <w:p w14:paraId="7E382570">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仿宋" w:cs="Times New Roman"/>
                <w:b/>
                <w:bCs/>
                <w:color w:val="auto"/>
                <w:kern w:val="0"/>
                <w:sz w:val="21"/>
                <w:szCs w:val="21"/>
                <w:lang w:val="en-US" w:eastAsia="zh-CN"/>
              </w:rPr>
            </w:pPr>
            <w:r>
              <w:rPr>
                <w:rFonts w:hint="default" w:ascii="Times New Roman" w:hAnsi="Times New Roman" w:eastAsia="仿宋" w:cs="Times New Roman"/>
                <w:b/>
                <w:bCs/>
                <w:color w:val="auto"/>
                <w:kern w:val="0"/>
                <w:sz w:val="21"/>
                <w:szCs w:val="21"/>
                <w:lang w:val="en-US" w:eastAsia="zh-CN"/>
              </w:rPr>
              <w:t>注：本项目备案证中45台设备包括生产设备、公辅设备和检验设备，不含环保设备。</w:t>
            </w:r>
          </w:p>
          <w:p w14:paraId="20E22926">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lang w:val="en-US" w:eastAsia="zh-CN"/>
              </w:rPr>
              <w:t>5</w:t>
            </w:r>
            <w:r>
              <w:rPr>
                <w:rFonts w:hint="default" w:ascii="Times New Roman" w:hAnsi="Times New Roman" w:eastAsia="仿宋" w:cs="Times New Roman"/>
                <w:b/>
                <w:bCs/>
                <w:color w:val="auto"/>
                <w:kern w:val="0"/>
                <w:sz w:val="24"/>
                <w:szCs w:val="24"/>
              </w:rPr>
              <w:t>、主要原辅材料</w:t>
            </w:r>
          </w:p>
          <w:p w14:paraId="35C9F50E">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rPr>
              <w:t>本项目主要原辅材料见表2-</w:t>
            </w:r>
            <w:r>
              <w:rPr>
                <w:rFonts w:hint="default" w:ascii="Times New Roman" w:hAnsi="Times New Roman" w:eastAsia="仿宋" w:cs="Times New Roman"/>
                <w:color w:val="auto"/>
                <w:spacing w:val="-2"/>
                <w:sz w:val="24"/>
                <w:szCs w:val="24"/>
                <w:lang w:val="en-US" w:eastAsia="zh-CN"/>
              </w:rPr>
              <w:t>4</w:t>
            </w:r>
            <w:r>
              <w:rPr>
                <w:rFonts w:hint="default" w:ascii="Times New Roman" w:hAnsi="Times New Roman" w:eastAsia="仿宋" w:cs="Times New Roman"/>
                <w:color w:val="auto"/>
                <w:spacing w:val="-2"/>
                <w:sz w:val="24"/>
                <w:szCs w:val="24"/>
              </w:rPr>
              <w:t>，原辅料理化性质见表2-</w:t>
            </w:r>
            <w:r>
              <w:rPr>
                <w:rFonts w:hint="default" w:ascii="Times New Roman" w:hAnsi="Times New Roman" w:eastAsia="仿宋" w:cs="Times New Roman"/>
                <w:color w:val="auto"/>
                <w:spacing w:val="-2"/>
                <w:sz w:val="24"/>
                <w:szCs w:val="24"/>
                <w:lang w:val="en-US" w:eastAsia="zh-CN"/>
              </w:rPr>
              <w:t>5</w:t>
            </w:r>
            <w:r>
              <w:rPr>
                <w:rFonts w:hint="default" w:ascii="Times New Roman" w:hAnsi="Times New Roman" w:eastAsia="仿宋" w:cs="Times New Roman"/>
                <w:color w:val="auto"/>
                <w:spacing w:val="-2"/>
                <w:sz w:val="24"/>
                <w:szCs w:val="24"/>
              </w:rPr>
              <w:t>。</w:t>
            </w:r>
          </w:p>
          <w:p w14:paraId="4E8C76D9">
            <w:pPr>
              <w:tabs>
                <w:tab w:val="left" w:pos="2127"/>
                <w:tab w:val="center" w:pos="4452"/>
                <w:tab w:val="right" w:pos="8246"/>
              </w:tabs>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表2-</w:t>
            </w:r>
            <w:r>
              <w:rPr>
                <w:rFonts w:hint="default" w:ascii="Times New Roman" w:hAnsi="Times New Roman" w:eastAsia="仿宋" w:cs="Times New Roman"/>
                <w:b/>
                <w:color w:val="auto"/>
                <w:szCs w:val="21"/>
                <w:lang w:val="en-US" w:eastAsia="zh-CN"/>
              </w:rPr>
              <w:t>4</w:t>
            </w:r>
            <w:r>
              <w:rPr>
                <w:rFonts w:hint="default" w:ascii="Times New Roman" w:hAnsi="Times New Roman" w:eastAsia="仿宋" w:cs="Times New Roman"/>
                <w:b/>
                <w:color w:val="auto"/>
                <w:szCs w:val="21"/>
              </w:rPr>
              <w:t xml:space="preserve">  本项目主要原辅</w:t>
            </w:r>
            <w:r>
              <w:rPr>
                <w:rFonts w:hint="default" w:ascii="Times New Roman" w:hAnsi="Times New Roman" w:eastAsia="仿宋" w:cs="Times New Roman"/>
                <w:b/>
                <w:color w:val="auto"/>
                <w:szCs w:val="21"/>
                <w:lang w:val="en-US" w:eastAsia="zh-CN"/>
              </w:rPr>
              <w:t>材</w:t>
            </w:r>
            <w:r>
              <w:rPr>
                <w:rFonts w:hint="default" w:ascii="Times New Roman" w:hAnsi="Times New Roman" w:eastAsia="仿宋" w:cs="Times New Roman"/>
                <w:b/>
                <w:color w:val="auto"/>
                <w:szCs w:val="21"/>
              </w:rPr>
              <w:t>料一览表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3"/>
              <w:gridCol w:w="1722"/>
              <w:gridCol w:w="860"/>
              <w:gridCol w:w="1016"/>
              <w:gridCol w:w="977"/>
              <w:gridCol w:w="1080"/>
              <w:gridCol w:w="1140"/>
              <w:gridCol w:w="666"/>
            </w:tblGrid>
            <w:tr w14:paraId="38730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08" w:type="pct"/>
                  <w:vMerge w:val="restart"/>
                  <w:noWrap w:val="0"/>
                  <w:vAlign w:val="center"/>
                </w:tcPr>
                <w:p w14:paraId="30732B74">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1059" w:type="pct"/>
                  <w:vMerge w:val="restart"/>
                  <w:noWrap w:val="0"/>
                  <w:vAlign w:val="center"/>
                </w:tcPr>
                <w:p w14:paraId="19CFD461">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组分/规格</w:t>
                  </w:r>
                </w:p>
              </w:tc>
              <w:tc>
                <w:tcPr>
                  <w:tcW w:w="1755" w:type="pct"/>
                  <w:gridSpan w:val="3"/>
                  <w:noWrap w:val="0"/>
                  <w:vAlign w:val="center"/>
                </w:tcPr>
                <w:p w14:paraId="148827A0">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年用量</w:t>
                  </w:r>
                </w:p>
              </w:tc>
              <w:tc>
                <w:tcPr>
                  <w:tcW w:w="664" w:type="pct"/>
                  <w:vMerge w:val="restart"/>
                  <w:noWrap w:val="0"/>
                  <w:vAlign w:val="center"/>
                </w:tcPr>
                <w:p w14:paraId="47FB7333">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最大存储量</w:t>
                  </w:r>
                </w:p>
              </w:tc>
              <w:tc>
                <w:tcPr>
                  <w:tcW w:w="701" w:type="pct"/>
                  <w:vMerge w:val="restart"/>
                  <w:noWrap w:val="0"/>
                  <w:vAlign w:val="center"/>
                </w:tcPr>
                <w:p w14:paraId="70A9D318">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贮存位置</w:t>
                  </w:r>
                </w:p>
              </w:tc>
              <w:tc>
                <w:tcPr>
                  <w:tcW w:w="409" w:type="pct"/>
                  <w:vMerge w:val="restart"/>
                  <w:noWrap w:val="0"/>
                  <w:vAlign w:val="center"/>
                </w:tcPr>
                <w:p w14:paraId="1521A64E">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运输方式</w:t>
                  </w:r>
                </w:p>
              </w:tc>
            </w:tr>
            <w:tr w14:paraId="4D2E4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408" w:type="pct"/>
                  <w:vMerge w:val="continue"/>
                  <w:noWrap w:val="0"/>
                  <w:vAlign w:val="center"/>
                </w:tcPr>
                <w:p w14:paraId="100D9AD1">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rPr>
                  </w:pPr>
                </w:p>
              </w:tc>
              <w:tc>
                <w:tcPr>
                  <w:tcW w:w="1059" w:type="pct"/>
                  <w:vMerge w:val="continue"/>
                  <w:noWrap w:val="0"/>
                  <w:vAlign w:val="center"/>
                </w:tcPr>
                <w:p w14:paraId="16BCBBF6">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rPr>
                  </w:pPr>
                </w:p>
              </w:tc>
              <w:tc>
                <w:tcPr>
                  <w:tcW w:w="529" w:type="pct"/>
                  <w:noWrap w:val="0"/>
                  <w:vAlign w:val="center"/>
                </w:tcPr>
                <w:p w14:paraId="02C489BD">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搬迁前</w:t>
                  </w:r>
                </w:p>
              </w:tc>
              <w:tc>
                <w:tcPr>
                  <w:tcW w:w="625" w:type="pct"/>
                  <w:noWrap w:val="0"/>
                  <w:vAlign w:val="center"/>
                </w:tcPr>
                <w:p w14:paraId="292AFAD2">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搬迁后</w:t>
                  </w:r>
                </w:p>
              </w:tc>
              <w:tc>
                <w:tcPr>
                  <w:tcW w:w="601" w:type="pct"/>
                  <w:noWrap w:val="0"/>
                  <w:vAlign w:val="center"/>
                </w:tcPr>
                <w:p w14:paraId="37BDFE8F">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lang w:val="en-US" w:eastAsia="zh-CN"/>
                    </w:rPr>
                  </w:pPr>
                  <w:r>
                    <w:rPr>
                      <w:rFonts w:hint="default" w:ascii="Times New Roman" w:hAnsi="Times New Roman" w:eastAsia="仿宋" w:cs="Times New Roman"/>
                      <w:b/>
                      <w:bCs/>
                      <w:lang w:val="en-US" w:eastAsia="zh-CN"/>
                    </w:rPr>
                    <w:t>增加量</w:t>
                  </w:r>
                </w:p>
              </w:tc>
              <w:tc>
                <w:tcPr>
                  <w:tcW w:w="664" w:type="pct"/>
                  <w:vMerge w:val="continue"/>
                  <w:noWrap w:val="0"/>
                  <w:vAlign w:val="center"/>
                </w:tcPr>
                <w:p w14:paraId="2956E590">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rPr>
                  </w:pPr>
                </w:p>
              </w:tc>
              <w:tc>
                <w:tcPr>
                  <w:tcW w:w="701" w:type="pct"/>
                  <w:vMerge w:val="continue"/>
                  <w:noWrap w:val="0"/>
                  <w:vAlign w:val="center"/>
                </w:tcPr>
                <w:p w14:paraId="7BEA9BE7">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rPr>
                  </w:pPr>
                </w:p>
              </w:tc>
              <w:tc>
                <w:tcPr>
                  <w:tcW w:w="409" w:type="pct"/>
                  <w:vMerge w:val="continue"/>
                  <w:noWrap w:val="0"/>
                  <w:vAlign w:val="center"/>
                </w:tcPr>
                <w:p w14:paraId="31822D5F">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rPr>
                  </w:pPr>
                </w:p>
              </w:tc>
            </w:tr>
            <w:tr w14:paraId="15952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460FE68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定子</w:t>
                  </w:r>
                </w:p>
              </w:tc>
              <w:tc>
                <w:tcPr>
                  <w:tcW w:w="1059" w:type="pct"/>
                  <w:noWrap w:val="0"/>
                  <w:vAlign w:val="center"/>
                </w:tcPr>
                <w:p w14:paraId="71D1F1CB">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0CCFDAA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6万个</w:t>
                  </w:r>
                </w:p>
              </w:tc>
              <w:tc>
                <w:tcPr>
                  <w:tcW w:w="625" w:type="pct"/>
                  <w:noWrap w:val="0"/>
                  <w:vAlign w:val="center"/>
                </w:tcPr>
                <w:p w14:paraId="4B4CE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120万个</w:t>
                  </w:r>
                </w:p>
              </w:tc>
              <w:tc>
                <w:tcPr>
                  <w:tcW w:w="601" w:type="pct"/>
                  <w:noWrap w:val="0"/>
                  <w:vAlign w:val="center"/>
                </w:tcPr>
                <w:p w14:paraId="5607002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+114</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3EF996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sz w:val="21"/>
                      <w:szCs w:val="21"/>
                      <w:u w:val="none"/>
                      <w:lang w:val="en-US" w:eastAsia="zh-CN"/>
                    </w:rPr>
                    <w:t>5万个</w:t>
                  </w:r>
                </w:p>
              </w:tc>
              <w:tc>
                <w:tcPr>
                  <w:tcW w:w="701" w:type="pct"/>
                  <w:vMerge w:val="restart"/>
                  <w:noWrap w:val="0"/>
                  <w:vAlign w:val="center"/>
                </w:tcPr>
                <w:p w14:paraId="18E934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sz w:val="21"/>
                      <w:szCs w:val="21"/>
                      <w:u w:val="none"/>
                      <w:lang w:val="en-US" w:eastAsia="zh-CN"/>
                    </w:rPr>
                    <w:t>原料堆</w:t>
                  </w:r>
                  <w:r>
                    <w:rPr>
                      <w:rFonts w:hint="eastAsia" w:ascii="Times New Roman" w:hAnsi="Times New Roman" w:eastAsia="仿宋" w:cs="Times New Roman"/>
                      <w:i w:val="0"/>
                      <w:color w:val="auto"/>
                      <w:sz w:val="21"/>
                      <w:szCs w:val="21"/>
                      <w:u w:val="none"/>
                      <w:lang w:val="en-US" w:eastAsia="zh-CN"/>
                    </w:rPr>
                    <w:t>场</w:t>
                  </w:r>
                </w:p>
              </w:tc>
              <w:tc>
                <w:tcPr>
                  <w:tcW w:w="409" w:type="pct"/>
                  <w:vMerge w:val="restart"/>
                  <w:noWrap w:val="0"/>
                  <w:vAlign w:val="center"/>
                </w:tcPr>
                <w:p w14:paraId="7BE856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i w:val="0"/>
                      <w:color w:val="auto"/>
                      <w:kern w:val="2"/>
                      <w:sz w:val="21"/>
                      <w:szCs w:val="21"/>
                      <w:u w:val="none"/>
                      <w:lang w:val="en-US" w:eastAsia="zh-CN" w:bidi="ar-SA"/>
                    </w:rPr>
                  </w:pPr>
                  <w:r>
                    <w:rPr>
                      <w:rFonts w:hint="default" w:ascii="Times New Roman" w:hAnsi="Times New Roman" w:eastAsia="仿宋" w:cs="Times New Roman"/>
                      <w:i w:val="0"/>
                      <w:color w:val="auto"/>
                      <w:sz w:val="21"/>
                      <w:szCs w:val="21"/>
                      <w:u w:val="none"/>
                      <w:lang w:val="en-US" w:eastAsia="zh-CN"/>
                    </w:rPr>
                    <w:t>外购汽运</w:t>
                  </w:r>
                </w:p>
              </w:tc>
            </w:tr>
            <w:tr w14:paraId="10515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455E70B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转子</w:t>
                  </w:r>
                </w:p>
              </w:tc>
              <w:tc>
                <w:tcPr>
                  <w:tcW w:w="1059" w:type="pct"/>
                  <w:noWrap w:val="0"/>
                  <w:vAlign w:val="center"/>
                </w:tcPr>
                <w:p w14:paraId="10F8D932">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3CE8CA2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24万个</w:t>
                  </w:r>
                </w:p>
              </w:tc>
              <w:tc>
                <w:tcPr>
                  <w:tcW w:w="625" w:type="pct"/>
                  <w:noWrap w:val="0"/>
                  <w:vAlign w:val="center"/>
                </w:tcPr>
                <w:p w14:paraId="43784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480万个</w:t>
                  </w:r>
                </w:p>
              </w:tc>
              <w:tc>
                <w:tcPr>
                  <w:tcW w:w="601" w:type="pct"/>
                  <w:noWrap w:val="0"/>
                  <w:vAlign w:val="center"/>
                </w:tcPr>
                <w:p w14:paraId="0228A9B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+456</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5F716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sz w:val="21"/>
                      <w:szCs w:val="21"/>
                      <w:u w:val="none"/>
                      <w:lang w:val="en-US" w:eastAsia="zh-CN"/>
                    </w:rPr>
                    <w:t>20万个</w:t>
                  </w:r>
                </w:p>
              </w:tc>
              <w:tc>
                <w:tcPr>
                  <w:tcW w:w="701" w:type="pct"/>
                  <w:vMerge w:val="continue"/>
                  <w:noWrap w:val="0"/>
                  <w:vAlign w:val="center"/>
                </w:tcPr>
                <w:p w14:paraId="633917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2EE2873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37FAA3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35639F6">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磁钢</w:t>
                  </w:r>
                </w:p>
              </w:tc>
              <w:tc>
                <w:tcPr>
                  <w:tcW w:w="1059" w:type="pct"/>
                  <w:noWrap w:val="0"/>
                  <w:vAlign w:val="center"/>
                </w:tcPr>
                <w:p w14:paraId="50C6FC66">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2EBAF90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6万个</w:t>
                  </w:r>
                </w:p>
              </w:tc>
              <w:tc>
                <w:tcPr>
                  <w:tcW w:w="625" w:type="pct"/>
                  <w:noWrap w:val="0"/>
                  <w:vAlign w:val="center"/>
                </w:tcPr>
                <w:p w14:paraId="3D8F8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240万个</w:t>
                  </w:r>
                </w:p>
              </w:tc>
              <w:tc>
                <w:tcPr>
                  <w:tcW w:w="601" w:type="pct"/>
                  <w:noWrap w:val="0"/>
                  <w:vAlign w:val="center"/>
                </w:tcPr>
                <w:p w14:paraId="178BC6D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+234</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06242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sz w:val="21"/>
                      <w:szCs w:val="21"/>
                      <w:u w:val="none"/>
                      <w:lang w:val="en-US" w:eastAsia="zh-CN"/>
                    </w:rPr>
                    <w:t>10万个</w:t>
                  </w:r>
                </w:p>
              </w:tc>
              <w:tc>
                <w:tcPr>
                  <w:tcW w:w="701" w:type="pct"/>
                  <w:vMerge w:val="continue"/>
                  <w:noWrap w:val="0"/>
                  <w:vAlign w:val="center"/>
                </w:tcPr>
                <w:p w14:paraId="0CBC62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48D56EFE">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53E31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00ACE876">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端盖</w:t>
                  </w:r>
                </w:p>
              </w:tc>
              <w:tc>
                <w:tcPr>
                  <w:tcW w:w="1059" w:type="pct"/>
                  <w:noWrap w:val="0"/>
                  <w:vAlign w:val="center"/>
                </w:tcPr>
                <w:p w14:paraId="69117748">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14273C1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12万个</w:t>
                  </w:r>
                </w:p>
              </w:tc>
              <w:tc>
                <w:tcPr>
                  <w:tcW w:w="625" w:type="pct"/>
                  <w:noWrap w:val="0"/>
                  <w:vAlign w:val="center"/>
                </w:tcPr>
                <w:p w14:paraId="7C00A7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240万个</w:t>
                  </w:r>
                </w:p>
              </w:tc>
              <w:tc>
                <w:tcPr>
                  <w:tcW w:w="601" w:type="pct"/>
                  <w:noWrap w:val="0"/>
                  <w:vAlign w:val="center"/>
                </w:tcPr>
                <w:p w14:paraId="58CAB3A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+228</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1022E1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sz w:val="21"/>
                      <w:szCs w:val="21"/>
                      <w:u w:val="none"/>
                      <w:lang w:val="en-US" w:eastAsia="zh-CN"/>
                    </w:rPr>
                    <w:t>10万个</w:t>
                  </w:r>
                </w:p>
              </w:tc>
              <w:tc>
                <w:tcPr>
                  <w:tcW w:w="701" w:type="pct"/>
                  <w:vMerge w:val="continue"/>
                  <w:noWrap w:val="0"/>
                  <w:vAlign w:val="center"/>
                </w:tcPr>
                <w:p w14:paraId="217DC2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73D9CCE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74B84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9A0986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引线</w:t>
                  </w:r>
                </w:p>
              </w:tc>
              <w:tc>
                <w:tcPr>
                  <w:tcW w:w="1059" w:type="pct"/>
                  <w:noWrap w:val="0"/>
                  <w:vAlign w:val="center"/>
                </w:tcPr>
                <w:p w14:paraId="24A5335D">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638551E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6万个</w:t>
                  </w:r>
                </w:p>
              </w:tc>
              <w:tc>
                <w:tcPr>
                  <w:tcW w:w="625" w:type="pct"/>
                  <w:noWrap w:val="0"/>
                  <w:vAlign w:val="center"/>
                </w:tcPr>
                <w:p w14:paraId="15840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120万个</w:t>
                  </w:r>
                </w:p>
              </w:tc>
              <w:tc>
                <w:tcPr>
                  <w:tcW w:w="601" w:type="pct"/>
                  <w:noWrap w:val="0"/>
                  <w:vAlign w:val="center"/>
                </w:tcPr>
                <w:p w14:paraId="361E211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+114</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5A692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sz w:val="21"/>
                      <w:szCs w:val="21"/>
                      <w:u w:val="none"/>
                      <w:lang w:val="en-US" w:eastAsia="zh-CN"/>
                    </w:rPr>
                    <w:t>5万个</w:t>
                  </w:r>
                </w:p>
              </w:tc>
              <w:tc>
                <w:tcPr>
                  <w:tcW w:w="701" w:type="pct"/>
                  <w:vMerge w:val="continue"/>
                  <w:noWrap w:val="0"/>
                  <w:vAlign w:val="center"/>
                </w:tcPr>
                <w:p w14:paraId="6D92F5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62810E7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47BC8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586EE8D7">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轴</w:t>
                  </w:r>
                </w:p>
              </w:tc>
              <w:tc>
                <w:tcPr>
                  <w:tcW w:w="1059" w:type="pct"/>
                  <w:noWrap w:val="0"/>
                  <w:vAlign w:val="center"/>
                </w:tcPr>
                <w:p w14:paraId="34F76A7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13786DF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6万个</w:t>
                  </w:r>
                </w:p>
              </w:tc>
              <w:tc>
                <w:tcPr>
                  <w:tcW w:w="625" w:type="pct"/>
                  <w:noWrap w:val="0"/>
                  <w:vAlign w:val="center"/>
                </w:tcPr>
                <w:p w14:paraId="0AA756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120万个</w:t>
                  </w:r>
                </w:p>
              </w:tc>
              <w:tc>
                <w:tcPr>
                  <w:tcW w:w="601" w:type="pct"/>
                  <w:noWrap w:val="0"/>
                  <w:vAlign w:val="center"/>
                </w:tcPr>
                <w:p w14:paraId="3C6271E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+114</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375478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5万个</w:t>
                  </w:r>
                </w:p>
              </w:tc>
              <w:tc>
                <w:tcPr>
                  <w:tcW w:w="701" w:type="pct"/>
                  <w:vMerge w:val="continue"/>
                  <w:noWrap w:val="0"/>
                  <w:vAlign w:val="center"/>
                </w:tcPr>
                <w:p w14:paraId="6F5F8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208E36A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0D635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FDBA15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螺丝</w:t>
                  </w:r>
                </w:p>
              </w:tc>
              <w:tc>
                <w:tcPr>
                  <w:tcW w:w="1059" w:type="pct"/>
                  <w:noWrap w:val="0"/>
                  <w:vAlign w:val="center"/>
                </w:tcPr>
                <w:p w14:paraId="19750B14">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578E6DA9">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54万个</w:t>
                  </w:r>
                </w:p>
              </w:tc>
              <w:tc>
                <w:tcPr>
                  <w:tcW w:w="625" w:type="pct"/>
                  <w:noWrap w:val="0"/>
                  <w:vAlign w:val="center"/>
                </w:tcPr>
                <w:p w14:paraId="74645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680万个</w:t>
                  </w:r>
                </w:p>
              </w:tc>
              <w:tc>
                <w:tcPr>
                  <w:tcW w:w="601" w:type="pct"/>
                  <w:noWrap w:val="0"/>
                  <w:vAlign w:val="center"/>
                </w:tcPr>
                <w:p w14:paraId="70EA4D65">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+626</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1F65A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32万个</w:t>
                  </w:r>
                </w:p>
              </w:tc>
              <w:tc>
                <w:tcPr>
                  <w:tcW w:w="701" w:type="pct"/>
                  <w:vMerge w:val="continue"/>
                  <w:noWrap w:val="0"/>
                  <w:vAlign w:val="center"/>
                </w:tcPr>
                <w:p w14:paraId="364352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3847F26A">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1390F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24A8A01">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散热器</w:t>
                  </w:r>
                </w:p>
              </w:tc>
              <w:tc>
                <w:tcPr>
                  <w:tcW w:w="1059" w:type="pct"/>
                  <w:noWrap w:val="0"/>
                  <w:vAlign w:val="center"/>
                </w:tcPr>
                <w:p w14:paraId="6EBC10F7">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7AC4F73D">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5万个</w:t>
                  </w:r>
                </w:p>
              </w:tc>
              <w:tc>
                <w:tcPr>
                  <w:tcW w:w="625" w:type="pct"/>
                  <w:noWrap w:val="0"/>
                  <w:vAlign w:val="center"/>
                </w:tcPr>
                <w:p w14:paraId="6A0E69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30万个</w:t>
                  </w:r>
                </w:p>
              </w:tc>
              <w:tc>
                <w:tcPr>
                  <w:tcW w:w="601" w:type="pct"/>
                  <w:noWrap w:val="0"/>
                  <w:vAlign w:val="center"/>
                </w:tcPr>
                <w:p w14:paraId="1933CE8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+25</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784FC3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3万个</w:t>
                  </w:r>
                </w:p>
              </w:tc>
              <w:tc>
                <w:tcPr>
                  <w:tcW w:w="701" w:type="pct"/>
                  <w:vMerge w:val="continue"/>
                  <w:noWrap w:val="0"/>
                  <w:vAlign w:val="center"/>
                </w:tcPr>
                <w:p w14:paraId="471C8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7925CF9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683BA9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5B80E2B5">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端子</w:t>
                  </w:r>
                </w:p>
              </w:tc>
              <w:tc>
                <w:tcPr>
                  <w:tcW w:w="1059" w:type="pct"/>
                  <w:noWrap w:val="0"/>
                  <w:vAlign w:val="center"/>
                </w:tcPr>
                <w:p w14:paraId="551B200C">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0208CCF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5万个</w:t>
                  </w:r>
                </w:p>
              </w:tc>
              <w:tc>
                <w:tcPr>
                  <w:tcW w:w="625" w:type="pct"/>
                  <w:noWrap w:val="0"/>
                  <w:vAlign w:val="center"/>
                </w:tcPr>
                <w:p w14:paraId="022D6C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100万个</w:t>
                  </w:r>
                </w:p>
              </w:tc>
              <w:tc>
                <w:tcPr>
                  <w:tcW w:w="601" w:type="pct"/>
                  <w:noWrap w:val="0"/>
                  <w:vAlign w:val="center"/>
                </w:tcPr>
                <w:p w14:paraId="78737A31">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+95</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591AD5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5万个</w:t>
                  </w:r>
                </w:p>
              </w:tc>
              <w:tc>
                <w:tcPr>
                  <w:tcW w:w="701" w:type="pct"/>
                  <w:vMerge w:val="continue"/>
                  <w:noWrap w:val="0"/>
                  <w:vAlign w:val="center"/>
                </w:tcPr>
                <w:p w14:paraId="629BF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snapToGrid w:val="0"/>
                      <w:color w:val="auto"/>
                      <w:kern w:val="0"/>
                      <w:sz w:val="21"/>
                      <w:szCs w:val="21"/>
                      <w:lang w:val="en-US" w:eastAsia="zh-CN" w:bidi="ar-SA"/>
                    </w:rPr>
                  </w:pPr>
                </w:p>
              </w:tc>
              <w:tc>
                <w:tcPr>
                  <w:tcW w:w="409" w:type="pct"/>
                  <w:vMerge w:val="continue"/>
                  <w:noWrap w:val="0"/>
                  <w:vAlign w:val="center"/>
                </w:tcPr>
                <w:p w14:paraId="348F181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091E7E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5C7E01C7">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rPr>
                  </w:pPr>
                  <w:r>
                    <w:rPr>
                      <w:rFonts w:hint="default" w:ascii="Times New Roman" w:hAnsi="Times New Roman" w:eastAsia="仿宋" w:cs="Times New Roman"/>
                      <w:snapToGrid w:val="0"/>
                      <w:color w:val="auto"/>
                      <w:kern w:val="0"/>
                      <w:sz w:val="21"/>
                      <w:szCs w:val="21"/>
                      <w:lang w:val="en-US" w:eastAsia="zh-CN"/>
                    </w:rPr>
                    <w:t>线路板</w:t>
                  </w:r>
                </w:p>
              </w:tc>
              <w:tc>
                <w:tcPr>
                  <w:tcW w:w="1059" w:type="pct"/>
                  <w:noWrap w:val="0"/>
                  <w:vAlign w:val="center"/>
                </w:tcPr>
                <w:p w14:paraId="19786D8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541B3132">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r>
                    <w:rPr>
                      <w:rFonts w:hint="default" w:ascii="Times New Roman" w:hAnsi="Times New Roman" w:eastAsia="仿宋" w:cs="Times New Roman"/>
                      <w:snapToGrid w:val="0"/>
                      <w:color w:val="auto"/>
                      <w:kern w:val="0"/>
                      <w:sz w:val="21"/>
                      <w:szCs w:val="21"/>
                      <w:lang w:val="en-US" w:eastAsia="zh-CN" w:bidi="ar-SA"/>
                    </w:rPr>
                    <w:t>万个</w:t>
                  </w:r>
                </w:p>
              </w:tc>
              <w:tc>
                <w:tcPr>
                  <w:tcW w:w="625" w:type="pct"/>
                  <w:noWrap w:val="0"/>
                  <w:vAlign w:val="center"/>
                </w:tcPr>
                <w:p w14:paraId="2C43DC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30万个</w:t>
                  </w:r>
                </w:p>
              </w:tc>
              <w:tc>
                <w:tcPr>
                  <w:tcW w:w="601" w:type="pct"/>
                  <w:noWrap w:val="0"/>
                  <w:vAlign w:val="center"/>
                </w:tcPr>
                <w:p w14:paraId="4FF2E88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+25</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7115C2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3万个</w:t>
                  </w:r>
                </w:p>
              </w:tc>
              <w:tc>
                <w:tcPr>
                  <w:tcW w:w="701" w:type="pct"/>
                  <w:vMerge w:val="continue"/>
                  <w:noWrap w:val="0"/>
                  <w:vAlign w:val="center"/>
                </w:tcPr>
                <w:p w14:paraId="5FFBCF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409" w:type="pct"/>
                  <w:vMerge w:val="continue"/>
                  <w:noWrap w:val="0"/>
                  <w:vAlign w:val="center"/>
                </w:tcPr>
                <w:p w14:paraId="3ED45FBB">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6D91A0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2D65895A">
                  <w:pPr>
                    <w:keepNext w:val="0"/>
                    <w:keepLines w:val="0"/>
                    <w:widowControl/>
                    <w:suppressLineNumbers w:val="0"/>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外壳</w:t>
                  </w:r>
                </w:p>
              </w:tc>
              <w:tc>
                <w:tcPr>
                  <w:tcW w:w="1059" w:type="pct"/>
                  <w:noWrap w:val="0"/>
                  <w:vAlign w:val="center"/>
                </w:tcPr>
                <w:p w14:paraId="1EA04826">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29" w:type="pct"/>
                  <w:noWrap w:val="0"/>
                  <w:vAlign w:val="center"/>
                </w:tcPr>
                <w:p w14:paraId="465FFAB4">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5</w:t>
                  </w:r>
                  <w:r>
                    <w:rPr>
                      <w:rFonts w:hint="default" w:ascii="Times New Roman" w:hAnsi="Times New Roman" w:eastAsia="仿宋" w:cs="Times New Roman"/>
                      <w:snapToGrid w:val="0"/>
                      <w:color w:val="auto"/>
                      <w:kern w:val="0"/>
                      <w:sz w:val="21"/>
                      <w:szCs w:val="21"/>
                      <w:lang w:val="en-US" w:eastAsia="zh-CN" w:bidi="ar-SA"/>
                    </w:rPr>
                    <w:t>万个</w:t>
                  </w:r>
                </w:p>
              </w:tc>
              <w:tc>
                <w:tcPr>
                  <w:tcW w:w="625" w:type="pct"/>
                  <w:noWrap w:val="0"/>
                  <w:vAlign w:val="center"/>
                </w:tcPr>
                <w:p w14:paraId="31481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30万个</w:t>
                  </w:r>
                </w:p>
              </w:tc>
              <w:tc>
                <w:tcPr>
                  <w:tcW w:w="601" w:type="pct"/>
                  <w:noWrap w:val="0"/>
                  <w:vAlign w:val="center"/>
                </w:tcPr>
                <w:p w14:paraId="60C80000">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snapToGrid w:val="0"/>
                      <w:color w:val="auto"/>
                      <w:kern w:val="0"/>
                      <w:sz w:val="21"/>
                      <w:szCs w:val="21"/>
                      <w:lang w:val="en-US" w:eastAsia="zh-CN" w:bidi="ar-SA"/>
                    </w:rPr>
                    <w:t>+25</w:t>
                  </w:r>
                  <w:r>
                    <w:rPr>
                      <w:rFonts w:hint="default" w:ascii="Times New Roman" w:hAnsi="Times New Roman" w:eastAsia="仿宋" w:cs="Times New Roman"/>
                      <w:i w:val="0"/>
                      <w:color w:val="auto"/>
                      <w:kern w:val="0"/>
                      <w:sz w:val="21"/>
                      <w:szCs w:val="21"/>
                      <w:u w:val="none"/>
                      <w:lang w:val="en-US" w:eastAsia="zh-CN" w:bidi="ar"/>
                    </w:rPr>
                    <w:t>万个</w:t>
                  </w:r>
                </w:p>
              </w:tc>
              <w:tc>
                <w:tcPr>
                  <w:tcW w:w="664" w:type="pct"/>
                  <w:noWrap w:val="0"/>
                  <w:vAlign w:val="center"/>
                </w:tcPr>
                <w:p w14:paraId="17220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3万个</w:t>
                  </w:r>
                </w:p>
              </w:tc>
              <w:tc>
                <w:tcPr>
                  <w:tcW w:w="701" w:type="pct"/>
                  <w:vMerge w:val="continue"/>
                  <w:noWrap w:val="0"/>
                  <w:vAlign w:val="center"/>
                </w:tcPr>
                <w:p w14:paraId="4564A6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仿宋" w:cs="Times New Roman"/>
                      <w:color w:val="auto"/>
                      <w:kern w:val="0"/>
                      <w:sz w:val="21"/>
                      <w:szCs w:val="21"/>
                      <w:lang w:val="en-US" w:eastAsia="zh-CN" w:bidi="ar-SA"/>
                    </w:rPr>
                  </w:pPr>
                </w:p>
              </w:tc>
              <w:tc>
                <w:tcPr>
                  <w:tcW w:w="409" w:type="pct"/>
                  <w:vMerge w:val="continue"/>
                  <w:noWrap w:val="0"/>
                  <w:vAlign w:val="center"/>
                </w:tcPr>
                <w:p w14:paraId="331AD95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22C2F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8C6D58C">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bidi="ar-SA"/>
                    </w:rPr>
                    <w:t>Luna-202</w:t>
                  </w:r>
                  <w:r>
                    <w:rPr>
                      <w:rFonts w:hint="default" w:ascii="Times New Roman" w:hAnsi="Times New Roman" w:eastAsia="仿宋" w:cs="Times New Roman"/>
                      <w:snapToGrid w:val="0"/>
                      <w:color w:val="auto"/>
                      <w:kern w:val="0"/>
                      <w:sz w:val="21"/>
                      <w:szCs w:val="21"/>
                      <w:lang w:val="en-US" w:eastAsia="zh-CN"/>
                    </w:rPr>
                    <w:t>清洗剂</w:t>
                  </w:r>
                </w:p>
              </w:tc>
              <w:tc>
                <w:tcPr>
                  <w:tcW w:w="1059" w:type="pct"/>
                  <w:noWrap w:val="0"/>
                  <w:vAlign w:val="center"/>
                </w:tcPr>
                <w:p w14:paraId="60B9E52B">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聚氧乙烯类表面活性剂5%-10%，脂肪酸盐5%-15%，烷基多苷5%-20%；其余为水，不含N、P；25kg/桶</w:t>
                  </w:r>
                </w:p>
              </w:tc>
              <w:tc>
                <w:tcPr>
                  <w:tcW w:w="529" w:type="pct"/>
                  <w:noWrap w:val="0"/>
                  <w:vAlign w:val="center"/>
                </w:tcPr>
                <w:p w14:paraId="6D26D3ED">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0.17吨</w:t>
                  </w:r>
                </w:p>
              </w:tc>
              <w:tc>
                <w:tcPr>
                  <w:tcW w:w="625" w:type="pct"/>
                  <w:noWrap w:val="0"/>
                  <w:vAlign w:val="center"/>
                </w:tcPr>
                <w:p w14:paraId="7DADE1A5">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3吨</w:t>
                  </w:r>
                </w:p>
              </w:tc>
              <w:tc>
                <w:tcPr>
                  <w:tcW w:w="601" w:type="pct"/>
                  <w:noWrap w:val="0"/>
                  <w:vAlign w:val="center"/>
                </w:tcPr>
                <w:p w14:paraId="519E7EAD">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+2.83吨</w:t>
                  </w:r>
                </w:p>
              </w:tc>
              <w:tc>
                <w:tcPr>
                  <w:tcW w:w="664" w:type="pct"/>
                  <w:noWrap w:val="0"/>
                  <w:vAlign w:val="center"/>
                </w:tcPr>
                <w:p w14:paraId="5F4F663A">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bidi="ar-SA"/>
                    </w:rPr>
                    <w:t>0.3吨</w:t>
                  </w:r>
                </w:p>
              </w:tc>
              <w:tc>
                <w:tcPr>
                  <w:tcW w:w="701" w:type="pct"/>
                  <w:vMerge w:val="continue"/>
                  <w:noWrap w:val="0"/>
                  <w:vAlign w:val="center"/>
                </w:tcPr>
                <w:p w14:paraId="37B8B390">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0"/>
                      <w:sz w:val="21"/>
                      <w:szCs w:val="21"/>
                      <w:lang w:val="en-US" w:eastAsia="zh-CN" w:bidi="ar-SA"/>
                    </w:rPr>
                  </w:pPr>
                </w:p>
              </w:tc>
              <w:tc>
                <w:tcPr>
                  <w:tcW w:w="409" w:type="pct"/>
                  <w:vMerge w:val="continue"/>
                  <w:noWrap w:val="0"/>
                  <w:vAlign w:val="center"/>
                </w:tcPr>
                <w:p w14:paraId="62396A8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6AEA21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6633C610">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切削液</w:t>
                  </w:r>
                </w:p>
              </w:tc>
              <w:tc>
                <w:tcPr>
                  <w:tcW w:w="1059" w:type="pct"/>
                  <w:noWrap w:val="0"/>
                  <w:vAlign w:val="center"/>
                </w:tcPr>
                <w:p w14:paraId="771543B0">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20kg/桶</w:t>
                  </w:r>
                </w:p>
              </w:tc>
              <w:tc>
                <w:tcPr>
                  <w:tcW w:w="529" w:type="pct"/>
                  <w:noWrap w:val="0"/>
                  <w:vAlign w:val="center"/>
                </w:tcPr>
                <w:p w14:paraId="3B7E757F">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0.1吨</w:t>
                  </w:r>
                </w:p>
              </w:tc>
              <w:tc>
                <w:tcPr>
                  <w:tcW w:w="625" w:type="pct"/>
                  <w:noWrap w:val="0"/>
                  <w:vAlign w:val="center"/>
                </w:tcPr>
                <w:p w14:paraId="4918D18F">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0.5吨</w:t>
                  </w:r>
                </w:p>
              </w:tc>
              <w:tc>
                <w:tcPr>
                  <w:tcW w:w="601" w:type="pct"/>
                  <w:noWrap w:val="0"/>
                  <w:vAlign w:val="center"/>
                </w:tcPr>
                <w:p w14:paraId="00EDB35D">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+0.4吨</w:t>
                  </w:r>
                </w:p>
              </w:tc>
              <w:tc>
                <w:tcPr>
                  <w:tcW w:w="664" w:type="pct"/>
                  <w:noWrap w:val="0"/>
                  <w:vAlign w:val="center"/>
                </w:tcPr>
                <w:p w14:paraId="6B3695C5">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0.1吨</w:t>
                  </w:r>
                </w:p>
              </w:tc>
              <w:tc>
                <w:tcPr>
                  <w:tcW w:w="701" w:type="pct"/>
                  <w:vMerge w:val="continue"/>
                  <w:noWrap w:val="0"/>
                  <w:vAlign w:val="center"/>
                </w:tcPr>
                <w:p w14:paraId="5165AEC5">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rPr>
                  </w:pPr>
                </w:p>
              </w:tc>
              <w:tc>
                <w:tcPr>
                  <w:tcW w:w="409" w:type="pct"/>
                  <w:vMerge w:val="continue"/>
                  <w:noWrap w:val="0"/>
                  <w:vAlign w:val="center"/>
                </w:tcPr>
                <w:p w14:paraId="10016284">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32CED5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44DA1D63">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珩磨油</w:t>
                  </w:r>
                </w:p>
              </w:tc>
              <w:tc>
                <w:tcPr>
                  <w:tcW w:w="1059" w:type="pct"/>
                  <w:noWrap w:val="0"/>
                  <w:vAlign w:val="center"/>
                </w:tcPr>
                <w:p w14:paraId="308851E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170kg/桶</w:t>
                  </w:r>
                </w:p>
              </w:tc>
              <w:tc>
                <w:tcPr>
                  <w:tcW w:w="529" w:type="pct"/>
                  <w:noWrap w:val="0"/>
                  <w:vAlign w:val="center"/>
                </w:tcPr>
                <w:p w14:paraId="77A9DCD9">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.1</w:t>
                  </w:r>
                </w:p>
              </w:tc>
              <w:tc>
                <w:tcPr>
                  <w:tcW w:w="625" w:type="pct"/>
                  <w:noWrap w:val="0"/>
                  <w:vAlign w:val="center"/>
                </w:tcPr>
                <w:p w14:paraId="6B9DB21A">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lang w:val="en-US" w:eastAsia="zh-CN"/>
                    </w:rPr>
                    <w:t>吨</w:t>
                  </w:r>
                </w:p>
              </w:tc>
              <w:tc>
                <w:tcPr>
                  <w:tcW w:w="601" w:type="pct"/>
                  <w:noWrap w:val="0"/>
                  <w:vAlign w:val="center"/>
                </w:tcPr>
                <w:p w14:paraId="1D073DE7">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lang w:val="en-US" w:eastAsia="zh-CN"/>
                    </w:rPr>
                    <w:t>吨</w:t>
                  </w:r>
                </w:p>
              </w:tc>
              <w:tc>
                <w:tcPr>
                  <w:tcW w:w="664" w:type="pct"/>
                  <w:noWrap w:val="0"/>
                  <w:vAlign w:val="center"/>
                </w:tcPr>
                <w:p w14:paraId="7368F875">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0.17吨</w:t>
                  </w:r>
                </w:p>
              </w:tc>
              <w:tc>
                <w:tcPr>
                  <w:tcW w:w="701" w:type="pct"/>
                  <w:vMerge w:val="continue"/>
                  <w:noWrap w:val="0"/>
                  <w:vAlign w:val="center"/>
                </w:tcPr>
                <w:p w14:paraId="757FDC2D">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p>
              </w:tc>
              <w:tc>
                <w:tcPr>
                  <w:tcW w:w="409" w:type="pct"/>
                  <w:vMerge w:val="continue"/>
                  <w:noWrap w:val="0"/>
                  <w:vAlign w:val="center"/>
                </w:tcPr>
                <w:p w14:paraId="5D85CCD8">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33297F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09E36948">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液压油</w:t>
                  </w:r>
                </w:p>
              </w:tc>
              <w:tc>
                <w:tcPr>
                  <w:tcW w:w="1059" w:type="pct"/>
                  <w:noWrap w:val="0"/>
                  <w:vAlign w:val="center"/>
                </w:tcPr>
                <w:p w14:paraId="6EEBF7E4">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lang w:val="en-US" w:eastAsia="zh-CN"/>
                    </w:rPr>
                    <w:t>170kg/桶</w:t>
                  </w:r>
                </w:p>
              </w:tc>
              <w:tc>
                <w:tcPr>
                  <w:tcW w:w="529" w:type="pct"/>
                  <w:noWrap w:val="0"/>
                  <w:vAlign w:val="center"/>
                </w:tcPr>
                <w:p w14:paraId="183A4ECE">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.1</w:t>
                  </w:r>
                </w:p>
              </w:tc>
              <w:tc>
                <w:tcPr>
                  <w:tcW w:w="625" w:type="pct"/>
                  <w:noWrap w:val="0"/>
                  <w:vAlign w:val="center"/>
                </w:tcPr>
                <w:p w14:paraId="07DD7698">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6</w:t>
                  </w:r>
                  <w:r>
                    <w:rPr>
                      <w:rFonts w:hint="default" w:ascii="Times New Roman" w:hAnsi="Times New Roman" w:eastAsia="仿宋" w:cs="Times New Roman"/>
                      <w:color w:val="auto"/>
                      <w:sz w:val="21"/>
                      <w:szCs w:val="21"/>
                      <w:highlight w:val="none"/>
                      <w:lang w:val="en-US" w:eastAsia="zh-CN"/>
                    </w:rPr>
                    <w:t>吨</w:t>
                  </w:r>
                </w:p>
              </w:tc>
              <w:tc>
                <w:tcPr>
                  <w:tcW w:w="601" w:type="pct"/>
                  <w:noWrap w:val="0"/>
                  <w:vAlign w:val="center"/>
                </w:tcPr>
                <w:p w14:paraId="538EBB62">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ascii="Times New Roman" w:hAnsi="Times New Roman" w:eastAsia="仿宋" w:cs="Times New Roman"/>
                      <w:color w:val="auto"/>
                      <w:sz w:val="21"/>
                      <w:szCs w:val="21"/>
                      <w:highlight w:val="none"/>
                      <w:lang w:val="en-US" w:eastAsia="zh-CN"/>
                    </w:rPr>
                    <w:t>5</w:t>
                  </w:r>
                  <w:r>
                    <w:rPr>
                      <w:rFonts w:hint="default" w:ascii="Times New Roman" w:hAnsi="Times New Roman" w:eastAsia="仿宋" w:cs="Times New Roman"/>
                      <w:color w:val="auto"/>
                      <w:sz w:val="21"/>
                      <w:szCs w:val="21"/>
                      <w:highlight w:val="none"/>
                      <w:lang w:val="en-US" w:eastAsia="zh-CN"/>
                    </w:rPr>
                    <w:t>吨</w:t>
                  </w:r>
                </w:p>
              </w:tc>
              <w:tc>
                <w:tcPr>
                  <w:tcW w:w="664" w:type="pct"/>
                  <w:noWrap w:val="0"/>
                  <w:vAlign w:val="center"/>
                </w:tcPr>
                <w:p w14:paraId="3D5D5505">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0.17吨</w:t>
                  </w:r>
                </w:p>
              </w:tc>
              <w:tc>
                <w:tcPr>
                  <w:tcW w:w="701" w:type="pct"/>
                  <w:vMerge w:val="continue"/>
                  <w:noWrap w:val="0"/>
                  <w:vAlign w:val="center"/>
                </w:tcPr>
                <w:p w14:paraId="61C60B34">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rPr>
                  </w:pPr>
                </w:p>
              </w:tc>
              <w:tc>
                <w:tcPr>
                  <w:tcW w:w="409" w:type="pct"/>
                  <w:vMerge w:val="continue"/>
                  <w:noWrap w:val="0"/>
                  <w:vAlign w:val="center"/>
                </w:tcPr>
                <w:p w14:paraId="69BFD7C0">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bidi="ar-SA"/>
                    </w:rPr>
                  </w:pPr>
                </w:p>
              </w:tc>
            </w:tr>
            <w:tr w14:paraId="58C18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3AC9A1B2">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锡条</w:t>
                  </w:r>
                </w:p>
              </w:tc>
              <w:tc>
                <w:tcPr>
                  <w:tcW w:w="1059" w:type="pct"/>
                  <w:noWrap w:val="0"/>
                  <w:vAlign w:val="center"/>
                </w:tcPr>
                <w:p w14:paraId="4F970904">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Sn99.9%；20kg/箱</w:t>
                  </w:r>
                </w:p>
              </w:tc>
              <w:tc>
                <w:tcPr>
                  <w:tcW w:w="529" w:type="pct"/>
                  <w:noWrap w:val="0"/>
                  <w:vAlign w:val="center"/>
                </w:tcPr>
                <w:p w14:paraId="099681F6">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0.1吨</w:t>
                  </w:r>
                </w:p>
              </w:tc>
              <w:tc>
                <w:tcPr>
                  <w:tcW w:w="625" w:type="pct"/>
                  <w:noWrap w:val="0"/>
                  <w:vAlign w:val="center"/>
                </w:tcPr>
                <w:p w14:paraId="4387D447">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0.8吨</w:t>
                  </w:r>
                </w:p>
              </w:tc>
              <w:tc>
                <w:tcPr>
                  <w:tcW w:w="601" w:type="pct"/>
                  <w:noWrap w:val="0"/>
                  <w:vAlign w:val="center"/>
                </w:tcPr>
                <w:p w14:paraId="7452C6FC">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+0.7吨</w:t>
                  </w:r>
                </w:p>
              </w:tc>
              <w:tc>
                <w:tcPr>
                  <w:tcW w:w="664" w:type="pct"/>
                  <w:noWrap w:val="0"/>
                  <w:vAlign w:val="center"/>
                </w:tcPr>
                <w:p w14:paraId="57F4D690">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0.2吨</w:t>
                  </w:r>
                </w:p>
              </w:tc>
              <w:tc>
                <w:tcPr>
                  <w:tcW w:w="701" w:type="pct"/>
                  <w:vMerge w:val="continue"/>
                  <w:noWrap w:val="0"/>
                  <w:vAlign w:val="center"/>
                </w:tcPr>
                <w:p w14:paraId="00458E7E">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p>
              </w:tc>
              <w:tc>
                <w:tcPr>
                  <w:tcW w:w="409" w:type="pct"/>
                  <w:vMerge w:val="continue"/>
                  <w:noWrap w:val="0"/>
                  <w:vAlign w:val="center"/>
                </w:tcPr>
                <w:p w14:paraId="647E8883">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rPr>
                  </w:pPr>
                </w:p>
              </w:tc>
            </w:tr>
            <w:tr w14:paraId="16245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408" w:type="pct"/>
                  <w:noWrap w:val="0"/>
                  <w:vAlign w:val="center"/>
                </w:tcPr>
                <w:p w14:paraId="4FA27C2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胶水</w:t>
                  </w:r>
                </w:p>
              </w:tc>
              <w:tc>
                <w:tcPr>
                  <w:tcW w:w="1059" w:type="pct"/>
                  <w:noWrap w:val="0"/>
                  <w:vAlign w:val="center"/>
                </w:tcPr>
                <w:p w14:paraId="77FCB85B">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双酚A45~60%、胺类固化剂</w:t>
                  </w:r>
                  <w:r>
                    <w:rPr>
                      <w:rFonts w:hint="default" w:ascii="Times New Roman" w:hAnsi="Times New Roman" w:eastAsia="仿宋" w:cs="Times New Roman"/>
                      <w:color w:val="auto"/>
                      <w:sz w:val="21"/>
                      <w:szCs w:val="21"/>
                      <w:lang w:val="en-US" w:eastAsia="zh-CN"/>
                    </w:rPr>
                    <w:t>&lt;</w:t>
                  </w:r>
                  <w:r>
                    <w:rPr>
                      <w:rFonts w:hint="eastAsia" w:ascii="Times New Roman" w:hAnsi="Times New Roman" w:eastAsia="仿宋" w:cs="Times New Roman"/>
                      <w:color w:val="auto"/>
                      <w:sz w:val="21"/>
                      <w:szCs w:val="21"/>
                      <w:lang w:val="en-US" w:eastAsia="zh-CN"/>
                    </w:rPr>
                    <w:t>5%、矿物填充料25~40%、热塑性共聚物1~5%；5.34kg/桶</w:t>
                  </w:r>
                </w:p>
              </w:tc>
              <w:tc>
                <w:tcPr>
                  <w:tcW w:w="529" w:type="pct"/>
                  <w:noWrap w:val="0"/>
                  <w:vAlign w:val="center"/>
                </w:tcPr>
                <w:p w14:paraId="12A2535E">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w:t>
                  </w:r>
                </w:p>
              </w:tc>
              <w:tc>
                <w:tcPr>
                  <w:tcW w:w="625" w:type="pct"/>
                  <w:noWrap w:val="0"/>
                  <w:vAlign w:val="center"/>
                </w:tcPr>
                <w:p w14:paraId="1AB3024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0.12吨</w:t>
                  </w:r>
                </w:p>
              </w:tc>
              <w:tc>
                <w:tcPr>
                  <w:tcW w:w="601" w:type="pct"/>
                  <w:noWrap w:val="0"/>
                  <w:vAlign w:val="center"/>
                </w:tcPr>
                <w:p w14:paraId="2070CDD3">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+0.12吨</w:t>
                  </w:r>
                </w:p>
              </w:tc>
              <w:tc>
                <w:tcPr>
                  <w:tcW w:w="664" w:type="pct"/>
                  <w:noWrap w:val="0"/>
                  <w:vAlign w:val="center"/>
                </w:tcPr>
                <w:p w14:paraId="22CD6213">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ascii="Times New Roman" w:hAnsi="Times New Roman" w:eastAsia="仿宋" w:cs="Times New Roman"/>
                      <w:color w:val="auto"/>
                      <w:sz w:val="21"/>
                      <w:szCs w:val="21"/>
                      <w:lang w:val="en-US" w:eastAsia="zh-CN"/>
                    </w:rPr>
                    <w:t>0.0534吨</w:t>
                  </w:r>
                </w:p>
              </w:tc>
              <w:tc>
                <w:tcPr>
                  <w:tcW w:w="701" w:type="pct"/>
                  <w:vMerge w:val="continue"/>
                  <w:noWrap w:val="0"/>
                  <w:vAlign w:val="center"/>
                </w:tcPr>
                <w:p w14:paraId="7C24A651">
                  <w:pPr>
                    <w:pStyle w:val="83"/>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p>
              </w:tc>
              <w:tc>
                <w:tcPr>
                  <w:tcW w:w="409" w:type="pct"/>
                  <w:vMerge w:val="continue"/>
                  <w:noWrap w:val="0"/>
                  <w:vAlign w:val="center"/>
                </w:tcPr>
                <w:p w14:paraId="049D399F">
                  <w:pPr>
                    <w:keepNext w:val="0"/>
                    <w:keepLines w:val="0"/>
                    <w:pageBreakBefore w:val="0"/>
                    <w:widowControl/>
                    <w:kinsoku/>
                    <w:wordWrap/>
                    <w:overflowPunct/>
                    <w:topLinePunct w:val="0"/>
                    <w:bidi w:val="0"/>
                    <w:adjustRightInd w:val="0"/>
                    <w:snapToGrid w:val="0"/>
                    <w:spacing w:line="240" w:lineRule="auto"/>
                    <w:jc w:val="center"/>
                    <w:textAlignment w:val="auto"/>
                    <w:rPr>
                      <w:rFonts w:hint="default" w:ascii="Times New Roman" w:hAnsi="Times New Roman" w:eastAsia="仿宋" w:cs="Times New Roman"/>
                      <w:snapToGrid w:val="0"/>
                      <w:color w:val="auto"/>
                      <w:kern w:val="0"/>
                      <w:sz w:val="21"/>
                      <w:szCs w:val="21"/>
                      <w:lang w:val="en-US" w:eastAsia="zh-CN"/>
                    </w:rPr>
                  </w:pPr>
                </w:p>
              </w:tc>
            </w:tr>
          </w:tbl>
          <w:p w14:paraId="4DE8D0B8">
            <w:pPr>
              <w:autoSpaceDE w:val="0"/>
              <w:autoSpaceDN w:val="0"/>
              <w:adjustRightInd w:val="0"/>
              <w:snapToGrid w:val="0"/>
              <w:spacing w:line="240" w:lineRule="auto"/>
              <w:jc w:val="both"/>
              <w:rPr>
                <w:rFonts w:hint="eastAsia" w:eastAsia="仿宋" w:cs="Times New Roman"/>
                <w:b/>
                <w:bCs/>
                <w:color w:val="auto"/>
                <w:spacing w:val="-2"/>
                <w:szCs w:val="21"/>
                <w:highlight w:val="none"/>
                <w:lang w:val="en-US" w:eastAsia="zh-CN"/>
              </w:rPr>
            </w:pPr>
            <w:r>
              <w:rPr>
                <w:rFonts w:hint="default" w:ascii="Times New Roman" w:hAnsi="Times New Roman" w:eastAsia="仿宋" w:cs="Times New Roman"/>
                <w:b/>
                <w:bCs/>
                <w:color w:val="auto"/>
                <w:spacing w:val="-2"/>
                <w:szCs w:val="21"/>
                <w:highlight w:val="none"/>
                <w:lang w:val="en-US" w:eastAsia="zh-CN"/>
              </w:rPr>
              <w:t>注：</w:t>
            </w:r>
            <w:r>
              <w:rPr>
                <w:rFonts w:hint="eastAsia" w:eastAsia="仿宋" w:cs="Times New Roman"/>
                <w:b/>
                <w:bCs/>
                <w:color w:val="auto"/>
                <w:spacing w:val="-2"/>
                <w:szCs w:val="21"/>
                <w:highlight w:val="none"/>
                <w:lang w:val="en-US" w:eastAsia="zh-CN"/>
              </w:rPr>
              <w:t>1.</w:t>
            </w:r>
            <w:r>
              <w:rPr>
                <w:rFonts w:hint="default" w:ascii="Times New Roman" w:hAnsi="Times New Roman" w:eastAsia="仿宋" w:cs="Times New Roman"/>
                <w:b/>
                <w:bCs/>
                <w:color w:val="auto"/>
                <w:spacing w:val="-2"/>
                <w:szCs w:val="21"/>
                <w:highlight w:val="none"/>
                <w:lang w:val="en-US" w:eastAsia="zh-CN"/>
              </w:rPr>
              <w:t>本项目使用的Luna-202清洗剂属于水基清洗剂，根据其MSDS可知其主要成分为聚氧乙烯类表面活性剂、脂肪酸盐、烷基多苷，均不属于易挥发物质</w:t>
            </w:r>
            <w:r>
              <w:rPr>
                <w:rFonts w:hint="eastAsia" w:ascii="Times New Roman" w:hAnsi="Times New Roman" w:eastAsia="仿宋" w:cs="Times New Roman"/>
                <w:b/>
                <w:bCs/>
                <w:color w:val="auto"/>
                <w:spacing w:val="-2"/>
                <w:szCs w:val="21"/>
                <w:highlight w:val="none"/>
                <w:lang w:val="en-US" w:eastAsia="zh-CN"/>
              </w:rPr>
              <w:t>，符合</w:t>
            </w:r>
            <w:r>
              <w:rPr>
                <w:rFonts w:hint="default" w:ascii="Times New Roman" w:hAnsi="Times New Roman" w:eastAsia="仿宋" w:cs="Times New Roman"/>
                <w:b/>
                <w:bCs/>
                <w:color w:val="auto"/>
                <w:spacing w:val="-2"/>
                <w:szCs w:val="21"/>
                <w:highlight w:val="none"/>
                <w:lang w:val="en-US" w:eastAsia="zh-CN"/>
              </w:rPr>
              <w:t>《清洗剂挥发性有机化合物含量限制》（GB38508-2020）</w:t>
            </w:r>
            <w:r>
              <w:rPr>
                <w:rFonts w:hint="eastAsia" w:ascii="Times New Roman" w:hAnsi="Times New Roman" w:eastAsia="仿宋" w:cs="Times New Roman"/>
                <w:b/>
                <w:bCs/>
                <w:color w:val="auto"/>
                <w:spacing w:val="-2"/>
                <w:szCs w:val="21"/>
                <w:highlight w:val="none"/>
                <w:lang w:val="en-US" w:eastAsia="zh-CN"/>
              </w:rPr>
              <w:t>相关</w:t>
            </w:r>
            <w:r>
              <w:rPr>
                <w:rFonts w:hint="default" w:ascii="Times New Roman" w:hAnsi="Times New Roman" w:eastAsia="仿宋" w:cs="Times New Roman"/>
                <w:b/>
                <w:bCs/>
                <w:color w:val="auto"/>
                <w:spacing w:val="-2"/>
                <w:szCs w:val="21"/>
                <w:highlight w:val="none"/>
                <w:lang w:val="en-US" w:eastAsia="zh-CN"/>
              </w:rPr>
              <w:t>要求</w:t>
            </w:r>
            <w:r>
              <w:rPr>
                <w:rFonts w:hint="eastAsia" w:eastAsia="仿宋" w:cs="Times New Roman"/>
                <w:b/>
                <w:bCs/>
                <w:color w:val="auto"/>
                <w:spacing w:val="-2"/>
                <w:szCs w:val="21"/>
                <w:highlight w:val="none"/>
                <w:lang w:val="en-US" w:eastAsia="zh-CN"/>
              </w:rPr>
              <w:t>；</w:t>
            </w:r>
          </w:p>
          <w:p w14:paraId="31EC149F">
            <w:pPr>
              <w:autoSpaceDE w:val="0"/>
              <w:autoSpaceDN w:val="0"/>
              <w:adjustRightInd w:val="0"/>
              <w:snapToGrid w:val="0"/>
              <w:spacing w:line="240" w:lineRule="auto"/>
              <w:jc w:val="both"/>
              <w:rPr>
                <w:rFonts w:hint="default" w:ascii="Times New Roman" w:hAnsi="Times New Roman" w:eastAsia="仿宋" w:cs="Times New Roman"/>
                <w:b/>
                <w:bCs/>
                <w:color w:val="auto"/>
                <w:spacing w:val="-2"/>
                <w:szCs w:val="21"/>
                <w:highlight w:val="none"/>
                <w:lang w:val="en-US" w:eastAsia="zh-CN"/>
              </w:rPr>
            </w:pPr>
            <w:r>
              <w:rPr>
                <w:rFonts w:hint="eastAsia" w:eastAsia="仿宋" w:cs="Times New Roman"/>
                <w:b/>
                <w:bCs/>
                <w:color w:val="auto"/>
                <w:spacing w:val="-2"/>
                <w:szCs w:val="21"/>
                <w:highlight w:val="none"/>
                <w:lang w:val="en-US" w:eastAsia="zh-CN"/>
              </w:rPr>
              <w:t>2.根据提供的胶水VOCs检测报告可知，本项目所用胶水VOC含量小于检出限1g/kg，</w:t>
            </w:r>
            <w:r>
              <w:rPr>
                <w:rFonts w:hint="eastAsia" w:ascii="Times New Roman" w:hAnsi="Times New Roman" w:eastAsia="仿宋" w:cs="Times New Roman"/>
                <w:b/>
                <w:bCs/>
                <w:color w:val="auto"/>
                <w:spacing w:val="-2"/>
                <w:szCs w:val="21"/>
                <w:highlight w:val="none"/>
                <w:lang w:val="en-US" w:eastAsia="zh-CN"/>
              </w:rPr>
              <w:t>符合</w:t>
            </w:r>
            <w:r>
              <w:rPr>
                <w:rFonts w:hint="default" w:ascii="Times New Roman" w:hAnsi="Times New Roman" w:eastAsia="仿宋" w:cs="Times New Roman"/>
                <w:b/>
                <w:bCs/>
                <w:color w:val="auto"/>
                <w:spacing w:val="-2"/>
                <w:szCs w:val="21"/>
                <w:highlight w:val="none"/>
                <w:lang w:val="en-US" w:eastAsia="zh-CN"/>
              </w:rPr>
              <w:t>《</w:t>
            </w:r>
            <w:r>
              <w:rPr>
                <w:rFonts w:hint="eastAsia" w:eastAsia="仿宋" w:cs="Times New Roman"/>
                <w:b/>
                <w:bCs/>
                <w:color w:val="auto"/>
                <w:spacing w:val="-2"/>
                <w:szCs w:val="21"/>
                <w:highlight w:val="none"/>
                <w:lang w:val="en-US" w:eastAsia="zh-CN"/>
              </w:rPr>
              <w:t>胶粘剂挥发性有机化合物限量</w:t>
            </w:r>
            <w:r>
              <w:rPr>
                <w:rFonts w:hint="default" w:ascii="Times New Roman" w:hAnsi="Times New Roman" w:eastAsia="仿宋" w:cs="Times New Roman"/>
                <w:b/>
                <w:bCs/>
                <w:color w:val="auto"/>
                <w:spacing w:val="-2"/>
                <w:szCs w:val="21"/>
                <w:highlight w:val="none"/>
                <w:lang w:val="en-US" w:eastAsia="zh-CN"/>
              </w:rPr>
              <w:t>》（GB3</w:t>
            </w:r>
            <w:r>
              <w:rPr>
                <w:rFonts w:hint="eastAsia" w:eastAsia="仿宋" w:cs="Times New Roman"/>
                <w:b/>
                <w:bCs/>
                <w:color w:val="auto"/>
                <w:spacing w:val="-2"/>
                <w:szCs w:val="21"/>
                <w:highlight w:val="none"/>
                <w:lang w:val="en-US" w:eastAsia="zh-CN"/>
              </w:rPr>
              <w:t>3372</w:t>
            </w:r>
            <w:r>
              <w:rPr>
                <w:rFonts w:hint="default" w:ascii="Times New Roman" w:hAnsi="Times New Roman" w:eastAsia="仿宋" w:cs="Times New Roman"/>
                <w:b/>
                <w:bCs/>
                <w:color w:val="auto"/>
                <w:spacing w:val="-2"/>
                <w:szCs w:val="21"/>
                <w:highlight w:val="none"/>
                <w:lang w:val="en-US" w:eastAsia="zh-CN"/>
              </w:rPr>
              <w:t>-2020）</w:t>
            </w:r>
            <w:r>
              <w:rPr>
                <w:rFonts w:hint="eastAsia" w:eastAsia="仿宋" w:cs="Times New Roman"/>
                <w:b/>
                <w:bCs/>
                <w:color w:val="auto"/>
                <w:spacing w:val="-2"/>
                <w:szCs w:val="21"/>
                <w:highlight w:val="none"/>
                <w:lang w:val="en-US" w:eastAsia="zh-CN"/>
              </w:rPr>
              <w:t>中本体型胶粘剂-环氧树脂类VOC含量限量</w:t>
            </w:r>
            <w:r>
              <w:rPr>
                <w:rFonts w:hint="default" w:ascii="Times New Roman" w:hAnsi="Times New Roman" w:eastAsia="仿宋" w:cs="Times New Roman"/>
                <w:b/>
                <w:bCs/>
                <w:color w:val="auto"/>
                <w:spacing w:val="-2"/>
                <w:szCs w:val="21"/>
                <w:highlight w:val="none"/>
                <w:lang w:val="en-US" w:eastAsia="zh-CN"/>
              </w:rPr>
              <w:t>≤</w:t>
            </w:r>
            <w:r>
              <w:rPr>
                <w:rFonts w:hint="eastAsia" w:eastAsia="仿宋" w:cs="Times New Roman"/>
                <w:b/>
                <w:bCs/>
                <w:color w:val="auto"/>
                <w:spacing w:val="-2"/>
                <w:szCs w:val="21"/>
                <w:highlight w:val="none"/>
                <w:lang w:val="en-US" w:eastAsia="zh-CN"/>
              </w:rPr>
              <w:t>10</w:t>
            </w:r>
            <w:r>
              <w:rPr>
                <w:rFonts w:hint="default" w:ascii="Times New Roman" w:hAnsi="Times New Roman" w:eastAsia="仿宋" w:cs="Times New Roman"/>
                <w:b/>
                <w:bCs/>
                <w:color w:val="auto"/>
                <w:spacing w:val="-2"/>
                <w:szCs w:val="21"/>
                <w:highlight w:val="none"/>
                <w:lang w:val="en-US" w:eastAsia="zh-CN"/>
              </w:rPr>
              <w:t>0</w:t>
            </w:r>
            <w:r>
              <w:rPr>
                <w:rFonts w:hint="eastAsia" w:eastAsia="仿宋" w:cs="Times New Roman"/>
                <w:b/>
                <w:bCs/>
                <w:color w:val="auto"/>
                <w:spacing w:val="-2"/>
                <w:szCs w:val="21"/>
                <w:highlight w:val="none"/>
                <w:lang w:val="en-US" w:eastAsia="zh-CN"/>
              </w:rPr>
              <w:t>g/kg的</w:t>
            </w:r>
            <w:r>
              <w:rPr>
                <w:rFonts w:hint="default" w:ascii="Times New Roman" w:hAnsi="Times New Roman" w:eastAsia="仿宋" w:cs="Times New Roman"/>
                <w:b/>
                <w:bCs/>
                <w:color w:val="auto"/>
                <w:spacing w:val="-2"/>
                <w:szCs w:val="21"/>
                <w:highlight w:val="none"/>
                <w:lang w:val="en-US" w:eastAsia="zh-CN"/>
              </w:rPr>
              <w:t>要求。</w:t>
            </w:r>
          </w:p>
          <w:p w14:paraId="2260CD57">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0EBEBE46">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372D5580">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12E2BFB9">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38423C9E">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4F6EC983">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2AFD68F5">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0AE650D5">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48E0AB9B">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15505E7F">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39C36B62">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p>
          <w:p w14:paraId="0F95F15C">
            <w:pPr>
              <w:autoSpaceDE w:val="0"/>
              <w:autoSpaceDN w:val="0"/>
              <w:adjustRightInd w:val="0"/>
              <w:snapToGrid w:val="0"/>
              <w:spacing w:line="240" w:lineRule="auto"/>
              <w:jc w:val="center"/>
              <w:rPr>
                <w:rFonts w:hint="default" w:ascii="Times New Roman" w:hAnsi="Times New Roman" w:eastAsia="仿宋" w:cs="Times New Roman"/>
                <w:b/>
                <w:bCs/>
                <w:color w:val="auto"/>
                <w:spacing w:val="-2"/>
                <w:szCs w:val="21"/>
                <w:highlight w:val="none"/>
              </w:rPr>
            </w:pPr>
            <w:r>
              <w:rPr>
                <w:rFonts w:hint="default" w:ascii="Times New Roman" w:hAnsi="Times New Roman" w:eastAsia="仿宋" w:cs="Times New Roman"/>
                <w:b/>
                <w:bCs/>
                <w:color w:val="auto"/>
                <w:spacing w:val="-2"/>
                <w:szCs w:val="21"/>
                <w:highlight w:val="none"/>
              </w:rPr>
              <w:t>表2-</w:t>
            </w:r>
            <w:r>
              <w:rPr>
                <w:rFonts w:hint="default" w:ascii="Times New Roman" w:hAnsi="Times New Roman" w:eastAsia="仿宋" w:cs="Times New Roman"/>
                <w:b/>
                <w:bCs/>
                <w:color w:val="auto"/>
                <w:spacing w:val="-2"/>
                <w:szCs w:val="21"/>
                <w:highlight w:val="none"/>
                <w:lang w:val="en-US" w:eastAsia="zh-CN"/>
              </w:rPr>
              <w:t>5</w:t>
            </w:r>
            <w:r>
              <w:rPr>
                <w:rFonts w:hint="default" w:ascii="Times New Roman" w:hAnsi="Times New Roman" w:eastAsia="仿宋" w:cs="Times New Roman"/>
                <w:b/>
                <w:bCs/>
                <w:color w:val="auto"/>
                <w:spacing w:val="-2"/>
                <w:szCs w:val="21"/>
                <w:highlight w:val="none"/>
              </w:rPr>
              <w:t xml:space="preserve"> </w:t>
            </w:r>
            <w:r>
              <w:rPr>
                <w:rFonts w:hint="default" w:ascii="Times New Roman" w:hAnsi="Times New Roman" w:eastAsia="仿宋" w:cs="Times New Roman"/>
                <w:b/>
                <w:bCs/>
                <w:color w:val="auto"/>
                <w:spacing w:val="-2"/>
                <w:szCs w:val="21"/>
                <w:highlight w:val="none"/>
                <w:lang w:val="en-US" w:eastAsia="zh-CN"/>
              </w:rPr>
              <w:t xml:space="preserve"> </w:t>
            </w:r>
            <w:r>
              <w:rPr>
                <w:rFonts w:hint="default" w:ascii="Times New Roman" w:hAnsi="Times New Roman" w:eastAsia="仿宋" w:cs="Times New Roman"/>
                <w:b/>
                <w:bCs/>
                <w:color w:val="auto"/>
                <w:spacing w:val="-2"/>
                <w:szCs w:val="21"/>
                <w:highlight w:val="none"/>
              </w:rPr>
              <w:t>原辅料理化性质一览表</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35"/>
              <w:gridCol w:w="4929"/>
              <w:gridCol w:w="915"/>
              <w:gridCol w:w="1148"/>
            </w:tblGrid>
            <w:tr w14:paraId="3A5BAD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60023528">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名称</w:t>
                  </w:r>
                </w:p>
              </w:tc>
              <w:tc>
                <w:tcPr>
                  <w:tcW w:w="4929" w:type="dxa"/>
                  <w:noWrap w:val="0"/>
                  <w:vAlign w:val="center"/>
                </w:tcPr>
                <w:p w14:paraId="29566BF0">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理化性质</w:t>
                  </w:r>
                </w:p>
              </w:tc>
              <w:tc>
                <w:tcPr>
                  <w:tcW w:w="915" w:type="dxa"/>
                  <w:noWrap w:val="0"/>
                  <w:vAlign w:val="center"/>
                </w:tcPr>
                <w:p w14:paraId="4A350C3E">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燃爆性</w:t>
                  </w:r>
                </w:p>
              </w:tc>
              <w:tc>
                <w:tcPr>
                  <w:tcW w:w="1148" w:type="dxa"/>
                  <w:noWrap w:val="0"/>
                  <w:vAlign w:val="center"/>
                </w:tcPr>
                <w:p w14:paraId="399B93AB">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毒理性质</w:t>
                  </w:r>
                </w:p>
              </w:tc>
            </w:tr>
            <w:tr w14:paraId="75A0B94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2C6C0E32">
                  <w:pPr>
                    <w:spacing w:line="300" w:lineRule="exact"/>
                    <w:jc w:val="center"/>
                    <w:rPr>
                      <w:rFonts w:hint="default" w:ascii="Times New Roman" w:hAnsi="Times New Roman" w:eastAsia="仿宋" w:cs="Times New Roman"/>
                    </w:rPr>
                  </w:pPr>
                  <w:r>
                    <w:rPr>
                      <w:rFonts w:hint="default" w:ascii="Times New Roman" w:hAnsi="Times New Roman" w:eastAsia="仿宋" w:cs="Times New Roman"/>
                      <w:lang w:val="en-US" w:eastAsia="zh-CN"/>
                    </w:rPr>
                    <w:t>聚氧乙烯类表面活性剂</w:t>
                  </w:r>
                </w:p>
              </w:tc>
              <w:tc>
                <w:tcPr>
                  <w:tcW w:w="4929" w:type="dxa"/>
                  <w:noWrap w:val="0"/>
                  <w:vAlign w:val="center"/>
                </w:tcPr>
                <w:p w14:paraId="6F4FA161">
                  <w:pPr>
                    <w:spacing w:line="300" w:lineRule="exact"/>
                    <w:jc w:val="center"/>
                    <w:rPr>
                      <w:rFonts w:hint="default" w:ascii="Times New Roman" w:hAnsi="Times New Roman" w:eastAsia="仿宋" w:cs="Times New Roman"/>
                    </w:rPr>
                  </w:pPr>
                  <w:r>
                    <w:rPr>
                      <w:rFonts w:hint="default" w:ascii="Times New Roman" w:hAnsi="Times New Roman" w:eastAsia="仿宋" w:cs="Times New Roman"/>
                    </w:rPr>
                    <w:t>是环氧乙烷和含有活泼氢的化合物进行加成反应的产物，具有优异的表面性能，在水溶液中不离解，具有洗涤、分散、乳化、泡沫、润湿、增溶、抗静电、杀菌和保护胶体等性能。</w:t>
                  </w:r>
                </w:p>
              </w:tc>
              <w:tc>
                <w:tcPr>
                  <w:tcW w:w="915" w:type="dxa"/>
                  <w:noWrap w:val="0"/>
                  <w:vAlign w:val="center"/>
                </w:tcPr>
                <w:p w14:paraId="2ECB5F03">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p>
              </w:tc>
              <w:tc>
                <w:tcPr>
                  <w:tcW w:w="1148" w:type="dxa"/>
                  <w:noWrap w:val="0"/>
                  <w:vAlign w:val="center"/>
                </w:tcPr>
                <w:p w14:paraId="434D99C9">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210F3E4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57A60011">
                  <w:pPr>
                    <w:spacing w:line="300" w:lineRule="exact"/>
                    <w:jc w:val="center"/>
                    <w:rPr>
                      <w:rFonts w:hint="default" w:ascii="Times New Roman" w:hAnsi="Times New Roman" w:eastAsia="仿宋" w:cs="Times New Roman"/>
                    </w:rPr>
                  </w:pPr>
                  <w:r>
                    <w:rPr>
                      <w:rFonts w:hint="default" w:ascii="Times New Roman" w:hAnsi="Times New Roman" w:eastAsia="仿宋" w:cs="Times New Roman"/>
                      <w:lang w:val="en-US" w:eastAsia="zh-CN"/>
                    </w:rPr>
                    <w:t>脂肪酸盐</w:t>
                  </w:r>
                </w:p>
              </w:tc>
              <w:tc>
                <w:tcPr>
                  <w:tcW w:w="4929" w:type="dxa"/>
                  <w:noWrap w:val="0"/>
                  <w:vAlign w:val="center"/>
                </w:tcPr>
                <w:p w14:paraId="3B4939EB">
                  <w:pPr>
                    <w:spacing w:line="300" w:lineRule="exact"/>
                    <w:jc w:val="center"/>
                    <w:rPr>
                      <w:rFonts w:hint="default" w:ascii="Times New Roman" w:hAnsi="Times New Roman" w:eastAsia="仿宋" w:cs="Times New Roman"/>
                      <w:lang w:eastAsia="zh-CN"/>
                    </w:rPr>
                  </w:pPr>
                  <w:r>
                    <w:rPr>
                      <w:rFonts w:hint="default" w:ascii="Times New Roman" w:hAnsi="Times New Roman" w:eastAsia="仿宋" w:cs="Times New Roman"/>
                    </w:rPr>
                    <w:t>白色或微黄色硬块，亦可为有光泽的结晶固体，或为白色至黄白色粉末。钾盐和钠盐者溶于水和乙醇，钙盐者不溶于水、乙醇和乙醚。主要用于抗结剂</w:t>
                  </w:r>
                  <w:r>
                    <w:rPr>
                      <w:rFonts w:hint="default" w:ascii="Times New Roman" w:hAnsi="Times New Roman" w:eastAsia="仿宋" w:cs="Times New Roman"/>
                      <w:lang w:eastAsia="zh-CN"/>
                    </w:rPr>
                    <w:t>、</w:t>
                  </w:r>
                  <w:r>
                    <w:rPr>
                      <w:rFonts w:hint="default" w:ascii="Times New Roman" w:hAnsi="Times New Roman" w:eastAsia="仿宋" w:cs="Times New Roman"/>
                    </w:rPr>
                    <w:t>乳化剂</w:t>
                  </w:r>
                  <w:r>
                    <w:rPr>
                      <w:rFonts w:hint="default" w:ascii="Times New Roman" w:hAnsi="Times New Roman" w:eastAsia="仿宋" w:cs="Times New Roman"/>
                      <w:lang w:eastAsia="zh-CN"/>
                    </w:rPr>
                    <w:t>、</w:t>
                  </w:r>
                  <w:r>
                    <w:rPr>
                      <w:rFonts w:hint="default" w:ascii="Times New Roman" w:hAnsi="Times New Roman" w:eastAsia="仿宋" w:cs="Times New Roman"/>
                    </w:rPr>
                    <w:t>稳定剂</w:t>
                  </w:r>
                  <w:r>
                    <w:rPr>
                      <w:rFonts w:hint="default" w:ascii="Times New Roman" w:hAnsi="Times New Roman" w:eastAsia="仿宋" w:cs="Times New Roman"/>
                      <w:lang w:eastAsia="zh-CN"/>
                    </w:rPr>
                    <w:t>。</w:t>
                  </w:r>
                </w:p>
              </w:tc>
              <w:tc>
                <w:tcPr>
                  <w:tcW w:w="915" w:type="dxa"/>
                  <w:noWrap w:val="0"/>
                  <w:vAlign w:val="center"/>
                </w:tcPr>
                <w:p w14:paraId="53A32C2C">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p>
              </w:tc>
              <w:tc>
                <w:tcPr>
                  <w:tcW w:w="1148" w:type="dxa"/>
                  <w:noWrap w:val="0"/>
                  <w:vAlign w:val="center"/>
                </w:tcPr>
                <w:p w14:paraId="69C81CEC">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0559D9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17637514">
                  <w:pPr>
                    <w:spacing w:line="300" w:lineRule="exact"/>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烷基多苷</w:t>
                  </w:r>
                </w:p>
              </w:tc>
              <w:tc>
                <w:tcPr>
                  <w:tcW w:w="4929" w:type="dxa"/>
                  <w:noWrap w:val="0"/>
                  <w:vAlign w:val="center"/>
                </w:tcPr>
                <w:p w14:paraId="50D5A94D">
                  <w:pPr>
                    <w:pStyle w:val="9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lang w:val="en-US" w:eastAsia="zh-CN"/>
                    </w:rPr>
                  </w:pPr>
                  <w:r>
                    <w:rPr>
                      <w:rFonts w:hint="default" w:ascii="Times New Roman" w:hAnsi="Times New Roman" w:eastAsia="仿宋" w:cs="Times New Roman"/>
                      <w:color w:val="auto"/>
                      <w:lang w:val="en-US" w:eastAsia="zh-CN"/>
                    </w:rPr>
                    <w:t>烷基多苷也叫烷基糖苷，简称APG，是由可再生资源天然脂肪醇和葡萄糖合成的，是一种性能较全面的新型非离子表面活性剂，兼具普通非离子和阴离子表面活性剂的特性，具有高表面活性、良好的生态安全性和相溶性，是国际公认的首选“绿色”功能性表面活性剂。</w:t>
                  </w:r>
                </w:p>
              </w:tc>
              <w:tc>
                <w:tcPr>
                  <w:tcW w:w="915" w:type="dxa"/>
                  <w:noWrap w:val="0"/>
                  <w:vAlign w:val="center"/>
                </w:tcPr>
                <w:p w14:paraId="6D88C702">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w:t>
                  </w:r>
                </w:p>
              </w:tc>
              <w:tc>
                <w:tcPr>
                  <w:tcW w:w="1148" w:type="dxa"/>
                  <w:noWrap w:val="0"/>
                  <w:vAlign w:val="center"/>
                </w:tcPr>
                <w:p w14:paraId="4E87AC7D">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567EB06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234B3609">
                  <w:pPr>
                    <w:spacing w:line="300" w:lineRule="exact"/>
                    <w:jc w:val="center"/>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切削液</w:t>
                  </w:r>
                </w:p>
              </w:tc>
              <w:tc>
                <w:tcPr>
                  <w:tcW w:w="4929" w:type="dxa"/>
                  <w:noWrap w:val="0"/>
                  <w:vAlign w:val="center"/>
                </w:tcPr>
                <w:p w14:paraId="25B8D1BF">
                  <w:pPr>
                    <w:pStyle w:val="9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有主要成分表面活性剂、脂肪酸、精制矿物油、无机盐、防腐剂、非铁腐蚀抑制剂、香料、消泡剂、水。相对密度1.1g/cm³；闪点16℃。引燃温度248℃。主要用于机械的摩擦部分，起润滑、冷却和密封作用。</w:t>
                  </w:r>
                </w:p>
              </w:tc>
              <w:tc>
                <w:tcPr>
                  <w:tcW w:w="915" w:type="dxa"/>
                  <w:noWrap w:val="0"/>
                  <w:vAlign w:val="center"/>
                </w:tcPr>
                <w:p w14:paraId="326C833D">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可燃</w:t>
                  </w:r>
                </w:p>
              </w:tc>
              <w:tc>
                <w:tcPr>
                  <w:tcW w:w="1148" w:type="dxa"/>
                  <w:noWrap w:val="0"/>
                  <w:vAlign w:val="center"/>
                </w:tcPr>
                <w:p w14:paraId="013EB7BE">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r>
            <w:tr w14:paraId="07F3AB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55FEAD4D">
                  <w:pPr>
                    <w:spacing w:line="300" w:lineRule="exact"/>
                    <w:jc w:val="center"/>
                    <w:rPr>
                      <w:rFonts w:hint="default" w:ascii="Times New Roman" w:hAnsi="Times New Roman" w:eastAsia="仿宋" w:cs="Times New Roman"/>
                      <w:lang w:val="en-US" w:eastAsia="zh-CN"/>
                    </w:rPr>
                  </w:pPr>
                  <w:r>
                    <w:rPr>
                      <w:rFonts w:hint="eastAsia" w:eastAsia="仿宋" w:cs="Times New Roman"/>
                      <w:lang w:val="en-US" w:eastAsia="zh-CN"/>
                    </w:rPr>
                    <w:t>双酚A</w:t>
                  </w:r>
                </w:p>
              </w:tc>
              <w:tc>
                <w:tcPr>
                  <w:tcW w:w="4929" w:type="dxa"/>
                  <w:noWrap w:val="0"/>
                  <w:vAlign w:val="center"/>
                </w:tcPr>
                <w:p w14:paraId="403470F7">
                  <w:pPr>
                    <w:pStyle w:val="9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中文名称</w:t>
                  </w:r>
                  <w:r>
                    <w:rPr>
                      <w:rFonts w:hint="eastAsia" w:ascii="Times New Roman" w:hAnsi="Times New Roman" w:eastAsia="仿宋" w:cs="Times New Roman"/>
                      <w:color w:val="auto"/>
                      <w:lang w:val="en-US" w:eastAsia="zh-CN"/>
                    </w:rPr>
                    <w:t>：</w:t>
                  </w:r>
                  <w:r>
                    <w:rPr>
                      <w:rFonts w:hint="default" w:ascii="Times New Roman" w:hAnsi="Times New Roman" w:eastAsia="仿宋" w:cs="Times New Roman"/>
                      <w:color w:val="auto"/>
                      <w:lang w:val="en-US" w:eastAsia="zh-CN"/>
                    </w:rPr>
                    <w:t>4,4’-(1-甲基亚乙基)双苯酚与(氯甲基)环氧乙烷的聚合物</w:t>
                  </w:r>
                  <w:r>
                    <w:rPr>
                      <w:rFonts w:hint="eastAsia" w:ascii="Times New Roman" w:hAnsi="Times New Roman" w:eastAsia="仿宋" w:cs="Times New Roman"/>
                      <w:color w:val="auto"/>
                      <w:lang w:val="en-US" w:eastAsia="zh-CN"/>
                    </w:rPr>
                    <w:t>，别名：环氧树脂-1001、熔点：64~74</w:t>
                  </w:r>
                  <w:r>
                    <w:rPr>
                      <w:rFonts w:hint="default" w:ascii="Times New Roman" w:hAnsi="Times New Roman" w:eastAsia="仿宋" w:cs="Times New Roman"/>
                      <w:color w:val="auto"/>
                      <w:lang w:val="en-US" w:eastAsia="zh-CN"/>
                    </w:rPr>
                    <w:t>℃</w:t>
                  </w:r>
                  <w:r>
                    <w:rPr>
                      <w:rFonts w:hint="eastAsia" w:ascii="Times New Roman" w:hAnsi="Times New Roman" w:eastAsia="仿宋" w:cs="Times New Roman"/>
                      <w:color w:val="auto"/>
                      <w:lang w:val="en-US" w:eastAsia="zh-CN"/>
                    </w:rPr>
                    <w:t>，沸点114~118</w:t>
                  </w:r>
                  <w:r>
                    <w:rPr>
                      <w:rFonts w:hint="default" w:ascii="Times New Roman" w:hAnsi="Times New Roman" w:eastAsia="仿宋" w:cs="Times New Roman"/>
                      <w:color w:val="auto"/>
                      <w:lang w:val="en-US" w:eastAsia="zh-CN"/>
                    </w:rPr>
                    <w:t>℃</w:t>
                  </w:r>
                  <w:r>
                    <w:rPr>
                      <w:rFonts w:hint="eastAsia" w:ascii="Times New Roman" w:hAnsi="Times New Roman" w:eastAsia="仿宋" w:cs="Times New Roman"/>
                      <w:color w:val="auto"/>
                      <w:lang w:val="en-US" w:eastAsia="zh-CN"/>
                    </w:rPr>
                    <w:t>，密度1.18g/cm</w:t>
                  </w:r>
                  <w:r>
                    <w:rPr>
                      <w:rFonts w:hint="eastAsia" w:ascii="Times New Roman" w:hAnsi="Times New Roman" w:eastAsia="仿宋" w:cs="Times New Roman"/>
                      <w:color w:val="auto"/>
                      <w:vertAlign w:val="superscript"/>
                      <w:lang w:val="en-US" w:eastAsia="zh-CN"/>
                    </w:rPr>
                    <w:t>3</w:t>
                  </w:r>
                  <w:r>
                    <w:rPr>
                      <w:rFonts w:hint="eastAsia" w:ascii="Times New Roman" w:hAnsi="Times New Roman" w:eastAsia="仿宋" w:cs="Times New Roman"/>
                      <w:color w:val="auto"/>
                      <w:lang w:val="en-US" w:eastAsia="zh-CN"/>
                    </w:rPr>
                    <w:t>，闪点78</w:t>
                  </w:r>
                  <w:r>
                    <w:rPr>
                      <w:rFonts w:hint="default" w:ascii="Times New Roman" w:hAnsi="Times New Roman" w:eastAsia="仿宋" w:cs="Times New Roman"/>
                      <w:color w:val="auto"/>
                      <w:lang w:val="en-US" w:eastAsia="zh-CN"/>
                    </w:rPr>
                    <w:t>℃，是一种环氧树脂涂料，是一种高性能涂料，应用十分广泛。</w:t>
                  </w:r>
                </w:p>
              </w:tc>
              <w:tc>
                <w:tcPr>
                  <w:tcW w:w="915" w:type="dxa"/>
                  <w:noWrap w:val="0"/>
                  <w:vAlign w:val="center"/>
                </w:tcPr>
                <w:p w14:paraId="5C6355AD">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可燃</w:t>
                  </w:r>
                </w:p>
              </w:tc>
              <w:tc>
                <w:tcPr>
                  <w:tcW w:w="1148" w:type="dxa"/>
                  <w:noWrap w:val="0"/>
                  <w:vAlign w:val="center"/>
                </w:tcPr>
                <w:p w14:paraId="4CE09B5A">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r>
            <w:tr w14:paraId="2260D80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blHeader/>
                <w:jc w:val="center"/>
              </w:trPr>
              <w:tc>
                <w:tcPr>
                  <w:tcW w:w="1135" w:type="dxa"/>
                  <w:noWrap w:val="0"/>
                  <w:vAlign w:val="center"/>
                </w:tcPr>
                <w:p w14:paraId="1EE81931">
                  <w:pPr>
                    <w:spacing w:line="300" w:lineRule="exact"/>
                    <w:jc w:val="center"/>
                    <w:rPr>
                      <w:rFonts w:hint="default" w:eastAsia="仿宋" w:cs="Times New Roman"/>
                      <w:lang w:val="en-US" w:eastAsia="zh-CN"/>
                    </w:rPr>
                  </w:pPr>
                  <w:r>
                    <w:rPr>
                      <w:rFonts w:hint="eastAsia" w:eastAsia="仿宋" w:cs="Times New Roman"/>
                      <w:lang w:val="en-US" w:eastAsia="zh-CN"/>
                    </w:rPr>
                    <w:t>胺类固化剂</w:t>
                  </w:r>
                </w:p>
              </w:tc>
              <w:tc>
                <w:tcPr>
                  <w:tcW w:w="4929" w:type="dxa"/>
                  <w:noWrap w:val="0"/>
                  <w:vAlign w:val="center"/>
                </w:tcPr>
                <w:p w14:paraId="28DB0093">
                  <w:pPr>
                    <w:pStyle w:val="9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广泛用作</w:t>
                  </w:r>
                  <w:r>
                    <w:rPr>
                      <w:rFonts w:hint="default" w:ascii="Times New Roman" w:hAnsi="Times New Roman" w:eastAsia="仿宋" w:cs="Times New Roman"/>
                      <w:color w:val="auto"/>
                      <w:lang w:val="en-US" w:eastAsia="zh-CN"/>
                    </w:rPr>
                    <w:fldChar w:fldCharType="begin"/>
                  </w:r>
                  <w:r>
                    <w:rPr>
                      <w:rFonts w:hint="default" w:ascii="Times New Roman" w:hAnsi="Times New Roman" w:eastAsia="仿宋" w:cs="Times New Roman"/>
                      <w:color w:val="auto"/>
                      <w:lang w:val="en-US" w:eastAsia="zh-CN"/>
                    </w:rPr>
                    <w:instrText xml:space="preserve"> HYPERLINK "https://baike.baidu.com/item/%E7%8E%AF%E6%B0%A7%E6%A0%91%E8%84%82%E5%9B%BA%E5%8C%96%E5%89%82/8274610?fromModule=lemma_inlink" \t "https://baike.baidu.com/item/%E8%83%BA%E7%B1%BB%E5%9B%BA%E5%8C%96%E5%89%82/_blank" </w:instrText>
                  </w:r>
                  <w:r>
                    <w:rPr>
                      <w:rFonts w:hint="default" w:ascii="Times New Roman" w:hAnsi="Times New Roman" w:eastAsia="仿宋" w:cs="Times New Roman"/>
                      <w:color w:val="auto"/>
                      <w:lang w:val="en-US" w:eastAsia="zh-CN"/>
                    </w:rPr>
                    <w:fldChar w:fldCharType="separate"/>
                  </w:r>
                  <w:r>
                    <w:rPr>
                      <w:rFonts w:hint="default" w:ascii="Times New Roman" w:hAnsi="Times New Roman" w:eastAsia="仿宋" w:cs="Times New Roman"/>
                      <w:color w:val="auto"/>
                      <w:lang w:val="en-US" w:eastAsia="zh-CN"/>
                    </w:rPr>
                    <w:t>环氧树脂固化剂</w:t>
                  </w:r>
                  <w:r>
                    <w:rPr>
                      <w:rFonts w:hint="default" w:ascii="Times New Roman" w:hAnsi="Times New Roman" w:eastAsia="仿宋" w:cs="Times New Roman"/>
                      <w:color w:val="auto"/>
                      <w:lang w:val="en-US" w:eastAsia="zh-CN"/>
                    </w:rPr>
                    <w:fldChar w:fldCharType="end"/>
                  </w:r>
                  <w:r>
                    <w:rPr>
                      <w:rFonts w:hint="default" w:ascii="Times New Roman" w:hAnsi="Times New Roman" w:eastAsia="仿宋" w:cs="Times New Roman"/>
                      <w:color w:val="auto"/>
                      <w:lang w:val="en-US" w:eastAsia="zh-CN"/>
                    </w:rPr>
                    <w:t>的有机多胺类化物</w:t>
                  </w:r>
                  <w:r>
                    <w:rPr>
                      <w:rFonts w:hint="eastAsia" w:eastAsia="仿宋" w:cs="Times New Roman"/>
                      <w:color w:val="auto"/>
                      <w:lang w:val="en-US" w:eastAsia="zh-CN"/>
                    </w:rPr>
                    <w:t>。</w:t>
                  </w:r>
                </w:p>
              </w:tc>
              <w:tc>
                <w:tcPr>
                  <w:tcW w:w="915" w:type="dxa"/>
                  <w:noWrap w:val="0"/>
                  <w:vAlign w:val="center"/>
                </w:tcPr>
                <w:p w14:paraId="36E579A9">
                  <w:pPr>
                    <w:pStyle w:val="94"/>
                    <w:keepNext w:val="0"/>
                    <w:keepLines w:val="0"/>
                    <w:suppressLineNumbers w:val="0"/>
                    <w:spacing w:before="0" w:beforeAutospacing="0" w:after="0" w:afterAutospacing="0"/>
                    <w:ind w:left="0" w:leftChars="0" w:right="0" w:rightChars="0" w:firstLine="0" w:firstLineChars="0"/>
                    <w:rPr>
                      <w:rFonts w:hint="default" w:ascii="Times New Roman" w:hAnsi="Times New Roman" w:eastAsia="仿宋" w:cs="Times New Roman"/>
                      <w:color w:val="auto"/>
                      <w:lang w:val="en-US" w:eastAsia="zh-CN"/>
                    </w:rPr>
                  </w:pPr>
                  <w:r>
                    <w:rPr>
                      <w:rFonts w:hint="default" w:ascii="Times New Roman" w:hAnsi="Times New Roman" w:eastAsia="仿宋" w:cs="Times New Roman"/>
                      <w:color w:val="auto"/>
                      <w:lang w:val="en-US" w:eastAsia="zh-CN"/>
                    </w:rPr>
                    <w:t>可燃</w:t>
                  </w:r>
                </w:p>
              </w:tc>
              <w:tc>
                <w:tcPr>
                  <w:tcW w:w="1148" w:type="dxa"/>
                  <w:noWrap w:val="0"/>
                  <w:vAlign w:val="center"/>
                </w:tcPr>
                <w:p w14:paraId="119D1D31">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r>
          </w:tbl>
          <w:p w14:paraId="22C27B54">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highlight w:val="none"/>
              </w:rPr>
            </w:pPr>
            <w:r>
              <w:rPr>
                <w:rFonts w:hint="eastAsia" w:ascii="Times New Roman" w:hAnsi="Times New Roman" w:eastAsia="仿宋" w:cs="Times New Roman"/>
                <w:b/>
                <w:bCs/>
                <w:color w:val="auto"/>
                <w:kern w:val="0"/>
                <w:sz w:val="24"/>
                <w:szCs w:val="24"/>
                <w:highlight w:val="none"/>
                <w:lang w:val="en-US" w:eastAsia="zh-CN"/>
              </w:rPr>
              <w:t>6</w:t>
            </w:r>
            <w:r>
              <w:rPr>
                <w:rFonts w:hint="default" w:ascii="Times New Roman" w:hAnsi="Times New Roman" w:eastAsia="仿宋" w:cs="Times New Roman"/>
                <w:b/>
                <w:bCs/>
                <w:color w:val="auto"/>
                <w:kern w:val="0"/>
                <w:sz w:val="24"/>
                <w:szCs w:val="24"/>
                <w:highlight w:val="none"/>
              </w:rPr>
              <w:t>、水平衡</w:t>
            </w:r>
          </w:p>
          <w:p w14:paraId="3783F751">
            <w:pPr>
              <w:keepNext w:val="0"/>
              <w:keepLines w:val="0"/>
              <w:pageBreakBefore w:val="0"/>
              <w:widowControl w:val="0"/>
              <w:kinsoku/>
              <w:wordWrap/>
              <w:overflowPunct/>
              <w:topLinePunct w:val="0"/>
              <w:bidi w:val="0"/>
              <w:spacing w:line="400" w:lineRule="exact"/>
              <w:ind w:firstLine="480" w:firstLineChars="200"/>
              <w:textAlignment w:val="auto"/>
              <w:rPr>
                <w:rFonts w:hint="default" w:ascii="Times New Roman" w:hAnsi="Times New Roman" w:eastAsia="仿宋" w:cs="Times New Roman"/>
                <w:snapToGrid w:val="0"/>
                <w:color w:val="auto"/>
                <w:kern w:val="0"/>
                <w:sz w:val="24"/>
                <w:szCs w:val="24"/>
                <w:highlight w:val="none"/>
              </w:rPr>
            </w:pPr>
            <w:r>
              <w:rPr>
                <w:rFonts w:hint="default" w:ascii="Times New Roman" w:hAnsi="Times New Roman" w:eastAsia="仿宋" w:cs="Times New Roman"/>
                <w:snapToGrid w:val="0"/>
                <w:color w:val="auto"/>
                <w:kern w:val="0"/>
                <w:sz w:val="24"/>
                <w:szCs w:val="24"/>
                <w:highlight w:val="none"/>
              </w:rPr>
              <w:t>本项目水平衡见图2-</w:t>
            </w:r>
            <w:r>
              <w:rPr>
                <w:rFonts w:hint="default" w:ascii="Times New Roman" w:hAnsi="Times New Roman" w:eastAsia="仿宋" w:cs="Times New Roman"/>
                <w:snapToGrid w:val="0"/>
                <w:color w:val="auto"/>
                <w:kern w:val="0"/>
                <w:sz w:val="24"/>
                <w:szCs w:val="24"/>
                <w:highlight w:val="none"/>
                <w:lang w:val="en-US" w:eastAsia="zh-CN"/>
              </w:rPr>
              <w:t>1</w:t>
            </w:r>
            <w:r>
              <w:rPr>
                <w:rFonts w:hint="default" w:ascii="Times New Roman" w:hAnsi="Times New Roman" w:eastAsia="仿宋" w:cs="Times New Roman"/>
                <w:snapToGrid w:val="0"/>
                <w:color w:val="auto"/>
                <w:kern w:val="0"/>
                <w:sz w:val="24"/>
                <w:szCs w:val="24"/>
                <w:highlight w:val="none"/>
              </w:rPr>
              <w:t>。</w:t>
            </w:r>
          </w:p>
          <w:p w14:paraId="7E373138">
            <w:pPr>
              <w:widowControl/>
              <w:jc w:val="center"/>
              <w:rPr>
                <w:rFonts w:hint="default" w:ascii="Times New Roman" w:hAnsi="Times New Roman" w:eastAsia="仿宋" w:cs="Times New Roman"/>
                <w:b/>
                <w:color w:val="auto"/>
                <w:szCs w:val="21"/>
                <w:highlight w:val="none"/>
                <w:lang w:eastAsia="zh-CN"/>
              </w:rPr>
            </w:pPr>
            <w:r>
              <w:rPr>
                <w:rFonts w:hint="default" w:ascii="Times New Roman" w:hAnsi="Times New Roman" w:eastAsia="仿宋" w:cs="Times New Roman"/>
                <w:b/>
                <w:color w:val="auto"/>
                <w:szCs w:val="21"/>
                <w:highlight w:val="none"/>
                <w:lang w:eastAsia="zh-CN"/>
              </w:rPr>
              <w:drawing>
                <wp:inline distT="0" distB="0" distL="114300" distR="114300">
                  <wp:extent cx="3824605" cy="2519045"/>
                  <wp:effectExtent l="0" t="0" r="4445" b="14605"/>
                  <wp:docPr id="11" name="ECB019B1-382A-4266-B25C-5B523AA43C14-1" descr="C:/Users/Administrator/AppData/Local/Temp/wps.vSqUE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1" descr="C:/Users/Administrator/AppData/Local/Temp/wps.vSqUEFwps"/>
                          <pic:cNvPicPr>
                            <a:picLocks noChangeAspect="1"/>
                          </pic:cNvPicPr>
                        </pic:nvPicPr>
                        <pic:blipFill>
                          <a:blip r:embed="rId9"/>
                          <a:srcRect l="7669" t="6856" r="3218" b="4556"/>
                          <a:stretch>
                            <a:fillRect/>
                          </a:stretch>
                        </pic:blipFill>
                        <pic:spPr>
                          <a:xfrm>
                            <a:off x="0" y="0"/>
                            <a:ext cx="3824605" cy="2519045"/>
                          </a:xfrm>
                          <a:prstGeom prst="rect">
                            <a:avLst/>
                          </a:prstGeom>
                          <a:noFill/>
                          <a:ln>
                            <a:noFill/>
                          </a:ln>
                        </pic:spPr>
                      </pic:pic>
                    </a:graphicData>
                  </a:graphic>
                </wp:inline>
              </w:drawing>
            </w:r>
          </w:p>
          <w:p w14:paraId="4ADDD417">
            <w:pPr>
              <w:spacing w:line="240" w:lineRule="auto"/>
              <w:ind w:firstLine="422" w:firstLineChars="200"/>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color w:val="auto"/>
                <w:szCs w:val="21"/>
                <w:highlight w:val="none"/>
              </w:rPr>
              <w:t>图2-</w:t>
            </w:r>
            <w:r>
              <w:rPr>
                <w:rFonts w:hint="default" w:ascii="Times New Roman" w:hAnsi="Times New Roman" w:eastAsia="仿宋" w:cs="Times New Roman"/>
                <w:b/>
                <w:color w:val="auto"/>
                <w:szCs w:val="21"/>
                <w:highlight w:val="none"/>
                <w:lang w:val="en-US" w:eastAsia="zh-CN"/>
              </w:rPr>
              <w:t xml:space="preserve">1  </w:t>
            </w:r>
            <w:r>
              <w:rPr>
                <w:rFonts w:hint="default" w:ascii="Times New Roman" w:hAnsi="Times New Roman" w:eastAsia="仿宋" w:cs="Times New Roman"/>
                <w:b/>
                <w:color w:val="auto"/>
                <w:szCs w:val="21"/>
                <w:highlight w:val="none"/>
              </w:rPr>
              <w:t>本项目水平衡图</w:t>
            </w:r>
          </w:p>
          <w:p w14:paraId="13FCAA03">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eastAsia" w:ascii="Times New Roman" w:hAnsi="Times New Roman" w:eastAsia="仿宋" w:cs="Times New Roman"/>
                <w:b/>
                <w:bCs/>
                <w:color w:val="auto"/>
                <w:kern w:val="0"/>
                <w:sz w:val="24"/>
                <w:szCs w:val="24"/>
                <w:lang w:val="en-US" w:eastAsia="zh-CN"/>
              </w:rPr>
              <w:t>7</w:t>
            </w:r>
            <w:r>
              <w:rPr>
                <w:rFonts w:hint="default" w:ascii="Times New Roman" w:hAnsi="Times New Roman" w:eastAsia="仿宋" w:cs="Times New Roman"/>
                <w:b/>
                <w:bCs/>
                <w:color w:val="auto"/>
                <w:kern w:val="0"/>
                <w:sz w:val="24"/>
                <w:szCs w:val="24"/>
              </w:rPr>
              <w:t>、劳动定员及工作制度</w:t>
            </w:r>
          </w:p>
          <w:p w14:paraId="72B0B027">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snapToGrid w:val="0"/>
                <w:color w:val="auto"/>
                <w:kern w:val="0"/>
                <w:sz w:val="24"/>
                <w:szCs w:val="24"/>
              </w:rPr>
            </w:pPr>
            <w:r>
              <w:rPr>
                <w:rFonts w:hint="default" w:ascii="Times New Roman" w:hAnsi="Times New Roman" w:eastAsia="仿宋" w:cs="Times New Roman"/>
                <w:snapToGrid w:val="0"/>
                <w:color w:val="auto"/>
                <w:kern w:val="0"/>
                <w:sz w:val="24"/>
                <w:szCs w:val="24"/>
              </w:rPr>
              <w:t>职工人数：</w:t>
            </w:r>
            <w:r>
              <w:rPr>
                <w:rFonts w:hint="eastAsia" w:eastAsia="仿宋" w:cs="Times New Roman"/>
                <w:snapToGrid w:val="0"/>
                <w:color w:val="auto"/>
                <w:kern w:val="0"/>
                <w:sz w:val="24"/>
                <w:szCs w:val="24"/>
                <w:lang w:val="en-US" w:eastAsia="zh-CN"/>
              </w:rPr>
              <w:t>建成后全厂</w:t>
            </w:r>
            <w:r>
              <w:rPr>
                <w:rFonts w:hint="default" w:ascii="Times New Roman" w:hAnsi="Times New Roman" w:eastAsia="仿宋" w:cs="Times New Roman"/>
                <w:snapToGrid w:val="0"/>
                <w:color w:val="auto"/>
                <w:kern w:val="0"/>
                <w:sz w:val="24"/>
                <w:szCs w:val="24"/>
              </w:rPr>
              <w:t>员工</w:t>
            </w:r>
            <w:r>
              <w:rPr>
                <w:rFonts w:hint="default" w:ascii="Times New Roman" w:hAnsi="Times New Roman" w:eastAsia="仿宋" w:cs="Times New Roman"/>
                <w:snapToGrid w:val="0"/>
                <w:color w:val="auto"/>
                <w:kern w:val="0"/>
                <w:sz w:val="24"/>
                <w:szCs w:val="24"/>
                <w:lang w:val="en-US" w:eastAsia="zh-CN"/>
              </w:rPr>
              <w:t>80</w:t>
            </w:r>
            <w:r>
              <w:rPr>
                <w:rFonts w:hint="default" w:ascii="Times New Roman" w:hAnsi="Times New Roman" w:eastAsia="仿宋" w:cs="Times New Roman"/>
                <w:snapToGrid w:val="0"/>
                <w:color w:val="auto"/>
                <w:kern w:val="0"/>
                <w:sz w:val="24"/>
                <w:szCs w:val="24"/>
              </w:rPr>
              <w:t>人。</w:t>
            </w:r>
          </w:p>
          <w:p w14:paraId="49D72C71">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snapToGrid w:val="0"/>
                <w:color w:val="auto"/>
                <w:kern w:val="0"/>
                <w:sz w:val="24"/>
                <w:szCs w:val="24"/>
              </w:rPr>
            </w:pPr>
            <w:r>
              <w:rPr>
                <w:rFonts w:hint="default" w:ascii="Times New Roman" w:hAnsi="Times New Roman" w:eastAsia="仿宋" w:cs="Times New Roman"/>
                <w:snapToGrid w:val="0"/>
                <w:color w:val="auto"/>
                <w:kern w:val="0"/>
                <w:sz w:val="24"/>
                <w:szCs w:val="24"/>
              </w:rPr>
              <w:t>工作制度：年工作</w:t>
            </w:r>
            <w:r>
              <w:rPr>
                <w:rFonts w:hint="default" w:ascii="Times New Roman" w:hAnsi="Times New Roman" w:eastAsia="仿宋" w:cs="Times New Roman"/>
                <w:snapToGrid w:val="0"/>
                <w:color w:val="auto"/>
                <w:kern w:val="0"/>
                <w:sz w:val="24"/>
                <w:szCs w:val="24"/>
                <w:lang w:val="en-US" w:eastAsia="zh-CN"/>
              </w:rPr>
              <w:t>300</w:t>
            </w:r>
            <w:r>
              <w:rPr>
                <w:rFonts w:hint="default" w:ascii="Times New Roman" w:hAnsi="Times New Roman" w:eastAsia="仿宋" w:cs="Times New Roman"/>
                <w:snapToGrid w:val="0"/>
                <w:color w:val="auto"/>
                <w:kern w:val="0"/>
                <w:sz w:val="24"/>
                <w:szCs w:val="24"/>
              </w:rPr>
              <w:t>天，</w:t>
            </w:r>
            <w:r>
              <w:rPr>
                <w:rFonts w:hint="default" w:ascii="Times New Roman" w:hAnsi="Times New Roman" w:eastAsia="仿宋" w:cs="Times New Roman"/>
                <w:snapToGrid w:val="0"/>
                <w:color w:val="auto"/>
                <w:kern w:val="0"/>
                <w:sz w:val="24"/>
                <w:szCs w:val="24"/>
                <w:lang w:val="en-US" w:eastAsia="zh-CN"/>
              </w:rPr>
              <w:t>一班制，每班11h，年</w:t>
            </w:r>
            <w:r>
              <w:rPr>
                <w:rFonts w:hint="default" w:ascii="Times New Roman" w:hAnsi="Times New Roman" w:eastAsia="仿宋" w:cs="Times New Roman"/>
                <w:snapToGrid w:val="0"/>
                <w:color w:val="auto"/>
                <w:kern w:val="0"/>
                <w:sz w:val="24"/>
                <w:szCs w:val="24"/>
              </w:rPr>
              <w:t>工作时间</w:t>
            </w:r>
            <w:r>
              <w:rPr>
                <w:rFonts w:hint="default" w:ascii="Times New Roman" w:hAnsi="Times New Roman" w:eastAsia="仿宋" w:cs="Times New Roman"/>
                <w:snapToGrid w:val="0"/>
                <w:color w:val="auto"/>
                <w:kern w:val="0"/>
                <w:sz w:val="24"/>
                <w:szCs w:val="24"/>
                <w:lang w:val="en-US" w:eastAsia="zh-CN"/>
              </w:rPr>
              <w:t>3300</w:t>
            </w:r>
            <w:r>
              <w:rPr>
                <w:rFonts w:hint="default" w:ascii="Times New Roman" w:hAnsi="Times New Roman" w:eastAsia="仿宋" w:cs="Times New Roman"/>
                <w:snapToGrid w:val="0"/>
                <w:color w:val="auto"/>
                <w:kern w:val="0"/>
                <w:sz w:val="24"/>
                <w:szCs w:val="24"/>
              </w:rPr>
              <w:t>h。</w:t>
            </w:r>
          </w:p>
          <w:p w14:paraId="1BD3EC53">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snapToGrid w:val="0"/>
                <w:color w:val="auto"/>
                <w:kern w:val="0"/>
                <w:sz w:val="24"/>
                <w:szCs w:val="24"/>
              </w:rPr>
            </w:pPr>
            <w:r>
              <w:rPr>
                <w:rFonts w:hint="default" w:ascii="Times New Roman" w:hAnsi="Times New Roman" w:eastAsia="仿宋" w:cs="Times New Roman"/>
                <w:snapToGrid w:val="0"/>
                <w:color w:val="auto"/>
                <w:kern w:val="0"/>
                <w:sz w:val="24"/>
                <w:szCs w:val="24"/>
              </w:rPr>
              <w:t>生活设施：不设宿舍</w:t>
            </w:r>
            <w:r>
              <w:rPr>
                <w:rFonts w:hint="default" w:ascii="Times New Roman" w:hAnsi="Times New Roman" w:eastAsia="仿宋" w:cs="Times New Roman"/>
                <w:snapToGrid w:val="0"/>
                <w:color w:val="auto"/>
                <w:kern w:val="0"/>
                <w:sz w:val="24"/>
                <w:szCs w:val="24"/>
                <w:lang w:eastAsia="zh-CN"/>
              </w:rPr>
              <w:t>、</w:t>
            </w:r>
            <w:r>
              <w:rPr>
                <w:rFonts w:hint="default" w:ascii="Times New Roman" w:hAnsi="Times New Roman" w:eastAsia="仿宋" w:cs="Times New Roman"/>
                <w:snapToGrid w:val="0"/>
                <w:color w:val="auto"/>
                <w:kern w:val="0"/>
                <w:sz w:val="24"/>
                <w:szCs w:val="24"/>
              </w:rPr>
              <w:t>浴室</w:t>
            </w:r>
            <w:r>
              <w:rPr>
                <w:rFonts w:hint="default" w:ascii="Times New Roman" w:hAnsi="Times New Roman" w:eastAsia="仿宋" w:cs="Times New Roman"/>
                <w:snapToGrid w:val="0"/>
                <w:color w:val="auto"/>
                <w:kern w:val="0"/>
                <w:sz w:val="24"/>
                <w:szCs w:val="24"/>
                <w:lang w:eastAsia="zh-CN"/>
              </w:rPr>
              <w:t>，</w:t>
            </w:r>
            <w:r>
              <w:rPr>
                <w:rFonts w:hint="default" w:ascii="Times New Roman" w:hAnsi="Times New Roman" w:eastAsia="仿宋" w:cs="Times New Roman"/>
                <w:snapToGrid w:val="0"/>
                <w:color w:val="auto"/>
                <w:kern w:val="0"/>
                <w:sz w:val="24"/>
                <w:szCs w:val="24"/>
                <w:lang w:val="en-US" w:eastAsia="zh-CN"/>
              </w:rPr>
              <w:t>食堂仅</w:t>
            </w:r>
            <w:r>
              <w:rPr>
                <w:rFonts w:hint="eastAsia" w:eastAsia="仿宋" w:cs="Times New Roman"/>
                <w:snapToGrid w:val="0"/>
                <w:color w:val="auto"/>
                <w:kern w:val="0"/>
                <w:sz w:val="24"/>
                <w:szCs w:val="24"/>
                <w:lang w:val="en-US" w:eastAsia="zh-CN"/>
              </w:rPr>
              <w:t>提供</w:t>
            </w:r>
            <w:r>
              <w:rPr>
                <w:rFonts w:hint="default" w:ascii="Times New Roman" w:hAnsi="Times New Roman" w:eastAsia="仿宋" w:cs="Times New Roman"/>
                <w:snapToGrid w:val="0"/>
                <w:color w:val="auto"/>
                <w:kern w:val="0"/>
                <w:sz w:val="24"/>
                <w:szCs w:val="24"/>
                <w:lang w:val="en-US" w:eastAsia="zh-CN"/>
              </w:rPr>
              <w:t>用餐场所，不进行烹饪</w:t>
            </w:r>
            <w:r>
              <w:rPr>
                <w:rFonts w:hint="default" w:ascii="Times New Roman" w:hAnsi="Times New Roman" w:eastAsia="仿宋" w:cs="Times New Roman"/>
                <w:snapToGrid w:val="0"/>
                <w:color w:val="auto"/>
                <w:kern w:val="0"/>
                <w:sz w:val="24"/>
                <w:szCs w:val="24"/>
              </w:rPr>
              <w:t>。</w:t>
            </w:r>
          </w:p>
          <w:p w14:paraId="38BB2798">
            <w:pPr>
              <w:keepNext w:val="0"/>
              <w:keepLines w:val="0"/>
              <w:pageBreakBefore w:val="0"/>
              <w:widowControl w:val="0"/>
              <w:kinsoku/>
              <w:wordWrap/>
              <w:overflowPunct/>
              <w:topLinePunct w:val="0"/>
              <w:bidi w:val="0"/>
              <w:spacing w:line="480" w:lineRule="exact"/>
              <w:ind w:firstLine="480" w:firstLineChars="200"/>
              <w:textAlignment w:val="auto"/>
              <w:rPr>
                <w:rFonts w:hint="default" w:ascii="Times New Roman" w:hAnsi="Times New Roman" w:eastAsia="仿宋" w:cs="Times New Roman"/>
                <w:snapToGrid w:val="0"/>
                <w:color w:val="auto"/>
                <w:kern w:val="0"/>
                <w:sz w:val="24"/>
                <w:szCs w:val="24"/>
              </w:rPr>
            </w:pPr>
            <w:r>
              <w:rPr>
                <w:rFonts w:hint="default" w:ascii="Times New Roman" w:hAnsi="Times New Roman" w:eastAsia="仿宋" w:cs="Times New Roman"/>
                <w:snapToGrid w:val="0"/>
                <w:color w:val="auto"/>
                <w:kern w:val="0"/>
                <w:sz w:val="24"/>
                <w:szCs w:val="24"/>
              </w:rPr>
              <w:t>项目进度：拟</w:t>
            </w:r>
            <w:r>
              <w:rPr>
                <w:rFonts w:hint="default" w:ascii="Times New Roman" w:hAnsi="Times New Roman" w:eastAsia="仿宋" w:cs="Times New Roman"/>
                <w:snapToGrid w:val="0"/>
                <w:color w:val="auto"/>
                <w:kern w:val="0"/>
                <w:sz w:val="24"/>
                <w:szCs w:val="24"/>
                <w:lang w:val="en-US" w:eastAsia="zh-CN"/>
              </w:rPr>
              <w:t>于</w:t>
            </w:r>
            <w:r>
              <w:rPr>
                <w:rFonts w:hint="default" w:ascii="Times New Roman" w:hAnsi="Times New Roman" w:eastAsia="仿宋" w:cs="Times New Roman"/>
                <w:snapToGrid w:val="0"/>
                <w:color w:val="auto"/>
                <w:kern w:val="0"/>
                <w:sz w:val="24"/>
                <w:szCs w:val="24"/>
              </w:rPr>
              <w:t>202</w:t>
            </w:r>
            <w:r>
              <w:rPr>
                <w:rFonts w:hint="eastAsia" w:eastAsia="仿宋" w:cs="Times New Roman"/>
                <w:snapToGrid w:val="0"/>
                <w:color w:val="auto"/>
                <w:kern w:val="0"/>
                <w:sz w:val="24"/>
                <w:szCs w:val="24"/>
                <w:lang w:val="en-US" w:eastAsia="zh-CN"/>
              </w:rPr>
              <w:t>5</w:t>
            </w:r>
            <w:r>
              <w:rPr>
                <w:rFonts w:hint="default" w:ascii="Times New Roman" w:hAnsi="Times New Roman" w:eastAsia="仿宋" w:cs="Times New Roman"/>
                <w:snapToGrid w:val="0"/>
                <w:color w:val="auto"/>
                <w:kern w:val="0"/>
                <w:sz w:val="24"/>
                <w:szCs w:val="24"/>
              </w:rPr>
              <w:t>年</w:t>
            </w:r>
            <w:r>
              <w:rPr>
                <w:rFonts w:hint="eastAsia" w:eastAsia="仿宋" w:cs="Times New Roman"/>
                <w:snapToGrid w:val="0"/>
                <w:color w:val="auto"/>
                <w:kern w:val="0"/>
                <w:sz w:val="24"/>
                <w:szCs w:val="24"/>
                <w:lang w:val="en-US" w:eastAsia="zh-CN"/>
              </w:rPr>
              <w:t>2</w:t>
            </w:r>
            <w:r>
              <w:rPr>
                <w:rFonts w:hint="default" w:ascii="Times New Roman" w:hAnsi="Times New Roman" w:eastAsia="仿宋" w:cs="Times New Roman"/>
                <w:snapToGrid w:val="0"/>
                <w:color w:val="auto"/>
                <w:kern w:val="0"/>
                <w:sz w:val="24"/>
                <w:szCs w:val="24"/>
              </w:rPr>
              <w:t>月建成投运。</w:t>
            </w:r>
          </w:p>
          <w:p w14:paraId="0813257C">
            <w:pPr>
              <w:keepNext w:val="0"/>
              <w:keepLines w:val="0"/>
              <w:pageBreakBefore w:val="0"/>
              <w:widowControl w:val="0"/>
              <w:kinsoku/>
              <w:wordWrap/>
              <w:overflowPunct/>
              <w:topLinePunct w:val="0"/>
              <w:autoSpaceDE w:val="0"/>
              <w:autoSpaceDN w:val="0"/>
              <w:bidi w:val="0"/>
              <w:adjustRightInd w:val="0"/>
              <w:snapToGrid w:val="0"/>
              <w:spacing w:line="480" w:lineRule="exact"/>
              <w:textAlignment w:val="auto"/>
              <w:rPr>
                <w:rFonts w:hint="default" w:ascii="Times New Roman" w:hAnsi="Times New Roman" w:eastAsia="仿宋" w:cs="Times New Roman"/>
                <w:b/>
                <w:bCs/>
                <w:color w:val="auto"/>
                <w:kern w:val="0"/>
                <w:sz w:val="24"/>
                <w:szCs w:val="24"/>
              </w:rPr>
            </w:pPr>
            <w:r>
              <w:rPr>
                <w:rFonts w:hint="eastAsia" w:ascii="Times New Roman" w:hAnsi="Times New Roman" w:eastAsia="仿宋" w:cs="Times New Roman"/>
                <w:b/>
                <w:bCs/>
                <w:color w:val="auto"/>
                <w:kern w:val="0"/>
                <w:sz w:val="24"/>
                <w:szCs w:val="24"/>
                <w:lang w:val="en-US" w:eastAsia="zh-CN"/>
              </w:rPr>
              <w:t>8</w:t>
            </w:r>
            <w:r>
              <w:rPr>
                <w:rFonts w:hint="default" w:ascii="Times New Roman" w:hAnsi="Times New Roman" w:eastAsia="仿宋" w:cs="Times New Roman"/>
                <w:b/>
                <w:bCs/>
                <w:color w:val="auto"/>
                <w:kern w:val="0"/>
                <w:sz w:val="24"/>
                <w:szCs w:val="24"/>
              </w:rPr>
              <w:t>、周边概况及厂区平面布置情况</w:t>
            </w:r>
          </w:p>
          <w:p w14:paraId="13CD159E">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lang w:val="en-US"/>
              </w:rPr>
            </w:pPr>
            <w:r>
              <w:rPr>
                <w:rFonts w:hint="default" w:ascii="Times New Roman" w:hAnsi="Times New Roman" w:eastAsia="仿宋" w:cs="Times New Roman"/>
                <w:color w:val="auto"/>
                <w:spacing w:val="-2"/>
                <w:sz w:val="24"/>
                <w:szCs w:val="24"/>
              </w:rPr>
              <w:t>本项目位于</w:t>
            </w:r>
            <w:r>
              <w:rPr>
                <w:rFonts w:hint="default" w:ascii="Times New Roman" w:hAnsi="Times New Roman" w:eastAsia="仿宋" w:cs="Times New Roman"/>
                <w:color w:val="auto"/>
                <w:sz w:val="24"/>
                <w:szCs w:val="24"/>
              </w:rPr>
              <w:t>江苏武进经济开发区</w:t>
            </w:r>
            <w:r>
              <w:rPr>
                <w:rFonts w:hint="default" w:ascii="Times New Roman" w:hAnsi="Times New Roman" w:eastAsia="仿宋" w:cs="Times New Roman"/>
                <w:color w:val="auto"/>
                <w:sz w:val="24"/>
                <w:szCs w:val="24"/>
                <w:lang w:eastAsia="zh-CN"/>
              </w:rPr>
              <w:t>长秀路8号</w:t>
            </w:r>
            <w:r>
              <w:rPr>
                <w:rFonts w:hint="default" w:ascii="Times New Roman" w:hAnsi="Times New Roman" w:eastAsia="仿宋" w:cs="Times New Roman"/>
                <w:color w:val="auto"/>
                <w:sz w:val="24"/>
                <w:szCs w:val="24"/>
                <w:lang w:val="en-US" w:eastAsia="zh-CN"/>
              </w:rPr>
              <w:t>坤鼎常州西太湖创新产业园</w:t>
            </w:r>
            <w:r>
              <w:rPr>
                <w:rFonts w:hint="default" w:ascii="Times New Roman" w:hAnsi="Times New Roman" w:eastAsia="仿宋" w:cs="Times New Roman"/>
                <w:color w:val="auto"/>
                <w:spacing w:val="-2"/>
                <w:sz w:val="24"/>
                <w:szCs w:val="24"/>
                <w:lang w:val="en-US" w:eastAsia="zh-CN"/>
              </w:rPr>
              <w:t>9幢</w:t>
            </w:r>
            <w:r>
              <w:rPr>
                <w:rFonts w:hint="default" w:ascii="Times New Roman" w:hAnsi="Times New Roman" w:eastAsia="仿宋" w:cs="Times New Roman"/>
                <w:color w:val="auto"/>
                <w:spacing w:val="-2"/>
                <w:sz w:val="24"/>
                <w:szCs w:val="24"/>
              </w:rPr>
              <w:t>，</w:t>
            </w:r>
            <w:r>
              <w:rPr>
                <w:rFonts w:hint="default" w:ascii="Times New Roman" w:hAnsi="Times New Roman" w:eastAsia="仿宋" w:cs="Times New Roman"/>
                <w:color w:val="auto"/>
                <w:spacing w:val="-2"/>
                <w:sz w:val="24"/>
                <w:szCs w:val="24"/>
                <w:lang w:val="en-US" w:eastAsia="zh-CN"/>
              </w:rPr>
              <w:t>利用自购的厂房进行生产，</w:t>
            </w:r>
            <w:r>
              <w:rPr>
                <w:rFonts w:hint="eastAsia" w:ascii="Times New Roman" w:hAnsi="Times New Roman" w:eastAsia="仿宋" w:cs="Times New Roman"/>
                <w:color w:val="auto"/>
                <w:spacing w:val="-2"/>
                <w:sz w:val="24"/>
                <w:szCs w:val="24"/>
                <w:lang w:val="en-US" w:eastAsia="zh-CN"/>
              </w:rPr>
              <w:t>项目</w:t>
            </w:r>
            <w:r>
              <w:rPr>
                <w:rFonts w:hint="default" w:ascii="Times New Roman" w:hAnsi="Times New Roman" w:eastAsia="仿宋" w:cs="Times New Roman"/>
                <w:color w:val="auto"/>
                <w:spacing w:val="-2"/>
                <w:sz w:val="24"/>
                <w:szCs w:val="24"/>
                <w:lang w:val="en-US" w:eastAsia="zh-CN"/>
              </w:rPr>
              <w:t>东侧为锦棠路，隔路为江药集团常州有限公司，西侧为产业园</w:t>
            </w:r>
            <w:r>
              <w:rPr>
                <w:rFonts w:hint="eastAsia" w:ascii="Times New Roman" w:hAnsi="Times New Roman" w:eastAsia="仿宋" w:cs="Times New Roman"/>
                <w:color w:val="auto"/>
                <w:spacing w:val="-2"/>
                <w:sz w:val="24"/>
                <w:szCs w:val="24"/>
                <w:lang w:val="en-US" w:eastAsia="zh-CN"/>
              </w:rPr>
              <w:t>的其他厂房，再往西为</w:t>
            </w:r>
            <w:r>
              <w:rPr>
                <w:rFonts w:hint="default" w:ascii="Times New Roman" w:hAnsi="Times New Roman" w:eastAsia="仿宋" w:cs="Times New Roman"/>
                <w:color w:val="auto"/>
                <w:spacing w:val="-2"/>
                <w:sz w:val="24"/>
                <w:szCs w:val="24"/>
                <w:lang w:val="en-US" w:eastAsia="zh-CN"/>
              </w:rPr>
              <w:t>空地、扁担河，南侧为产业园</w:t>
            </w:r>
            <w:r>
              <w:rPr>
                <w:rFonts w:hint="eastAsia" w:ascii="Times New Roman" w:hAnsi="Times New Roman" w:eastAsia="仿宋" w:cs="Times New Roman"/>
                <w:color w:val="auto"/>
                <w:spacing w:val="-2"/>
                <w:sz w:val="24"/>
                <w:szCs w:val="24"/>
                <w:lang w:val="en-US" w:eastAsia="zh-CN"/>
              </w:rPr>
              <w:t>的其他厂房，再往南为</w:t>
            </w:r>
            <w:r>
              <w:rPr>
                <w:rFonts w:hint="default" w:ascii="Times New Roman" w:hAnsi="Times New Roman" w:eastAsia="仿宋" w:cs="Times New Roman"/>
                <w:color w:val="auto"/>
                <w:spacing w:val="-2"/>
                <w:sz w:val="24"/>
                <w:szCs w:val="24"/>
                <w:lang w:val="en-US" w:eastAsia="zh-CN"/>
              </w:rPr>
              <w:t>空地、长秀路，隔路为艾利丹尼森（常州）薄膜科技有限公司，北侧为产业园</w:t>
            </w:r>
            <w:r>
              <w:rPr>
                <w:rFonts w:hint="eastAsia" w:ascii="Times New Roman" w:hAnsi="Times New Roman" w:eastAsia="仿宋" w:cs="Times New Roman"/>
                <w:color w:val="auto"/>
                <w:spacing w:val="-2"/>
                <w:sz w:val="24"/>
                <w:szCs w:val="24"/>
                <w:lang w:val="en-US" w:eastAsia="zh-CN"/>
              </w:rPr>
              <w:t>的其他厂房，再往北为</w:t>
            </w:r>
            <w:r>
              <w:rPr>
                <w:rFonts w:hint="default" w:ascii="Times New Roman" w:hAnsi="Times New Roman" w:eastAsia="仿宋" w:cs="Times New Roman"/>
                <w:color w:val="auto"/>
                <w:spacing w:val="-2"/>
                <w:sz w:val="24"/>
                <w:szCs w:val="24"/>
                <w:lang w:val="en-US" w:eastAsia="zh-CN"/>
              </w:rPr>
              <w:t>长虹西快速路</w:t>
            </w:r>
            <w:r>
              <w:rPr>
                <w:rFonts w:hint="default" w:ascii="Times New Roman" w:hAnsi="Times New Roman" w:eastAsia="仿宋" w:cs="Times New Roman"/>
                <w:color w:val="auto"/>
                <w:spacing w:val="-2"/>
                <w:sz w:val="24"/>
                <w:szCs w:val="24"/>
              </w:rPr>
              <w:t>。</w:t>
            </w:r>
            <w:r>
              <w:rPr>
                <w:rFonts w:hint="default" w:ascii="Times New Roman" w:hAnsi="Times New Roman" w:eastAsia="仿宋" w:cs="Times New Roman"/>
                <w:color w:val="auto"/>
                <w:spacing w:val="-2"/>
                <w:sz w:val="24"/>
                <w:szCs w:val="24"/>
                <w:lang w:val="en-US" w:eastAsia="zh-CN"/>
              </w:rPr>
              <w:t>本项目周边500m范围内无敏感点。</w:t>
            </w:r>
          </w:p>
          <w:p w14:paraId="0CA1DF27">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r>
              <w:rPr>
                <w:rFonts w:hint="default" w:ascii="Times New Roman" w:hAnsi="Times New Roman" w:eastAsia="仿宋" w:cs="Times New Roman"/>
                <w:color w:val="auto"/>
                <w:spacing w:val="-2"/>
                <w:sz w:val="24"/>
                <w:szCs w:val="24"/>
                <w:lang w:val="en-US" w:eastAsia="zh-CN"/>
              </w:rPr>
              <w:t>本项目车间布局如下：1F有转子加工区、</w:t>
            </w:r>
            <w:r>
              <w:rPr>
                <w:rFonts w:hint="eastAsia" w:eastAsia="仿宋" w:cs="Times New Roman"/>
                <w:color w:val="auto"/>
                <w:spacing w:val="-2"/>
                <w:sz w:val="24"/>
                <w:szCs w:val="24"/>
                <w:lang w:val="en-US" w:eastAsia="zh-CN"/>
              </w:rPr>
              <w:t>涂胶、固化区、</w:t>
            </w:r>
            <w:r>
              <w:rPr>
                <w:rFonts w:hint="default" w:ascii="Times New Roman" w:hAnsi="Times New Roman" w:eastAsia="仿宋" w:cs="Times New Roman"/>
                <w:color w:val="auto"/>
                <w:spacing w:val="-2"/>
                <w:sz w:val="24"/>
                <w:szCs w:val="24"/>
                <w:lang w:val="en-US" w:eastAsia="zh-CN"/>
              </w:rPr>
              <w:t>办公区、清洗区、珩磨区、检验区、一般固废堆场、危废仓库等，2F有焊接、组装、检验区、绕线区、办公区等，3F有组装区、办公区、检验区等，4F有餐厅、会议室和闲置车间</w:t>
            </w:r>
            <w:r>
              <w:rPr>
                <w:rFonts w:hint="default" w:ascii="Times New Roman" w:hAnsi="Times New Roman" w:eastAsia="仿宋" w:cs="Times New Roman"/>
                <w:color w:val="auto"/>
                <w:spacing w:val="-2"/>
                <w:sz w:val="24"/>
                <w:szCs w:val="24"/>
              </w:rPr>
              <w:t>。车间建筑物整体布置满足生产管理需要。</w:t>
            </w:r>
          </w:p>
          <w:p w14:paraId="37173BFA">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292DEA70">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31A51334">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4093464A">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1EEA0BEC">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0AC255DC">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46045288">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3496B2D2">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79ABFF8B">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4DDB136B">
            <w:pPr>
              <w:keepNext w:val="0"/>
              <w:keepLines w:val="0"/>
              <w:pageBreakBefore w:val="0"/>
              <w:widowControl w:val="0"/>
              <w:kinsoku/>
              <w:wordWrap/>
              <w:overflowPunct/>
              <w:topLinePunct w:val="0"/>
              <w:bidi w:val="0"/>
              <w:spacing w:line="480" w:lineRule="exact"/>
              <w:ind w:firstLine="472" w:firstLineChars="200"/>
              <w:textAlignment w:val="auto"/>
              <w:rPr>
                <w:rFonts w:hint="default" w:ascii="Times New Roman" w:hAnsi="Times New Roman" w:eastAsia="仿宋" w:cs="Times New Roman"/>
                <w:color w:val="auto"/>
                <w:spacing w:val="-2"/>
                <w:sz w:val="24"/>
                <w:szCs w:val="24"/>
              </w:rPr>
            </w:pPr>
          </w:p>
          <w:p w14:paraId="74D7F322">
            <w:pPr>
              <w:keepNext w:val="0"/>
              <w:keepLines w:val="0"/>
              <w:pageBreakBefore w:val="0"/>
              <w:widowControl w:val="0"/>
              <w:kinsoku/>
              <w:wordWrap/>
              <w:overflowPunct/>
              <w:topLinePunct w:val="0"/>
              <w:bidi w:val="0"/>
              <w:spacing w:line="480" w:lineRule="exact"/>
              <w:textAlignment w:val="auto"/>
              <w:rPr>
                <w:rFonts w:hint="default" w:ascii="Times New Roman" w:hAnsi="Times New Roman" w:eastAsia="仿宋" w:cs="Times New Roman"/>
                <w:color w:val="auto"/>
                <w:spacing w:val="-2"/>
                <w:sz w:val="24"/>
                <w:szCs w:val="24"/>
              </w:rPr>
            </w:pPr>
          </w:p>
        </w:tc>
      </w:tr>
      <w:tr w14:paraId="2C5A6E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3" w:hRule="atLeast"/>
          <w:jc w:val="center"/>
        </w:trPr>
        <w:tc>
          <w:tcPr>
            <w:tcW w:w="717" w:type="dxa"/>
            <w:noWrap w:val="0"/>
            <w:vAlign w:val="center"/>
          </w:tcPr>
          <w:p w14:paraId="7D5BE72C">
            <w:pPr>
              <w:pStyle w:val="20"/>
              <w:adjustRightInd w:val="0"/>
              <w:snapToGrid w:val="0"/>
              <w:spacing w:before="0" w:beforeAutospacing="0" w:after="0" w:afterAutospacing="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工艺流程和产排污环节</w:t>
            </w:r>
          </w:p>
        </w:tc>
        <w:tc>
          <w:tcPr>
            <w:tcW w:w="8343" w:type="dxa"/>
            <w:noWrap w:val="0"/>
            <w:vAlign w:val="top"/>
          </w:tcPr>
          <w:p w14:paraId="05F66D0B">
            <w:pPr>
              <w:keepNext w:val="0"/>
              <w:keepLines w:val="0"/>
              <w:pageBreakBefore w:val="0"/>
              <w:widowControl w:val="0"/>
              <w:numPr>
                <w:ilvl w:val="0"/>
                <w:numId w:val="13"/>
              </w:numPr>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highlight w:val="none"/>
              </w:rPr>
            </w:pPr>
            <w:r>
              <w:rPr>
                <w:rFonts w:hint="default" w:ascii="Times New Roman" w:hAnsi="Times New Roman" w:eastAsia="仿宋" w:cs="Times New Roman"/>
                <w:b/>
                <w:bCs/>
                <w:color w:val="auto"/>
                <w:kern w:val="0"/>
                <w:sz w:val="24"/>
                <w:szCs w:val="24"/>
                <w:highlight w:val="none"/>
              </w:rPr>
              <w:t>工艺流程及产污环节简述</w:t>
            </w:r>
          </w:p>
          <w:p w14:paraId="6F771591">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本项目产品为步进电机、驱动器和直流无刷电机，具体工艺流程如下：</w:t>
            </w:r>
          </w:p>
          <w:p w14:paraId="2411BAD3">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①步进电机生产工艺流程图</w:t>
            </w:r>
          </w:p>
          <w:p w14:paraId="75CA908D">
            <w:pPr>
              <w:spacing w:line="240" w:lineRule="auto"/>
              <w:jc w:val="center"/>
              <w:rPr>
                <w:rFonts w:hint="default" w:ascii="Times New Roman" w:hAnsi="Times New Roman" w:eastAsia="仿宋" w:cs="Times New Roman"/>
                <w:sz w:val="24"/>
              </w:rPr>
            </w:pPr>
            <w:r>
              <w:rPr>
                <w:rFonts w:hint="default" w:ascii="Times New Roman" w:hAnsi="Times New Roman" w:eastAsia="仿宋" w:cs="Times New Roman"/>
                <w:b/>
                <w:bCs/>
                <w:color w:val="auto"/>
                <w:spacing w:val="0"/>
                <w:w w:val="100"/>
                <w:kern w:val="2"/>
                <w:position w:val="0"/>
                <w:sz w:val="24"/>
                <w:szCs w:val="24"/>
                <w:u w:val="none"/>
                <w:vertAlign w:val="baseline"/>
                <w:lang w:val="en-US" w:eastAsia="zh-CN" w:bidi="ar-SA"/>
              </w:rPr>
              <w:drawing>
                <wp:inline distT="0" distB="0" distL="114300" distR="114300">
                  <wp:extent cx="4581525" cy="4640580"/>
                  <wp:effectExtent l="0" t="0" r="9525" b="0"/>
                  <wp:docPr id="2" name="ECB019B1-382A-4266-B25C-5B523AA43C14-2" descr="C:/Users/Administrator/AppData/Local/Temp/wps.Ukaog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Administrator/AppData/Local/Temp/wps.UkaogKwps"/>
                          <pic:cNvPicPr>
                            <a:picLocks noChangeAspect="1"/>
                          </pic:cNvPicPr>
                        </pic:nvPicPr>
                        <pic:blipFill>
                          <a:blip r:embed="rId10"/>
                          <a:srcRect l="4539" t="3090" r="4150" b="3185"/>
                          <a:stretch>
                            <a:fillRect/>
                          </a:stretch>
                        </pic:blipFill>
                        <pic:spPr>
                          <a:xfrm>
                            <a:off x="0" y="0"/>
                            <a:ext cx="4581525" cy="4640580"/>
                          </a:xfrm>
                          <a:prstGeom prst="rect">
                            <a:avLst/>
                          </a:prstGeom>
                        </pic:spPr>
                      </pic:pic>
                    </a:graphicData>
                  </a:graphic>
                </wp:inline>
              </w:drawing>
            </w:r>
          </w:p>
          <w:p w14:paraId="54595374">
            <w:pPr>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图2-2  步进电机生产工艺流程图</w:t>
            </w:r>
          </w:p>
          <w:p w14:paraId="10247B8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工艺流程说明：</w:t>
            </w:r>
          </w:p>
          <w:p w14:paraId="169B6FC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（1）内孔珩磨：用珩磨机</w:t>
            </w:r>
            <w:r>
              <w:rPr>
                <w:rFonts w:hint="eastAsia" w:ascii="Times New Roman" w:hAnsi="Times New Roman" w:eastAsia="仿宋" w:cs="Times New Roman"/>
                <w:bCs/>
                <w:color w:val="auto"/>
                <w:sz w:val="24"/>
                <w:szCs w:val="24"/>
                <w:lang w:val="en-US" w:eastAsia="zh-CN"/>
              </w:rPr>
              <w:t>、数控珩磨机</w:t>
            </w:r>
            <w:r>
              <w:rPr>
                <w:rFonts w:hint="default" w:ascii="Times New Roman" w:hAnsi="Times New Roman" w:eastAsia="仿宋" w:cs="Times New Roman"/>
                <w:bCs/>
                <w:color w:val="auto"/>
                <w:sz w:val="24"/>
                <w:szCs w:val="24"/>
                <w:lang w:val="en-US" w:eastAsia="zh-CN"/>
              </w:rPr>
              <w:t>对定子进行加工打磨，此过程中产生</w:t>
            </w:r>
            <w:r>
              <w:rPr>
                <w:rFonts w:hint="eastAsia" w:ascii="Times New Roman" w:hAnsi="Times New Roman" w:eastAsia="仿宋" w:cs="Times New Roman"/>
                <w:bCs/>
                <w:color w:val="auto"/>
                <w:sz w:val="24"/>
                <w:szCs w:val="24"/>
                <w:lang w:val="en-US" w:eastAsia="zh-CN"/>
              </w:rPr>
              <w:t>S1-1</w:t>
            </w:r>
            <w:r>
              <w:rPr>
                <w:rFonts w:hint="default" w:ascii="Times New Roman" w:hAnsi="Times New Roman" w:eastAsia="仿宋" w:cs="Times New Roman"/>
                <w:bCs/>
                <w:color w:val="auto"/>
                <w:sz w:val="24"/>
                <w:szCs w:val="24"/>
                <w:lang w:val="en-US" w:eastAsia="zh-CN"/>
              </w:rPr>
              <w:t>废金属边角料。</w:t>
            </w:r>
          </w:p>
          <w:p w14:paraId="6AD0360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（2）清洗：将完成内孔珩磨的定子放入六槽</w:t>
            </w:r>
            <w:r>
              <w:rPr>
                <w:rFonts w:hint="eastAsia" w:ascii="Times New Roman" w:hAnsi="Times New Roman" w:eastAsia="仿宋" w:cs="Times New Roman"/>
                <w:bCs/>
                <w:color w:val="auto"/>
                <w:sz w:val="24"/>
                <w:szCs w:val="24"/>
                <w:lang w:val="en-US" w:eastAsia="zh-CN"/>
              </w:rPr>
              <w:t>式超声波</w:t>
            </w:r>
            <w:r>
              <w:rPr>
                <w:rFonts w:hint="default" w:ascii="Times New Roman" w:hAnsi="Times New Roman" w:eastAsia="仿宋" w:cs="Times New Roman"/>
                <w:bCs/>
                <w:color w:val="auto"/>
                <w:sz w:val="24"/>
                <w:szCs w:val="24"/>
                <w:lang w:val="en-US" w:eastAsia="zh-CN"/>
              </w:rPr>
              <w:t>清洗机使用清洗剂进行清洗</w:t>
            </w:r>
            <w:r>
              <w:rPr>
                <w:rFonts w:hint="eastAsia" w:eastAsia="仿宋" w:cs="Times New Roman"/>
                <w:bCs/>
                <w:color w:val="auto"/>
                <w:sz w:val="24"/>
                <w:szCs w:val="24"/>
                <w:lang w:val="en-US" w:eastAsia="zh-CN"/>
              </w:rPr>
              <w:t>，清洗剂共设置6个槽体（2个清洗槽，1个漂洗槽，3个沥干槽），每个槽</w:t>
            </w:r>
            <w:r>
              <w:rPr>
                <w:rFonts w:hint="default" w:ascii="Times New Roman" w:hAnsi="Times New Roman" w:eastAsia="仿宋" w:cs="Times New Roman"/>
                <w:color w:val="auto"/>
                <w:sz w:val="24"/>
                <w:szCs w:val="24"/>
                <w:lang w:val="en-US" w:eastAsia="zh-CN"/>
              </w:rPr>
              <w:t>0.08m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（0.5m×0.4m×0.4m）</w:t>
            </w:r>
            <w:r>
              <w:rPr>
                <w:rFonts w:hint="default" w:ascii="Times New Roman" w:hAnsi="Times New Roman" w:eastAsia="仿宋" w:cs="Times New Roman"/>
                <w:bCs/>
                <w:color w:val="auto"/>
                <w:sz w:val="24"/>
                <w:szCs w:val="24"/>
                <w:lang w:val="en-US" w:eastAsia="zh-CN"/>
              </w:rPr>
              <w:t>。清洗</w:t>
            </w:r>
            <w:r>
              <w:rPr>
                <w:rFonts w:hint="eastAsia" w:eastAsia="仿宋" w:cs="Times New Roman"/>
                <w:bCs/>
                <w:color w:val="auto"/>
                <w:sz w:val="24"/>
                <w:szCs w:val="24"/>
                <w:lang w:val="en-US" w:eastAsia="zh-CN"/>
              </w:rPr>
              <w:t>、漂洗</w:t>
            </w:r>
            <w:r>
              <w:rPr>
                <w:rFonts w:hint="default" w:ascii="Times New Roman" w:hAnsi="Times New Roman" w:eastAsia="仿宋" w:cs="Times New Roman"/>
                <w:bCs/>
                <w:color w:val="auto"/>
                <w:sz w:val="24"/>
                <w:szCs w:val="24"/>
                <w:lang w:val="en-US" w:eastAsia="zh-CN"/>
              </w:rPr>
              <w:t>过程</w:t>
            </w:r>
            <w:r>
              <w:rPr>
                <w:rFonts w:hint="eastAsia" w:eastAsia="仿宋" w:cs="Times New Roman"/>
                <w:bCs/>
                <w:color w:val="auto"/>
                <w:sz w:val="24"/>
                <w:szCs w:val="24"/>
                <w:lang w:val="en-US" w:eastAsia="zh-CN"/>
              </w:rPr>
              <w:t>均需添加清洗剂，</w:t>
            </w:r>
            <w:r>
              <w:rPr>
                <w:rFonts w:hint="default" w:ascii="Times New Roman" w:hAnsi="Times New Roman" w:eastAsia="仿宋" w:cs="Times New Roman"/>
                <w:bCs/>
                <w:color w:val="auto"/>
                <w:sz w:val="24"/>
                <w:szCs w:val="24"/>
                <w:lang w:val="en-US" w:eastAsia="zh-CN"/>
              </w:rPr>
              <w:t>清洗剂与自来水按1:15的比例混合而成，对工件进行清洗，去除表面灰尘和油污。定子在清洗机中进行两道清洗，一道漂洗，漂洗后进行</w:t>
            </w:r>
            <w:r>
              <w:rPr>
                <w:rFonts w:hint="eastAsia" w:eastAsia="仿宋" w:cs="Times New Roman"/>
                <w:bCs/>
                <w:color w:val="auto"/>
                <w:sz w:val="24"/>
                <w:szCs w:val="24"/>
                <w:lang w:val="en-US" w:eastAsia="zh-CN"/>
              </w:rPr>
              <w:t>三道</w:t>
            </w:r>
            <w:r>
              <w:rPr>
                <w:rFonts w:hint="default" w:ascii="Times New Roman" w:hAnsi="Times New Roman" w:eastAsia="仿宋" w:cs="Times New Roman"/>
                <w:bCs/>
                <w:color w:val="auto"/>
                <w:sz w:val="24"/>
                <w:szCs w:val="24"/>
                <w:lang w:val="en-US" w:eastAsia="zh-CN"/>
              </w:rPr>
              <w:t>沥干。本项目使用的清洗剂是水基清洗剂，无废气产生</w:t>
            </w:r>
            <w:r>
              <w:rPr>
                <w:rFonts w:hint="eastAsia" w:ascii="Times New Roman" w:hAnsi="Times New Roman" w:eastAsia="仿宋" w:cs="Times New Roman"/>
                <w:bCs/>
                <w:color w:val="auto"/>
                <w:sz w:val="24"/>
                <w:szCs w:val="24"/>
                <w:lang w:val="en-US" w:eastAsia="zh-CN"/>
              </w:rPr>
              <w:t>，</w:t>
            </w:r>
            <w:r>
              <w:rPr>
                <w:rFonts w:hint="default" w:ascii="Times New Roman" w:hAnsi="Times New Roman" w:eastAsia="仿宋" w:cs="Times New Roman"/>
                <w:bCs/>
                <w:color w:val="auto"/>
                <w:sz w:val="24"/>
                <w:szCs w:val="24"/>
                <w:lang w:val="en-US" w:eastAsia="zh-CN"/>
              </w:rPr>
              <w:t>此过程中产生</w:t>
            </w:r>
            <w:r>
              <w:rPr>
                <w:rFonts w:hint="eastAsia" w:ascii="Times New Roman" w:hAnsi="Times New Roman" w:eastAsia="仿宋" w:cs="Times New Roman"/>
                <w:bCs/>
                <w:color w:val="auto"/>
                <w:sz w:val="24"/>
                <w:szCs w:val="24"/>
                <w:lang w:val="en-US" w:eastAsia="zh-CN"/>
              </w:rPr>
              <w:t>S1-2</w:t>
            </w:r>
            <w:r>
              <w:rPr>
                <w:rFonts w:hint="default" w:ascii="Times New Roman" w:hAnsi="Times New Roman" w:eastAsia="仿宋" w:cs="Times New Roman"/>
                <w:bCs/>
                <w:color w:val="auto"/>
                <w:sz w:val="24"/>
                <w:szCs w:val="24"/>
                <w:lang w:val="en-US" w:eastAsia="zh-CN"/>
              </w:rPr>
              <w:t>清洗废液。</w:t>
            </w:r>
          </w:p>
          <w:p w14:paraId="6D4FBB6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（3）烘干：将清洗好的定子</w:t>
            </w:r>
            <w:r>
              <w:rPr>
                <w:rFonts w:hint="eastAsia" w:eastAsia="仿宋" w:cs="Times New Roman"/>
                <w:bCs/>
                <w:color w:val="auto"/>
                <w:sz w:val="24"/>
                <w:szCs w:val="24"/>
                <w:lang w:val="en-US" w:eastAsia="zh-CN"/>
              </w:rPr>
              <w:t>放入烘箱内</w:t>
            </w:r>
            <w:r>
              <w:rPr>
                <w:rFonts w:hint="default" w:ascii="Times New Roman" w:hAnsi="Times New Roman" w:eastAsia="仿宋" w:cs="Times New Roman"/>
                <w:bCs/>
                <w:color w:val="auto"/>
                <w:sz w:val="24"/>
                <w:szCs w:val="24"/>
                <w:lang w:val="en-US" w:eastAsia="zh-CN"/>
              </w:rPr>
              <w:t>进行烘干</w:t>
            </w:r>
            <w:r>
              <w:rPr>
                <w:rFonts w:hint="eastAsia" w:eastAsia="仿宋" w:cs="Times New Roman"/>
                <w:bCs/>
                <w:color w:val="auto"/>
                <w:sz w:val="24"/>
                <w:szCs w:val="24"/>
                <w:lang w:val="en-US" w:eastAsia="zh-CN"/>
              </w:rPr>
              <w:t>以去除水分</w:t>
            </w:r>
            <w:r>
              <w:rPr>
                <w:rFonts w:hint="default" w:ascii="Times New Roman" w:hAnsi="Times New Roman" w:eastAsia="仿宋" w:cs="Times New Roman"/>
                <w:bCs/>
                <w:color w:val="auto"/>
                <w:sz w:val="24"/>
                <w:szCs w:val="24"/>
                <w:lang w:val="en-US" w:eastAsia="zh-CN"/>
              </w:rPr>
              <w:t>，</w:t>
            </w:r>
            <w:r>
              <w:rPr>
                <w:rFonts w:hint="eastAsia" w:eastAsia="仿宋" w:cs="Times New Roman"/>
                <w:bCs/>
                <w:color w:val="auto"/>
                <w:sz w:val="24"/>
                <w:szCs w:val="24"/>
                <w:lang w:val="en-US" w:eastAsia="zh-CN"/>
              </w:rPr>
              <w:t>采用电加热形式，</w:t>
            </w:r>
            <w:r>
              <w:rPr>
                <w:rFonts w:hint="default" w:ascii="Times New Roman" w:hAnsi="Times New Roman" w:eastAsia="仿宋" w:cs="Times New Roman"/>
                <w:bCs/>
                <w:color w:val="auto"/>
                <w:sz w:val="24"/>
                <w:szCs w:val="24"/>
                <w:lang w:val="en-US" w:eastAsia="zh-CN"/>
              </w:rPr>
              <w:t>烘干温度为50</w:t>
            </w:r>
            <w:r>
              <w:rPr>
                <w:rFonts w:hint="default" w:ascii="Times New Roman" w:hAnsi="Times New Roman" w:eastAsia="仿宋" w:cs="Times New Roman"/>
                <w:bCs/>
                <w:color w:val="auto"/>
                <w:sz w:val="24"/>
                <w:szCs w:val="24"/>
              </w:rPr>
              <w:t>°C</w:t>
            </w:r>
            <w:r>
              <w:rPr>
                <w:rFonts w:hint="eastAsia" w:ascii="Times New Roman" w:hAnsi="Times New Roman" w:eastAsia="仿宋" w:cs="Times New Roman"/>
                <w:bCs/>
                <w:color w:val="auto"/>
                <w:sz w:val="24"/>
                <w:szCs w:val="24"/>
                <w:lang w:val="en-US" w:eastAsia="zh-CN"/>
              </w:rPr>
              <w:t>，</w:t>
            </w:r>
            <w:r>
              <w:rPr>
                <w:rFonts w:hint="default" w:ascii="Times New Roman" w:hAnsi="Times New Roman" w:eastAsia="仿宋" w:cs="Times New Roman"/>
                <w:bCs/>
                <w:color w:val="auto"/>
                <w:sz w:val="24"/>
                <w:szCs w:val="24"/>
                <w:lang w:val="en-US" w:eastAsia="zh-CN"/>
              </w:rPr>
              <w:t>此过程中产生</w:t>
            </w:r>
            <w:r>
              <w:rPr>
                <w:rFonts w:hint="eastAsia" w:ascii="Times New Roman" w:hAnsi="Times New Roman" w:eastAsia="仿宋" w:cs="Times New Roman"/>
                <w:bCs/>
                <w:color w:val="auto"/>
                <w:sz w:val="24"/>
                <w:szCs w:val="24"/>
                <w:lang w:val="en-US" w:eastAsia="zh-CN"/>
              </w:rPr>
              <w:t>G1-1水蒸气</w:t>
            </w:r>
            <w:r>
              <w:rPr>
                <w:rFonts w:hint="default" w:ascii="Times New Roman" w:hAnsi="Times New Roman" w:eastAsia="仿宋" w:cs="Times New Roman"/>
                <w:bCs/>
                <w:color w:val="auto"/>
                <w:sz w:val="24"/>
                <w:szCs w:val="24"/>
                <w:lang w:val="en-US" w:eastAsia="zh-CN"/>
              </w:rPr>
              <w:t>。</w:t>
            </w:r>
          </w:p>
          <w:p w14:paraId="5D17EE6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（4）绕线：使用绕线机将引线缠绕在定子上，此过程无污染物产生及排放。</w:t>
            </w:r>
          </w:p>
          <w:p w14:paraId="3EB80BD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（5）焊接：将绕好线的定子使用锡条进行焊接，焊接为手工焊接，此过程中产生</w:t>
            </w:r>
            <w:r>
              <w:rPr>
                <w:rFonts w:hint="eastAsia" w:ascii="Times New Roman" w:hAnsi="Times New Roman" w:eastAsia="仿宋" w:cs="Times New Roman"/>
                <w:bCs/>
                <w:color w:val="auto"/>
                <w:sz w:val="24"/>
                <w:szCs w:val="24"/>
                <w:lang w:val="en-US" w:eastAsia="zh-CN"/>
              </w:rPr>
              <w:t>G1-2</w:t>
            </w:r>
            <w:r>
              <w:rPr>
                <w:rFonts w:hint="default" w:ascii="Times New Roman" w:hAnsi="Times New Roman" w:eastAsia="仿宋" w:cs="Times New Roman"/>
                <w:bCs/>
                <w:color w:val="auto"/>
                <w:sz w:val="24"/>
                <w:szCs w:val="24"/>
                <w:lang w:val="en-US" w:eastAsia="zh-CN"/>
              </w:rPr>
              <w:t>焊接烟尘。</w:t>
            </w:r>
          </w:p>
          <w:p w14:paraId="598E126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（6）</w:t>
            </w:r>
            <w:r>
              <w:rPr>
                <w:rFonts w:hint="eastAsia" w:eastAsia="仿宋" w:cs="Times New Roman"/>
                <w:bCs/>
                <w:color w:val="auto"/>
                <w:sz w:val="24"/>
                <w:szCs w:val="24"/>
                <w:lang w:val="en-US" w:eastAsia="zh-CN"/>
              </w:rPr>
              <w:t>涂胶：使用涂胶机在转子表面涂上胶水，根据提供的胶水VOCs检测报告，胶水中VOC含量未检出，且本项目胶水用量较小，不对涂胶废气进行定量分析。</w:t>
            </w:r>
          </w:p>
          <w:p w14:paraId="3A2B297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eastAsia" w:eastAsia="仿宋" w:cs="Times New Roman"/>
                <w:bCs/>
                <w:color w:val="auto"/>
                <w:sz w:val="24"/>
                <w:szCs w:val="24"/>
                <w:lang w:val="en-US" w:eastAsia="zh-CN"/>
              </w:rPr>
              <w:t>（7）固化：将涂好胶的转子放入烘箱中进行固化，采用电加热形式，加热温度160</w:t>
            </w:r>
            <w:r>
              <w:rPr>
                <w:rFonts w:hint="default" w:ascii="Times New Roman" w:hAnsi="Times New Roman" w:eastAsia="仿宋" w:cs="Times New Roman"/>
                <w:bCs/>
                <w:color w:val="auto"/>
                <w:sz w:val="24"/>
                <w:szCs w:val="24"/>
              </w:rPr>
              <w:t>°C</w:t>
            </w:r>
            <w:r>
              <w:rPr>
                <w:rFonts w:hint="eastAsia" w:ascii="Times New Roman" w:hAnsi="Times New Roman" w:eastAsia="仿宋" w:cs="Times New Roman"/>
                <w:bCs/>
                <w:color w:val="auto"/>
                <w:sz w:val="24"/>
                <w:szCs w:val="24"/>
                <w:lang w:eastAsia="zh-CN"/>
              </w:rPr>
              <w:t>，</w:t>
            </w:r>
            <w:r>
              <w:rPr>
                <w:rFonts w:hint="eastAsia" w:eastAsia="仿宋" w:cs="Times New Roman"/>
                <w:bCs/>
                <w:color w:val="auto"/>
                <w:sz w:val="24"/>
                <w:szCs w:val="24"/>
                <w:lang w:val="en-US" w:eastAsia="zh-CN"/>
              </w:rPr>
              <w:t>不对固化废气进行定量分析。</w:t>
            </w:r>
          </w:p>
          <w:p w14:paraId="142CD069">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eastAsia" w:eastAsia="仿宋" w:cs="Times New Roman"/>
                <w:bCs/>
                <w:color w:val="auto"/>
                <w:sz w:val="24"/>
                <w:szCs w:val="24"/>
                <w:lang w:val="en-US" w:eastAsia="zh-CN"/>
              </w:rPr>
              <w:t>（8）</w:t>
            </w:r>
            <w:r>
              <w:rPr>
                <w:rFonts w:hint="default" w:ascii="Times New Roman" w:hAnsi="Times New Roman" w:eastAsia="仿宋" w:cs="Times New Roman"/>
                <w:bCs/>
                <w:color w:val="auto"/>
                <w:sz w:val="24"/>
                <w:szCs w:val="24"/>
                <w:lang w:val="en-US" w:eastAsia="zh-CN"/>
              </w:rPr>
              <w:t>外圆磨加工：将转子放入数控步进马达转子磨床，加入切削液进行外圆磨加工</w:t>
            </w:r>
            <w:r>
              <w:rPr>
                <w:rFonts w:hint="eastAsia" w:ascii="Times New Roman" w:hAnsi="Times New Roman" w:eastAsia="仿宋" w:cs="Times New Roman"/>
                <w:bCs/>
                <w:color w:val="auto"/>
                <w:sz w:val="24"/>
                <w:szCs w:val="24"/>
                <w:lang w:val="en-US" w:eastAsia="zh-CN"/>
              </w:rPr>
              <w:t>，切削液</w:t>
            </w:r>
            <w:r>
              <w:rPr>
                <w:rFonts w:hint="default" w:ascii="Times New Roman" w:hAnsi="Times New Roman" w:eastAsia="仿宋" w:cs="Times New Roman"/>
                <w:bCs/>
                <w:color w:val="auto"/>
                <w:sz w:val="24"/>
                <w:szCs w:val="24"/>
                <w:lang w:val="en-US" w:eastAsia="zh-CN"/>
              </w:rPr>
              <w:t>与自来水按1:</w:t>
            </w:r>
            <w:r>
              <w:rPr>
                <w:rFonts w:hint="eastAsia" w:ascii="Times New Roman" w:hAnsi="Times New Roman" w:eastAsia="仿宋" w:cs="Times New Roman"/>
                <w:bCs/>
                <w:color w:val="auto"/>
                <w:sz w:val="24"/>
                <w:szCs w:val="24"/>
                <w:lang w:val="en-US" w:eastAsia="zh-CN"/>
              </w:rPr>
              <w:t>20</w:t>
            </w:r>
            <w:r>
              <w:rPr>
                <w:rFonts w:hint="default" w:ascii="Times New Roman" w:hAnsi="Times New Roman" w:eastAsia="仿宋" w:cs="Times New Roman"/>
                <w:bCs/>
                <w:color w:val="auto"/>
                <w:sz w:val="24"/>
                <w:szCs w:val="24"/>
                <w:lang w:val="en-US" w:eastAsia="zh-CN"/>
              </w:rPr>
              <w:t>的比例混合</w:t>
            </w:r>
            <w:r>
              <w:rPr>
                <w:rFonts w:hint="eastAsia" w:ascii="Times New Roman" w:hAnsi="Times New Roman" w:eastAsia="仿宋" w:cs="Times New Roman"/>
                <w:bCs/>
                <w:color w:val="auto"/>
                <w:sz w:val="24"/>
                <w:szCs w:val="24"/>
                <w:lang w:val="en-US" w:eastAsia="zh-CN"/>
              </w:rPr>
              <w:t>，</w:t>
            </w:r>
            <w:r>
              <w:rPr>
                <w:rFonts w:hint="default" w:ascii="Times New Roman" w:hAnsi="Times New Roman" w:eastAsia="仿宋" w:cs="Times New Roman"/>
                <w:bCs/>
                <w:color w:val="auto"/>
                <w:sz w:val="24"/>
                <w:szCs w:val="24"/>
                <w:lang w:val="en-US" w:eastAsia="zh-CN"/>
              </w:rPr>
              <w:t>此过程产生</w:t>
            </w:r>
            <w:r>
              <w:rPr>
                <w:rFonts w:hint="eastAsia" w:ascii="Times New Roman" w:hAnsi="Times New Roman" w:eastAsia="仿宋" w:cs="Times New Roman"/>
                <w:bCs/>
                <w:color w:val="auto"/>
                <w:sz w:val="24"/>
                <w:szCs w:val="24"/>
                <w:lang w:val="en-US" w:eastAsia="zh-CN"/>
              </w:rPr>
              <w:t>S1-3</w:t>
            </w:r>
            <w:r>
              <w:rPr>
                <w:rFonts w:hint="default" w:ascii="Times New Roman" w:hAnsi="Times New Roman" w:eastAsia="仿宋" w:cs="Times New Roman"/>
                <w:bCs/>
                <w:color w:val="auto"/>
                <w:sz w:val="24"/>
                <w:szCs w:val="24"/>
                <w:lang w:val="en-US" w:eastAsia="zh-CN"/>
              </w:rPr>
              <w:t>废切削液、</w:t>
            </w:r>
            <w:r>
              <w:rPr>
                <w:rFonts w:hint="eastAsia" w:ascii="Times New Roman" w:hAnsi="Times New Roman" w:eastAsia="仿宋" w:cs="Times New Roman"/>
                <w:bCs/>
                <w:color w:val="auto"/>
                <w:sz w:val="24"/>
                <w:szCs w:val="24"/>
                <w:lang w:val="en-US" w:eastAsia="zh-CN"/>
              </w:rPr>
              <w:t>S1-4</w:t>
            </w:r>
            <w:r>
              <w:rPr>
                <w:rFonts w:hint="default" w:ascii="Times New Roman" w:hAnsi="Times New Roman" w:eastAsia="仿宋" w:cs="Times New Roman"/>
                <w:bCs/>
                <w:color w:val="auto"/>
                <w:sz w:val="24"/>
                <w:szCs w:val="24"/>
                <w:lang w:val="en-US" w:eastAsia="zh-CN"/>
              </w:rPr>
              <w:t>磨床灰和</w:t>
            </w:r>
            <w:r>
              <w:rPr>
                <w:rFonts w:hint="eastAsia" w:ascii="Times New Roman" w:hAnsi="Times New Roman" w:eastAsia="仿宋" w:cs="Times New Roman"/>
                <w:bCs/>
                <w:color w:val="auto"/>
                <w:sz w:val="24"/>
                <w:szCs w:val="24"/>
                <w:lang w:val="en-US" w:eastAsia="zh-CN"/>
              </w:rPr>
              <w:t>S1-5</w:t>
            </w:r>
            <w:r>
              <w:rPr>
                <w:rFonts w:hint="default" w:ascii="Times New Roman" w:hAnsi="Times New Roman" w:eastAsia="仿宋" w:cs="Times New Roman"/>
                <w:bCs/>
                <w:color w:val="auto"/>
                <w:sz w:val="24"/>
                <w:szCs w:val="24"/>
                <w:lang w:val="en-US" w:eastAsia="zh-CN"/>
              </w:rPr>
              <w:t>废过滤纸。</w:t>
            </w:r>
          </w:p>
          <w:p w14:paraId="24F7FC5A">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w:t>
            </w:r>
            <w:r>
              <w:rPr>
                <w:rFonts w:hint="eastAsia" w:eastAsia="仿宋" w:cs="Times New Roman"/>
                <w:bCs/>
                <w:color w:val="auto"/>
                <w:sz w:val="24"/>
                <w:szCs w:val="24"/>
                <w:lang w:val="en-US" w:eastAsia="zh-CN"/>
              </w:rPr>
              <w:t>9</w:t>
            </w:r>
            <w:r>
              <w:rPr>
                <w:rFonts w:hint="default" w:ascii="Times New Roman" w:hAnsi="Times New Roman" w:eastAsia="仿宋" w:cs="Times New Roman"/>
                <w:bCs/>
                <w:color w:val="auto"/>
                <w:sz w:val="24"/>
                <w:szCs w:val="24"/>
                <w:lang w:val="en-US" w:eastAsia="zh-CN"/>
              </w:rPr>
              <w:t>）组装：将加工好的转子和定子加入螺丝、端盖、轴、磁钢进行组装，此过程无污染物产生及排放。</w:t>
            </w:r>
          </w:p>
          <w:p w14:paraId="75333B77">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w:t>
            </w:r>
            <w:r>
              <w:rPr>
                <w:rFonts w:hint="eastAsia" w:eastAsia="仿宋" w:cs="Times New Roman"/>
                <w:bCs/>
                <w:color w:val="auto"/>
                <w:sz w:val="24"/>
                <w:szCs w:val="24"/>
                <w:lang w:val="en-US" w:eastAsia="zh-CN"/>
              </w:rPr>
              <w:t>10</w:t>
            </w:r>
            <w:r>
              <w:rPr>
                <w:rFonts w:hint="default" w:ascii="Times New Roman" w:hAnsi="Times New Roman" w:eastAsia="仿宋" w:cs="Times New Roman"/>
                <w:bCs/>
                <w:color w:val="auto"/>
                <w:sz w:val="24"/>
                <w:szCs w:val="24"/>
                <w:lang w:val="en-US" w:eastAsia="zh-CN"/>
              </w:rPr>
              <w:t>）充磁：将组装好的产品使用充磁</w:t>
            </w:r>
            <w:r>
              <w:rPr>
                <w:rFonts w:hint="eastAsia" w:ascii="Times New Roman" w:hAnsi="Times New Roman" w:eastAsia="仿宋" w:cs="Times New Roman"/>
                <w:bCs/>
                <w:color w:val="auto"/>
                <w:sz w:val="24"/>
                <w:szCs w:val="24"/>
                <w:lang w:val="en-US" w:eastAsia="zh-CN"/>
              </w:rPr>
              <w:t>电源</w:t>
            </w:r>
            <w:r>
              <w:rPr>
                <w:rFonts w:hint="default" w:ascii="Times New Roman" w:hAnsi="Times New Roman" w:eastAsia="仿宋" w:cs="Times New Roman"/>
                <w:bCs/>
                <w:color w:val="auto"/>
                <w:sz w:val="24"/>
                <w:szCs w:val="24"/>
                <w:lang w:val="en-US" w:eastAsia="zh-CN"/>
              </w:rPr>
              <w:t>进行充磁，通过电流在线圈中产生磁场，使转子磁化</w:t>
            </w:r>
            <w:r>
              <w:rPr>
                <w:rFonts w:hint="eastAsia" w:ascii="Times New Roman" w:hAnsi="Times New Roman" w:eastAsia="仿宋" w:cs="Times New Roman"/>
                <w:bCs/>
                <w:color w:val="auto"/>
                <w:sz w:val="24"/>
                <w:szCs w:val="24"/>
                <w:lang w:val="en-US" w:eastAsia="zh-CN"/>
              </w:rPr>
              <w:t>，</w:t>
            </w:r>
            <w:r>
              <w:rPr>
                <w:rFonts w:hint="default" w:ascii="Times New Roman" w:hAnsi="Times New Roman" w:eastAsia="仿宋" w:cs="Times New Roman"/>
                <w:bCs/>
                <w:color w:val="auto"/>
                <w:sz w:val="24"/>
                <w:szCs w:val="24"/>
                <w:lang w:val="en-US" w:eastAsia="zh-CN"/>
              </w:rPr>
              <w:t>增强转子的磁性，确保其在电机中能够正常工作。</w:t>
            </w:r>
            <w:r>
              <w:rPr>
                <w:rFonts w:hint="eastAsia" w:ascii="Times New Roman" w:hAnsi="Times New Roman" w:eastAsia="仿宋" w:cs="Times New Roman"/>
                <w:bCs/>
                <w:color w:val="auto"/>
                <w:sz w:val="24"/>
                <w:szCs w:val="24"/>
                <w:lang w:val="en-US" w:eastAsia="zh-CN"/>
              </w:rPr>
              <w:t>充磁电源</w:t>
            </w:r>
            <w:r>
              <w:rPr>
                <w:rFonts w:hint="default" w:ascii="Times New Roman" w:hAnsi="Times New Roman" w:eastAsia="仿宋" w:cs="Times New Roman"/>
                <w:bCs/>
                <w:color w:val="auto"/>
                <w:sz w:val="24"/>
                <w:szCs w:val="24"/>
                <w:lang w:val="en-US" w:eastAsia="zh-CN"/>
              </w:rPr>
              <w:t>的工作原理并不是通过高频电磁波辐射来实现磁化，而是通过交流电磁场的变化来实现磁感应。因此，充磁机并不会产生与辐射有关的电磁波或者离子辐射。</w:t>
            </w:r>
            <w:r>
              <w:rPr>
                <w:rFonts w:hint="default" w:ascii="Times New Roman" w:hAnsi="Times New Roman" w:eastAsia="仿宋" w:cs="Times New Roman"/>
                <w:bCs/>
                <w:color w:val="auto"/>
                <w:sz w:val="24"/>
                <w:szCs w:val="24"/>
                <w:lang w:val="en-US" w:eastAsia="zh-CN"/>
              </w:rPr>
              <w:t>此过程无污染物产生及排放。</w:t>
            </w:r>
          </w:p>
          <w:p w14:paraId="797EB14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73E095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5D3DA9A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47351CB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3E470FF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50FC52C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p>
          <w:p w14:paraId="7B95D9F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②直流无刷电机生产工艺流程图</w:t>
            </w:r>
          </w:p>
          <w:p w14:paraId="3BF4CE4B">
            <w:pPr>
              <w:adjustRightInd w:val="0"/>
              <w:snapToGrid w:val="0"/>
              <w:spacing w:line="240" w:lineRule="auto"/>
              <w:jc w:val="center"/>
              <w:rPr>
                <w:rFonts w:hint="default" w:ascii="Times New Roman" w:hAnsi="Times New Roman" w:eastAsia="仿宋" w:cs="Times New Roman"/>
                <w:bCs/>
                <w:color w:val="auto"/>
                <w:szCs w:val="21"/>
                <w:lang w:val="en-US" w:eastAsia="zh-CN"/>
              </w:rPr>
            </w:pPr>
            <w:r>
              <w:rPr>
                <w:rFonts w:hint="default" w:ascii="Times New Roman" w:hAnsi="Times New Roman" w:eastAsia="仿宋" w:cs="Times New Roman"/>
                <w:b/>
                <w:bCs/>
                <w:sz w:val="24"/>
                <w:szCs w:val="24"/>
                <w:rtl w:val="0"/>
                <w:lang w:val="en-US" w:eastAsia="zh-CN"/>
              </w:rPr>
              <w:drawing>
                <wp:inline distT="0" distB="0" distL="114300" distR="114300">
                  <wp:extent cx="2479040" cy="5137150"/>
                  <wp:effectExtent l="0" t="0" r="16510" b="6350"/>
                  <wp:docPr id="3" name="ECB019B1-382A-4266-B25C-5B523AA43C14-3" descr="C:/Users/Administrator/AppData/Local/Temp/wps.MhUvH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C:/Users/Administrator/AppData/Local/Temp/wps.MhUvHswps"/>
                          <pic:cNvPicPr>
                            <a:picLocks noChangeAspect="1"/>
                          </pic:cNvPicPr>
                        </pic:nvPicPr>
                        <pic:blipFill>
                          <a:blip r:embed="rId11"/>
                          <a:srcRect l="4934" t="3060" r="6340" b="3022"/>
                          <a:stretch>
                            <a:fillRect/>
                          </a:stretch>
                        </pic:blipFill>
                        <pic:spPr>
                          <a:xfrm>
                            <a:off x="0" y="0"/>
                            <a:ext cx="2479040" cy="5137150"/>
                          </a:xfrm>
                          <a:prstGeom prst="rect">
                            <a:avLst/>
                          </a:prstGeom>
                        </pic:spPr>
                      </pic:pic>
                    </a:graphicData>
                  </a:graphic>
                </wp:inline>
              </w:drawing>
            </w:r>
          </w:p>
          <w:p w14:paraId="0C2B4231">
            <w:pPr>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图2-3  直流无刷电机生产工艺流程图</w:t>
            </w:r>
          </w:p>
          <w:p w14:paraId="3CB6EC7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工艺流程说明：</w:t>
            </w:r>
          </w:p>
          <w:p w14:paraId="58B9828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（1）绕线：使用绕线机将引线缠绕在定子上，此过程无污染物产生及排放。</w:t>
            </w:r>
          </w:p>
          <w:p w14:paraId="0EA0793E">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（2）脱漆皮：使用压力机剥去线材外漆皮，此过程产生</w:t>
            </w:r>
            <w:r>
              <w:rPr>
                <w:rFonts w:hint="eastAsia" w:ascii="Times New Roman" w:hAnsi="Times New Roman" w:eastAsia="仿宋" w:cs="Times New Roman"/>
                <w:bCs/>
                <w:color w:val="auto"/>
                <w:sz w:val="24"/>
                <w:szCs w:val="24"/>
                <w:lang w:val="en-US" w:eastAsia="zh-CN"/>
              </w:rPr>
              <w:t>S2-1</w:t>
            </w:r>
            <w:r>
              <w:rPr>
                <w:rFonts w:hint="default" w:ascii="Times New Roman" w:hAnsi="Times New Roman" w:eastAsia="仿宋" w:cs="Times New Roman"/>
                <w:bCs/>
                <w:color w:val="auto"/>
                <w:sz w:val="24"/>
                <w:szCs w:val="24"/>
                <w:lang w:val="en-US" w:eastAsia="zh-CN"/>
              </w:rPr>
              <w:t>废塑料边角料。</w:t>
            </w:r>
          </w:p>
          <w:p w14:paraId="3228FC3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（3）焊接：将绕好线的定子使用锡条进行焊接，焊接为手工焊接，此过程中产生</w:t>
            </w:r>
            <w:r>
              <w:rPr>
                <w:rFonts w:hint="eastAsia" w:ascii="Times New Roman" w:hAnsi="Times New Roman" w:eastAsia="仿宋" w:cs="Times New Roman"/>
                <w:bCs/>
                <w:color w:val="auto"/>
                <w:sz w:val="24"/>
                <w:szCs w:val="24"/>
                <w:lang w:val="en-US" w:eastAsia="zh-CN"/>
              </w:rPr>
              <w:t>G2-1</w:t>
            </w:r>
            <w:r>
              <w:rPr>
                <w:rFonts w:hint="default" w:ascii="Times New Roman" w:hAnsi="Times New Roman" w:eastAsia="仿宋" w:cs="Times New Roman"/>
                <w:bCs/>
                <w:color w:val="auto"/>
                <w:sz w:val="24"/>
                <w:szCs w:val="24"/>
                <w:lang w:val="en-US" w:eastAsia="zh-CN"/>
              </w:rPr>
              <w:t>焊接烟尘。</w:t>
            </w:r>
          </w:p>
          <w:p w14:paraId="58FF6686">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（4）定子综合测试：使用测试机对定子进行测试，</w:t>
            </w:r>
            <w:r>
              <w:rPr>
                <w:rFonts w:hint="eastAsia" w:eastAsia="仿宋" w:cs="Times New Roman"/>
                <w:bCs/>
                <w:color w:val="auto"/>
                <w:sz w:val="24"/>
                <w:szCs w:val="24"/>
                <w:lang w:val="en-US" w:eastAsia="zh-CN"/>
              </w:rPr>
              <w:t>包括静态电参数测量等，</w:t>
            </w:r>
            <w:r>
              <w:rPr>
                <w:rFonts w:hint="default" w:ascii="Times New Roman" w:hAnsi="Times New Roman" w:eastAsia="仿宋" w:cs="Times New Roman"/>
                <w:bCs/>
                <w:color w:val="auto"/>
                <w:sz w:val="24"/>
                <w:szCs w:val="24"/>
                <w:lang w:val="en-US" w:eastAsia="zh-CN"/>
              </w:rPr>
              <w:t>此过程无污染物产生及排放。</w:t>
            </w:r>
          </w:p>
          <w:p w14:paraId="650EEB0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rtl w:val="0"/>
                <w:lang w:val="en-US" w:eastAsia="zh-CN"/>
              </w:rPr>
            </w:pPr>
            <w:r>
              <w:rPr>
                <w:rFonts w:hint="default" w:ascii="Times New Roman" w:hAnsi="Times New Roman" w:eastAsia="仿宋" w:cs="Times New Roman"/>
                <w:bCs/>
                <w:color w:val="auto"/>
                <w:sz w:val="24"/>
                <w:szCs w:val="24"/>
                <w:lang w:val="en-US" w:eastAsia="zh-CN"/>
              </w:rPr>
              <w:t>（5）塞磁钢：将定子和磁钢进行组装，此过程无污染物产生及排放。</w:t>
            </w:r>
          </w:p>
          <w:p w14:paraId="6544106C">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rtl w:val="0"/>
                <w:lang w:val="en-US" w:eastAsia="zh-CN"/>
              </w:rPr>
            </w:pPr>
            <w:r>
              <w:rPr>
                <w:rFonts w:hint="default" w:ascii="Times New Roman" w:hAnsi="Times New Roman" w:eastAsia="仿宋" w:cs="Times New Roman"/>
                <w:bCs/>
                <w:color w:val="auto"/>
                <w:sz w:val="24"/>
                <w:szCs w:val="24"/>
                <w:lang w:val="en-US" w:eastAsia="zh-CN"/>
              </w:rPr>
              <w:t>（6）转子组件压接：将转子组件压接至工件。</w:t>
            </w:r>
          </w:p>
          <w:p w14:paraId="2D9E0BB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（7）组装：将加工好的转子和定子加入螺丝、端盖等进行组装，此过程无污染物产生及排放。</w:t>
            </w:r>
          </w:p>
          <w:p w14:paraId="522ECF4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（8）测试：使用测试机对产品进行测试，</w:t>
            </w:r>
            <w:r>
              <w:rPr>
                <w:rFonts w:hint="eastAsia" w:eastAsia="仿宋" w:cs="Times New Roman"/>
                <w:bCs/>
                <w:color w:val="auto"/>
                <w:sz w:val="24"/>
                <w:szCs w:val="24"/>
                <w:lang w:val="en-US" w:eastAsia="zh-CN"/>
              </w:rPr>
              <w:t>包括电气性能测试等，</w:t>
            </w:r>
            <w:r>
              <w:rPr>
                <w:rFonts w:hint="default" w:ascii="Times New Roman" w:hAnsi="Times New Roman" w:eastAsia="仿宋" w:cs="Times New Roman"/>
                <w:bCs/>
                <w:color w:val="auto"/>
                <w:sz w:val="24"/>
                <w:szCs w:val="24"/>
                <w:lang w:val="en-US" w:eastAsia="zh-CN"/>
              </w:rPr>
              <w:t>此过程无污染物产生及排放。</w:t>
            </w:r>
          </w:p>
          <w:p w14:paraId="0774085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③驱动器生产工艺流程图</w:t>
            </w:r>
          </w:p>
          <w:p w14:paraId="787E3F4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pacing w:val="0"/>
                <w:w w:val="100"/>
                <w:kern w:val="2"/>
                <w:position w:val="0"/>
                <w:sz w:val="24"/>
                <w:szCs w:val="24"/>
                <w:u w:val="none"/>
                <w:vertAlign w:val="baseline"/>
                <w:lang w:val="en-US" w:eastAsia="zh-CN" w:bidi="ar-SA"/>
              </w:rPr>
              <w:drawing>
                <wp:inline distT="0" distB="0" distL="114300" distR="114300">
                  <wp:extent cx="1207135" cy="1853565"/>
                  <wp:effectExtent l="0" t="0" r="0" b="0"/>
                  <wp:docPr id="6" name="ECB019B1-382A-4266-B25C-5B523AA43C14-7" descr="C:/Users/Administrator/AppData/Local/Temp/wps.OMnzD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7" descr="C:/Users/Administrator/AppData/Local/Temp/wps.OMnzDBwps"/>
                          <pic:cNvPicPr>
                            <a:picLocks noChangeAspect="1"/>
                          </pic:cNvPicPr>
                        </pic:nvPicPr>
                        <pic:blipFill>
                          <a:blip r:embed="rId12"/>
                          <a:srcRect t="5605" b="10316"/>
                          <a:stretch>
                            <a:fillRect/>
                          </a:stretch>
                        </pic:blipFill>
                        <pic:spPr>
                          <a:xfrm>
                            <a:off x="0" y="0"/>
                            <a:ext cx="1207135" cy="1853565"/>
                          </a:xfrm>
                          <a:prstGeom prst="rect">
                            <a:avLst/>
                          </a:prstGeom>
                          <a:noFill/>
                          <a:ln>
                            <a:noFill/>
                          </a:ln>
                        </pic:spPr>
                      </pic:pic>
                    </a:graphicData>
                  </a:graphic>
                </wp:inline>
              </w:drawing>
            </w:r>
          </w:p>
          <w:p w14:paraId="56A8BBE6">
            <w:pPr>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图2-4  驱动器生产工艺流程图</w:t>
            </w:r>
          </w:p>
          <w:p w14:paraId="7669C04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工艺流程说明：</w:t>
            </w:r>
          </w:p>
          <w:p w14:paraId="19B75E0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rtl w:val="0"/>
                <w:lang w:val="en-US" w:eastAsia="zh-CN"/>
              </w:rPr>
            </w:pPr>
            <w:r>
              <w:rPr>
                <w:rFonts w:hint="default" w:ascii="Times New Roman" w:hAnsi="Times New Roman" w:eastAsia="仿宋" w:cs="Times New Roman"/>
                <w:bCs/>
                <w:color w:val="auto"/>
                <w:sz w:val="24"/>
                <w:szCs w:val="24"/>
                <w:lang w:val="en-US" w:eastAsia="zh-CN"/>
              </w:rPr>
              <w:t>组装：将购买的散热器、端子、线路板、螺丝进行组装，此过程无污染物产生。</w:t>
            </w:r>
          </w:p>
          <w:p w14:paraId="71501506">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其他产废环节：生产设备运行维护需使用液压油和珩磨油，定期更换，会产生少量废液压油、废珩磨油、废包装桶和沾染废液的废抹布、手套、拖把等；职工工作生活会产生生活污水及生活垃圾。</w:t>
            </w:r>
          </w:p>
          <w:p w14:paraId="20AAD4D2">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p>
          <w:p w14:paraId="0A62A216">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p>
          <w:p w14:paraId="6476A35D">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p>
          <w:p w14:paraId="3F045F59">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p>
          <w:p w14:paraId="26B7F301">
            <w:pPr>
              <w:pStyle w:val="2"/>
              <w:rPr>
                <w:rFonts w:hint="default" w:ascii="Times New Roman" w:hAnsi="Times New Roman" w:eastAsia="仿宋" w:cs="Times New Roman"/>
                <w:b/>
                <w:bCs/>
                <w:color w:val="auto"/>
                <w:kern w:val="0"/>
                <w:sz w:val="24"/>
                <w:szCs w:val="24"/>
              </w:rPr>
            </w:pPr>
          </w:p>
          <w:p w14:paraId="5BFB24DC">
            <w:pPr>
              <w:pStyle w:val="3"/>
              <w:widowControl w:val="0"/>
              <w:numPr>
                <w:numId w:val="0"/>
              </w:numPr>
              <w:jc w:val="both"/>
              <w:rPr>
                <w:rFonts w:hint="default" w:ascii="Times New Roman" w:hAnsi="Times New Roman" w:eastAsia="仿宋" w:cs="Times New Roman"/>
                <w:b/>
                <w:bCs/>
                <w:color w:val="auto"/>
                <w:kern w:val="0"/>
                <w:sz w:val="24"/>
                <w:szCs w:val="24"/>
              </w:rPr>
            </w:pPr>
          </w:p>
          <w:p w14:paraId="26F40FDA">
            <w:pPr>
              <w:pStyle w:val="3"/>
              <w:widowControl w:val="0"/>
              <w:numPr>
                <w:numId w:val="0"/>
              </w:numPr>
              <w:jc w:val="both"/>
              <w:rPr>
                <w:rFonts w:hint="default" w:ascii="Times New Roman" w:hAnsi="Times New Roman" w:eastAsia="仿宋" w:cs="Times New Roman"/>
                <w:b/>
                <w:bCs/>
                <w:color w:val="auto"/>
                <w:kern w:val="0"/>
                <w:sz w:val="24"/>
                <w:szCs w:val="24"/>
              </w:rPr>
            </w:pPr>
          </w:p>
          <w:p w14:paraId="702B1DEF">
            <w:pPr>
              <w:pStyle w:val="3"/>
              <w:widowControl w:val="0"/>
              <w:numPr>
                <w:numId w:val="0"/>
              </w:numPr>
              <w:jc w:val="both"/>
              <w:rPr>
                <w:rFonts w:hint="default" w:ascii="Times New Roman" w:hAnsi="Times New Roman" w:eastAsia="仿宋" w:cs="Times New Roman"/>
                <w:b/>
                <w:bCs/>
                <w:color w:val="auto"/>
                <w:kern w:val="0"/>
                <w:sz w:val="24"/>
                <w:szCs w:val="24"/>
              </w:rPr>
            </w:pPr>
          </w:p>
          <w:p w14:paraId="0E387B51">
            <w:pPr>
              <w:pStyle w:val="3"/>
              <w:widowControl w:val="0"/>
              <w:numPr>
                <w:numId w:val="0"/>
              </w:numPr>
              <w:jc w:val="both"/>
              <w:rPr>
                <w:rFonts w:hint="default" w:ascii="Times New Roman" w:hAnsi="Times New Roman" w:eastAsia="仿宋" w:cs="Times New Roman"/>
                <w:b/>
                <w:bCs/>
                <w:color w:val="auto"/>
                <w:kern w:val="0"/>
                <w:sz w:val="24"/>
                <w:szCs w:val="24"/>
              </w:rPr>
            </w:pPr>
          </w:p>
          <w:p w14:paraId="3C92BBD9">
            <w:pPr>
              <w:pStyle w:val="3"/>
              <w:widowControl w:val="0"/>
              <w:numPr>
                <w:numId w:val="0"/>
              </w:numPr>
              <w:jc w:val="both"/>
              <w:rPr>
                <w:rFonts w:hint="default" w:ascii="Times New Roman" w:hAnsi="Times New Roman" w:eastAsia="仿宋" w:cs="Times New Roman"/>
                <w:b/>
                <w:bCs/>
                <w:color w:val="auto"/>
                <w:kern w:val="0"/>
                <w:sz w:val="24"/>
                <w:szCs w:val="24"/>
              </w:rPr>
            </w:pPr>
          </w:p>
          <w:p w14:paraId="2136D008">
            <w:pPr>
              <w:pStyle w:val="3"/>
              <w:widowControl w:val="0"/>
              <w:numPr>
                <w:numId w:val="0"/>
              </w:numPr>
              <w:jc w:val="both"/>
              <w:rPr>
                <w:rFonts w:hint="default" w:ascii="Times New Roman" w:hAnsi="Times New Roman" w:eastAsia="仿宋" w:cs="Times New Roman"/>
                <w:b/>
                <w:bCs/>
                <w:color w:val="auto"/>
                <w:kern w:val="0"/>
                <w:sz w:val="24"/>
                <w:szCs w:val="24"/>
              </w:rPr>
            </w:pPr>
          </w:p>
          <w:p w14:paraId="64084807">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2、产污环节统计</w:t>
            </w:r>
          </w:p>
          <w:p w14:paraId="0555F1D2">
            <w:pPr>
              <w:keepNext w:val="0"/>
              <w:keepLines w:val="0"/>
              <w:pageBreakBefore w:val="0"/>
              <w:widowControl w:val="0"/>
              <w:kinsoku/>
              <w:wordWrap/>
              <w:overflowPunct/>
              <w:topLinePunct w:val="0"/>
              <w:bidi w:val="0"/>
              <w:spacing w:line="4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本项目产污环节见表2-</w:t>
            </w:r>
            <w:r>
              <w:rPr>
                <w:rFonts w:hint="default" w:ascii="Times New Roman" w:hAnsi="Times New Roman" w:eastAsia="仿宋" w:cs="Times New Roman"/>
                <w:color w:val="auto"/>
                <w:sz w:val="24"/>
                <w:szCs w:val="24"/>
                <w:lang w:val="en-US" w:eastAsia="zh-CN"/>
              </w:rPr>
              <w:t>8</w:t>
            </w:r>
            <w:r>
              <w:rPr>
                <w:rFonts w:hint="default" w:ascii="Times New Roman" w:hAnsi="Times New Roman" w:eastAsia="仿宋" w:cs="Times New Roman"/>
                <w:color w:val="auto"/>
                <w:sz w:val="24"/>
                <w:szCs w:val="24"/>
              </w:rPr>
              <w:t>。</w:t>
            </w:r>
          </w:p>
          <w:p w14:paraId="15228076">
            <w:pPr>
              <w:snapToGrid w:val="0"/>
              <w:spacing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表2-</w:t>
            </w:r>
            <w:r>
              <w:rPr>
                <w:rFonts w:hint="default" w:ascii="Times New Roman" w:hAnsi="Times New Roman" w:eastAsia="仿宋" w:cs="Times New Roman"/>
                <w:b/>
                <w:bCs/>
                <w:color w:val="auto"/>
                <w:szCs w:val="21"/>
                <w:lang w:val="en-US" w:eastAsia="zh-CN"/>
              </w:rPr>
              <w:t>8</w:t>
            </w:r>
            <w:r>
              <w:rPr>
                <w:rFonts w:hint="default" w:ascii="Times New Roman" w:hAnsi="Times New Roman" w:eastAsia="仿宋" w:cs="Times New Roman"/>
                <w:b/>
                <w:bCs/>
                <w:color w:val="auto"/>
                <w:szCs w:val="21"/>
              </w:rPr>
              <w:t xml:space="preserve">  产污环节一览表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2195"/>
              <w:gridCol w:w="3282"/>
              <w:gridCol w:w="1967"/>
            </w:tblGrid>
            <w:tr w14:paraId="76F9A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770" w:type="pct"/>
                  <w:gridSpan w:val="2"/>
                  <w:noWrap w:val="0"/>
                  <w:vAlign w:val="center"/>
                </w:tcPr>
                <w:p w14:paraId="2DFEA86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编号</w:t>
                  </w:r>
                </w:p>
              </w:tc>
              <w:tc>
                <w:tcPr>
                  <w:tcW w:w="2019" w:type="pct"/>
                  <w:noWrap w:val="0"/>
                  <w:vAlign w:val="center"/>
                </w:tcPr>
                <w:p w14:paraId="02AE82E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污染因子</w:t>
                  </w:r>
                </w:p>
              </w:tc>
              <w:tc>
                <w:tcPr>
                  <w:tcW w:w="1210" w:type="pct"/>
                  <w:noWrap w:val="0"/>
                  <w:vAlign w:val="center"/>
                </w:tcPr>
                <w:p w14:paraId="435016B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产生环节</w:t>
                  </w:r>
                </w:p>
              </w:tc>
            </w:tr>
            <w:tr w14:paraId="67908E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20" w:type="pct"/>
                  <w:noWrap w:val="0"/>
                  <w:vAlign w:val="center"/>
                </w:tcPr>
                <w:p w14:paraId="5985126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废水</w:t>
                  </w:r>
                </w:p>
              </w:tc>
              <w:tc>
                <w:tcPr>
                  <w:tcW w:w="1350" w:type="pct"/>
                  <w:noWrap w:val="0"/>
                  <w:vAlign w:val="center"/>
                </w:tcPr>
                <w:p w14:paraId="50E0328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W1</w:t>
                  </w:r>
                </w:p>
              </w:tc>
              <w:tc>
                <w:tcPr>
                  <w:tcW w:w="2019" w:type="pct"/>
                  <w:noWrap w:val="0"/>
                  <w:vAlign w:val="center"/>
                </w:tcPr>
                <w:p w14:paraId="67CD066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COD、SS、NH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-N、TP、TN</w:t>
                  </w:r>
                </w:p>
              </w:tc>
              <w:tc>
                <w:tcPr>
                  <w:tcW w:w="1210" w:type="pct"/>
                  <w:noWrap w:val="0"/>
                  <w:vAlign w:val="center"/>
                </w:tcPr>
                <w:p w14:paraId="242AF6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生活污水</w:t>
                  </w:r>
                </w:p>
              </w:tc>
            </w:tr>
            <w:tr w14:paraId="227F4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restart"/>
                  <w:noWrap w:val="0"/>
                  <w:vAlign w:val="center"/>
                </w:tcPr>
                <w:p w14:paraId="668B06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r>
                    <w:rPr>
                      <w:rFonts w:hint="default" w:ascii="Times New Roman" w:hAnsi="Times New Roman" w:eastAsia="仿宋" w:cs="Times New Roman"/>
                      <w:bCs/>
                      <w:color w:val="auto"/>
                      <w:sz w:val="21"/>
                      <w:szCs w:val="21"/>
                    </w:rPr>
                    <w:t>固废</w:t>
                  </w:r>
                </w:p>
              </w:tc>
              <w:tc>
                <w:tcPr>
                  <w:tcW w:w="1350" w:type="pct"/>
                  <w:noWrap w:val="0"/>
                  <w:vAlign w:val="center"/>
                </w:tcPr>
                <w:p w14:paraId="2D0DD02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rPr>
                    <w:t>S1</w:t>
                  </w:r>
                  <w:r>
                    <w:rPr>
                      <w:rFonts w:hint="default" w:ascii="Times New Roman" w:hAnsi="Times New Roman" w:eastAsia="仿宋" w:cs="Times New Roman"/>
                      <w:bCs/>
                      <w:color w:val="auto"/>
                      <w:sz w:val="21"/>
                      <w:szCs w:val="21"/>
                      <w:highlight w:val="none"/>
                      <w:lang w:val="en-US" w:eastAsia="zh-CN"/>
                    </w:rPr>
                    <w:t>-1</w:t>
                  </w:r>
                </w:p>
              </w:tc>
              <w:tc>
                <w:tcPr>
                  <w:tcW w:w="2019" w:type="pct"/>
                  <w:noWrap w:val="0"/>
                  <w:vAlign w:val="center"/>
                </w:tcPr>
                <w:p w14:paraId="5F795E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废金属边角料</w:t>
                  </w:r>
                </w:p>
              </w:tc>
              <w:tc>
                <w:tcPr>
                  <w:tcW w:w="1210" w:type="pct"/>
                  <w:noWrap w:val="0"/>
                  <w:vAlign w:val="center"/>
                </w:tcPr>
                <w:p w14:paraId="47736B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内孔珩磨</w:t>
                  </w:r>
                </w:p>
              </w:tc>
            </w:tr>
            <w:tr w14:paraId="02606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46614B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0A97035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S1-2</w:t>
                  </w:r>
                </w:p>
              </w:tc>
              <w:tc>
                <w:tcPr>
                  <w:tcW w:w="2019" w:type="pct"/>
                  <w:noWrap w:val="0"/>
                  <w:vAlign w:val="center"/>
                </w:tcPr>
                <w:p w14:paraId="3484767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清洗废液</w:t>
                  </w:r>
                </w:p>
              </w:tc>
              <w:tc>
                <w:tcPr>
                  <w:tcW w:w="1210" w:type="pct"/>
                  <w:noWrap w:val="0"/>
                  <w:vAlign w:val="center"/>
                </w:tcPr>
                <w:p w14:paraId="327B3E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w:t>
                  </w:r>
                </w:p>
              </w:tc>
            </w:tr>
            <w:tr w14:paraId="7CC80F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29FEB43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0813415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S1-3</w:t>
                  </w:r>
                </w:p>
              </w:tc>
              <w:tc>
                <w:tcPr>
                  <w:tcW w:w="2019" w:type="pct"/>
                  <w:noWrap w:val="0"/>
                  <w:vAlign w:val="center"/>
                </w:tcPr>
                <w:p w14:paraId="52D4607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废切削液</w:t>
                  </w:r>
                </w:p>
              </w:tc>
              <w:tc>
                <w:tcPr>
                  <w:tcW w:w="1210" w:type="pct"/>
                  <w:noWrap w:val="0"/>
                  <w:vAlign w:val="center"/>
                </w:tcPr>
                <w:p w14:paraId="643B23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r>
            <w:tr w14:paraId="5A72C3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2BA0B65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697583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S1-4</w:t>
                  </w:r>
                </w:p>
              </w:tc>
              <w:tc>
                <w:tcPr>
                  <w:tcW w:w="2019" w:type="pct"/>
                  <w:noWrap w:val="0"/>
                  <w:vAlign w:val="center"/>
                </w:tcPr>
                <w:p w14:paraId="768B36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磨床灰</w:t>
                  </w:r>
                </w:p>
              </w:tc>
              <w:tc>
                <w:tcPr>
                  <w:tcW w:w="1210" w:type="pct"/>
                  <w:noWrap w:val="0"/>
                  <w:vAlign w:val="center"/>
                </w:tcPr>
                <w:p w14:paraId="393702B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r>
            <w:tr w14:paraId="60108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421A3A3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55987F0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S1-5</w:t>
                  </w:r>
                </w:p>
              </w:tc>
              <w:tc>
                <w:tcPr>
                  <w:tcW w:w="2019" w:type="pct"/>
                  <w:noWrap w:val="0"/>
                  <w:vAlign w:val="center"/>
                </w:tcPr>
                <w:p w14:paraId="186A19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废过滤纸</w:t>
                  </w:r>
                </w:p>
              </w:tc>
              <w:tc>
                <w:tcPr>
                  <w:tcW w:w="1210" w:type="pct"/>
                  <w:noWrap w:val="0"/>
                  <w:vAlign w:val="center"/>
                </w:tcPr>
                <w:p w14:paraId="00A0774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r>
            <w:tr w14:paraId="68D77A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1D15348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72AE488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S2-1</w:t>
                  </w:r>
                </w:p>
              </w:tc>
              <w:tc>
                <w:tcPr>
                  <w:tcW w:w="2019" w:type="pct"/>
                  <w:noWrap w:val="0"/>
                  <w:vAlign w:val="center"/>
                </w:tcPr>
                <w:p w14:paraId="3DB5EDC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废塑料边角料</w:t>
                  </w:r>
                </w:p>
              </w:tc>
              <w:tc>
                <w:tcPr>
                  <w:tcW w:w="1210" w:type="pct"/>
                  <w:noWrap w:val="0"/>
                  <w:vAlign w:val="center"/>
                </w:tcPr>
                <w:p w14:paraId="03BC91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脱漆皮</w:t>
                  </w:r>
                </w:p>
              </w:tc>
            </w:tr>
            <w:tr w14:paraId="76908E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25A8C6B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5AE64F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S3</w:t>
                  </w:r>
                </w:p>
              </w:tc>
              <w:tc>
                <w:tcPr>
                  <w:tcW w:w="2019" w:type="pct"/>
                  <w:noWrap w:val="0"/>
                  <w:vAlign w:val="center"/>
                </w:tcPr>
                <w:p w14:paraId="670134E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废包装桶</w:t>
                  </w:r>
                </w:p>
              </w:tc>
              <w:tc>
                <w:tcPr>
                  <w:tcW w:w="1210" w:type="pct"/>
                  <w:noWrap w:val="0"/>
                  <w:vAlign w:val="center"/>
                </w:tcPr>
                <w:p w14:paraId="18DA868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物料使用</w:t>
                  </w:r>
                </w:p>
              </w:tc>
            </w:tr>
            <w:tr w14:paraId="6AC00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420" w:type="pct"/>
                  <w:vMerge w:val="continue"/>
                  <w:noWrap w:val="0"/>
                  <w:vAlign w:val="center"/>
                </w:tcPr>
                <w:p w14:paraId="0772B86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0A37897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S4</w:t>
                  </w:r>
                </w:p>
              </w:tc>
              <w:tc>
                <w:tcPr>
                  <w:tcW w:w="2019" w:type="pct"/>
                  <w:noWrap w:val="0"/>
                  <w:vAlign w:val="center"/>
                </w:tcPr>
                <w:p w14:paraId="131F8EA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废液压油</w:t>
                  </w:r>
                </w:p>
              </w:tc>
              <w:tc>
                <w:tcPr>
                  <w:tcW w:w="1210" w:type="pct"/>
                  <w:noWrap w:val="0"/>
                  <w:vAlign w:val="center"/>
                </w:tcPr>
                <w:p w14:paraId="4E50293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设备维护</w:t>
                  </w:r>
                </w:p>
              </w:tc>
            </w:tr>
            <w:tr w14:paraId="7A92C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0" w:type="pct"/>
                  <w:vMerge w:val="continue"/>
                  <w:noWrap w:val="0"/>
                  <w:vAlign w:val="center"/>
                </w:tcPr>
                <w:p w14:paraId="2817BB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1B63A86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S5</w:t>
                  </w:r>
                </w:p>
              </w:tc>
              <w:tc>
                <w:tcPr>
                  <w:tcW w:w="2019" w:type="pct"/>
                  <w:noWrap w:val="0"/>
                  <w:vAlign w:val="center"/>
                </w:tcPr>
                <w:p w14:paraId="7DCEDD7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废珩磨油</w:t>
                  </w:r>
                </w:p>
              </w:tc>
              <w:tc>
                <w:tcPr>
                  <w:tcW w:w="1210" w:type="pct"/>
                  <w:noWrap w:val="0"/>
                  <w:vAlign w:val="center"/>
                </w:tcPr>
                <w:p w14:paraId="689BAD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设备维护</w:t>
                  </w:r>
                </w:p>
              </w:tc>
            </w:tr>
            <w:tr w14:paraId="43CD3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0" w:type="pct"/>
                  <w:vMerge w:val="continue"/>
                  <w:noWrap w:val="0"/>
                  <w:vAlign w:val="center"/>
                </w:tcPr>
                <w:p w14:paraId="557BC1A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4DAACDB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S6</w:t>
                  </w:r>
                </w:p>
              </w:tc>
              <w:tc>
                <w:tcPr>
                  <w:tcW w:w="2019" w:type="pct"/>
                  <w:noWrap w:val="0"/>
                  <w:vAlign w:val="center"/>
                </w:tcPr>
                <w:p w14:paraId="5C49002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i w:val="0"/>
                      <w:color w:val="auto"/>
                      <w:kern w:val="0"/>
                      <w:sz w:val="21"/>
                      <w:szCs w:val="21"/>
                      <w:highlight w:val="none"/>
                      <w:u w:val="none"/>
                      <w:lang w:val="en-US" w:eastAsia="zh-CN" w:bidi="ar"/>
                    </w:rPr>
                    <w:t>沾染废液的废抹布、手套、拖把等</w:t>
                  </w:r>
                </w:p>
              </w:tc>
              <w:tc>
                <w:tcPr>
                  <w:tcW w:w="1210" w:type="pct"/>
                  <w:noWrap w:val="0"/>
                  <w:vAlign w:val="center"/>
                </w:tcPr>
                <w:p w14:paraId="0EC169C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w:t>
                  </w:r>
                </w:p>
              </w:tc>
            </w:tr>
            <w:tr w14:paraId="5FC9AB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0" w:type="pct"/>
                  <w:vMerge w:val="continue"/>
                  <w:noWrap w:val="0"/>
                  <w:vAlign w:val="center"/>
                </w:tcPr>
                <w:p w14:paraId="6176B6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rPr>
                  </w:pPr>
                </w:p>
              </w:tc>
              <w:tc>
                <w:tcPr>
                  <w:tcW w:w="1350" w:type="pct"/>
                  <w:noWrap w:val="0"/>
                  <w:vAlign w:val="center"/>
                </w:tcPr>
                <w:p w14:paraId="7F05800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S7</w:t>
                  </w:r>
                </w:p>
              </w:tc>
              <w:tc>
                <w:tcPr>
                  <w:tcW w:w="2019" w:type="pct"/>
                  <w:noWrap w:val="0"/>
                  <w:vAlign w:val="center"/>
                </w:tcPr>
                <w:p w14:paraId="6FDBA7B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生活垃圾</w:t>
                  </w:r>
                </w:p>
              </w:tc>
              <w:tc>
                <w:tcPr>
                  <w:tcW w:w="1210" w:type="pct"/>
                  <w:noWrap w:val="0"/>
                  <w:vAlign w:val="center"/>
                </w:tcPr>
                <w:p w14:paraId="52CD931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职工生活</w:t>
                  </w:r>
                </w:p>
              </w:tc>
            </w:tr>
            <w:tr w14:paraId="69731C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0" w:type="pct"/>
                  <w:vMerge w:val="restart"/>
                  <w:noWrap w:val="0"/>
                  <w:vAlign w:val="center"/>
                </w:tcPr>
                <w:p w14:paraId="3EC137A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废气</w:t>
                  </w:r>
                </w:p>
              </w:tc>
              <w:tc>
                <w:tcPr>
                  <w:tcW w:w="1350" w:type="pct"/>
                  <w:noWrap w:val="0"/>
                  <w:vAlign w:val="center"/>
                </w:tcPr>
                <w:p w14:paraId="404A246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G1-1</w:t>
                  </w:r>
                </w:p>
              </w:tc>
              <w:tc>
                <w:tcPr>
                  <w:tcW w:w="2019" w:type="pct"/>
                  <w:noWrap w:val="0"/>
                  <w:vAlign w:val="center"/>
                </w:tcPr>
                <w:p w14:paraId="1152B6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水蒸气</w:t>
                  </w:r>
                </w:p>
              </w:tc>
              <w:tc>
                <w:tcPr>
                  <w:tcW w:w="1210" w:type="pct"/>
                  <w:noWrap w:val="0"/>
                  <w:vAlign w:val="center"/>
                </w:tcPr>
                <w:p w14:paraId="6FF61A9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烘干</w:t>
                  </w:r>
                </w:p>
              </w:tc>
            </w:tr>
            <w:tr w14:paraId="44F8B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420" w:type="pct"/>
                  <w:vMerge w:val="continue"/>
                  <w:noWrap w:val="0"/>
                  <w:vAlign w:val="center"/>
                </w:tcPr>
                <w:p w14:paraId="1E3B06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lang w:val="en-US" w:eastAsia="zh-CN"/>
                    </w:rPr>
                  </w:pPr>
                </w:p>
              </w:tc>
              <w:tc>
                <w:tcPr>
                  <w:tcW w:w="1350" w:type="pct"/>
                  <w:noWrap w:val="0"/>
                  <w:vAlign w:val="center"/>
                </w:tcPr>
                <w:p w14:paraId="4A1AAC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G1-2、G2-1</w:t>
                  </w:r>
                </w:p>
              </w:tc>
              <w:tc>
                <w:tcPr>
                  <w:tcW w:w="2019" w:type="pct"/>
                  <w:noWrap w:val="0"/>
                  <w:vAlign w:val="center"/>
                </w:tcPr>
                <w:p w14:paraId="292DE9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锡及其化合物</w:t>
                  </w:r>
                </w:p>
              </w:tc>
              <w:tc>
                <w:tcPr>
                  <w:tcW w:w="1210" w:type="pct"/>
                  <w:noWrap w:val="0"/>
                  <w:vAlign w:val="center"/>
                </w:tcPr>
                <w:p w14:paraId="5CAD8EC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焊接</w:t>
                  </w:r>
                </w:p>
              </w:tc>
            </w:tr>
          </w:tbl>
          <w:p w14:paraId="0BBA4119">
            <w:pPr>
              <w:pStyle w:val="43"/>
              <w:rPr>
                <w:rFonts w:hint="default" w:ascii="Times New Roman" w:hAnsi="Times New Roman" w:eastAsia="仿宋" w:cs="Times New Roman"/>
                <w:color w:val="auto"/>
                <w:szCs w:val="21"/>
              </w:rPr>
            </w:pPr>
          </w:p>
        </w:tc>
      </w:tr>
      <w:tr w14:paraId="4282A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17" w:type="dxa"/>
            <w:noWrap w:val="0"/>
            <w:vAlign w:val="center"/>
          </w:tcPr>
          <w:p w14:paraId="614ACA0E">
            <w:pPr>
              <w:pStyle w:val="20"/>
              <w:adjustRightInd w:val="0"/>
              <w:snapToGrid w:val="0"/>
              <w:spacing w:before="0" w:beforeAutospacing="0" w:after="0" w:afterAutospacing="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bCs/>
                <w:color w:val="auto"/>
                <w:kern w:val="2"/>
                <w:sz w:val="21"/>
                <w:szCs w:val="21"/>
                <w:lang w:val="en-US" w:eastAsia="zh-CN"/>
              </w:rPr>
              <w:t>与项目有关的原有环境污染问题</w:t>
            </w:r>
          </w:p>
        </w:tc>
        <w:tc>
          <w:tcPr>
            <w:tcW w:w="8343" w:type="dxa"/>
            <w:noWrap w:val="0"/>
            <w:vAlign w:val="top"/>
          </w:tcPr>
          <w:p w14:paraId="2F692239">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1、原有项目环保手续履行情况</w:t>
            </w:r>
          </w:p>
          <w:p w14:paraId="44B22FE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rPr>
              <w:t>常州爱维电子控制技术有限公司</w:t>
            </w:r>
            <w:r>
              <w:rPr>
                <w:rFonts w:hint="default" w:ascii="Times New Roman" w:hAnsi="Times New Roman" w:eastAsia="仿宋" w:cs="Times New Roman"/>
                <w:bCs/>
                <w:color w:val="auto"/>
                <w:sz w:val="24"/>
                <w:szCs w:val="24"/>
                <w:lang w:val="en-US" w:eastAsia="zh-CN"/>
              </w:rPr>
              <w:t>原位于武进国家高新技术产业开发区武宜南路377号创新园区11号厂房西三层，从事步进电机和驱动器的生产，原有环保手续见下表。</w:t>
            </w:r>
          </w:p>
          <w:p w14:paraId="5F8ABFE9">
            <w:pPr>
              <w:snapToGrid w:val="0"/>
              <w:spacing w:line="240" w:lineRule="auto"/>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表</w:t>
            </w:r>
            <w:r>
              <w:rPr>
                <w:rFonts w:hint="default" w:ascii="Times New Roman" w:hAnsi="Times New Roman" w:eastAsia="仿宋" w:cs="Times New Roman"/>
                <w:b/>
                <w:bCs/>
                <w:color w:val="auto"/>
                <w:szCs w:val="21"/>
                <w:lang w:val="en-US" w:eastAsia="zh-CN"/>
              </w:rPr>
              <w:t>2-9</w:t>
            </w:r>
            <w:r>
              <w:rPr>
                <w:rFonts w:hint="default" w:ascii="Times New Roman" w:hAnsi="Times New Roman" w:eastAsia="仿宋" w:cs="Times New Roman"/>
                <w:b/>
                <w:bCs/>
                <w:color w:val="auto"/>
                <w:szCs w:val="21"/>
                <w:lang w:eastAsia="zh-CN"/>
              </w:rPr>
              <w:t xml:space="preserve">  原有项目环保手续情况一览表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25"/>
              <w:gridCol w:w="1804"/>
              <w:gridCol w:w="2108"/>
              <w:gridCol w:w="2370"/>
            </w:tblGrid>
            <w:tr w14:paraId="5B53B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noWrap w:val="0"/>
                  <w:vAlign w:val="center"/>
                </w:tcPr>
                <w:p w14:paraId="024198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692" w:type="pct"/>
                  <w:noWrap w:val="0"/>
                  <w:vAlign w:val="center"/>
                </w:tcPr>
                <w:p w14:paraId="603A35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报告类别</w:t>
                  </w:r>
                </w:p>
              </w:tc>
              <w:tc>
                <w:tcPr>
                  <w:tcW w:w="1110" w:type="pct"/>
                  <w:noWrap w:val="0"/>
                  <w:vAlign w:val="center"/>
                </w:tcPr>
                <w:p w14:paraId="7344DD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项目名称</w:t>
                  </w:r>
                </w:p>
              </w:tc>
              <w:tc>
                <w:tcPr>
                  <w:tcW w:w="1297" w:type="pct"/>
                  <w:noWrap w:val="0"/>
                  <w:vAlign w:val="center"/>
                </w:tcPr>
                <w:p w14:paraId="3477C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批复情况</w:t>
                  </w:r>
                </w:p>
              </w:tc>
              <w:tc>
                <w:tcPr>
                  <w:tcW w:w="1456" w:type="pct"/>
                  <w:noWrap w:val="0"/>
                  <w:vAlign w:val="center"/>
                </w:tcPr>
                <w:p w14:paraId="53E1E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验收情况</w:t>
                  </w:r>
                </w:p>
              </w:tc>
            </w:tr>
            <w:tr w14:paraId="60CE2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noWrap w:val="0"/>
                  <w:vAlign w:val="center"/>
                </w:tcPr>
                <w:p w14:paraId="0F2EF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692" w:type="pct"/>
                  <w:noWrap w:val="0"/>
                  <w:vAlign w:val="center"/>
                </w:tcPr>
                <w:p w14:paraId="63C47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环境影响报告表</w:t>
                  </w:r>
                </w:p>
              </w:tc>
              <w:tc>
                <w:tcPr>
                  <w:tcW w:w="1110" w:type="pct"/>
                  <w:noWrap w:val="0"/>
                  <w:vAlign w:val="center"/>
                </w:tcPr>
                <w:p w14:paraId="661F8F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年产6万台步进电机、5万台驱动器项目</w:t>
                  </w:r>
                </w:p>
              </w:tc>
              <w:tc>
                <w:tcPr>
                  <w:tcW w:w="1297" w:type="pct"/>
                  <w:noWrap w:val="0"/>
                  <w:vAlign w:val="center"/>
                </w:tcPr>
                <w:p w14:paraId="00679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pacing w:val="-2"/>
                      <w:sz w:val="21"/>
                      <w:szCs w:val="21"/>
                      <w:lang w:val="en-US" w:eastAsia="zh-CN"/>
                    </w:rPr>
                    <w:t>于2021年7月6日取得常州市生态环境局的批复</w:t>
                  </w:r>
                </w:p>
              </w:tc>
              <w:tc>
                <w:tcPr>
                  <w:tcW w:w="1456" w:type="pct"/>
                  <w:noWrap w:val="0"/>
                  <w:vAlign w:val="center"/>
                </w:tcPr>
                <w:p w14:paraId="7DAE7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color w:val="auto"/>
                      <w:spacing w:val="-2"/>
                      <w:sz w:val="21"/>
                      <w:szCs w:val="21"/>
                      <w:lang w:val="en-US" w:eastAsia="zh-CN"/>
                    </w:rPr>
                  </w:pPr>
                  <w:r>
                    <w:rPr>
                      <w:rFonts w:hint="default" w:ascii="Times New Roman" w:hAnsi="Times New Roman" w:eastAsia="仿宋" w:cs="Times New Roman"/>
                      <w:color w:val="auto"/>
                      <w:spacing w:val="-2"/>
                      <w:sz w:val="21"/>
                      <w:szCs w:val="21"/>
                      <w:lang w:val="en-US" w:eastAsia="zh-CN"/>
                    </w:rPr>
                    <w:t>于2022年4月12日开展竣工环境保护自主验收，取得验收意见</w:t>
                  </w:r>
                </w:p>
              </w:tc>
            </w:tr>
            <w:tr w14:paraId="0D4BC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2" w:type="pct"/>
                  <w:noWrap w:val="0"/>
                  <w:vAlign w:val="center"/>
                </w:tcPr>
                <w:p w14:paraId="1D47F3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4557" w:type="pct"/>
                  <w:gridSpan w:val="4"/>
                  <w:noWrap w:val="0"/>
                  <w:vAlign w:val="center"/>
                </w:tcPr>
                <w:p w14:paraId="662216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排污许可证编号：91320412797435385W001W</w:t>
                  </w:r>
                </w:p>
              </w:tc>
            </w:tr>
          </w:tbl>
          <w:p w14:paraId="7D26CAEB">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2、原有项目主体工程情况</w:t>
            </w:r>
          </w:p>
          <w:p w14:paraId="264A98D4">
            <w:pPr>
              <w:snapToGrid w:val="0"/>
              <w:spacing w:line="240" w:lineRule="auto"/>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表</w:t>
            </w:r>
            <w:r>
              <w:rPr>
                <w:rFonts w:hint="default" w:ascii="Times New Roman" w:hAnsi="Times New Roman" w:eastAsia="仿宋" w:cs="Times New Roman"/>
                <w:b/>
                <w:bCs/>
                <w:color w:val="auto"/>
                <w:szCs w:val="21"/>
                <w:lang w:val="en-US" w:eastAsia="zh-CN"/>
              </w:rPr>
              <w:t>2-10</w:t>
            </w:r>
            <w:r>
              <w:rPr>
                <w:rFonts w:hint="default" w:ascii="Times New Roman" w:hAnsi="Times New Roman" w:eastAsia="仿宋" w:cs="Times New Roman"/>
                <w:b/>
                <w:bCs/>
                <w:color w:val="auto"/>
                <w:szCs w:val="21"/>
                <w:lang w:eastAsia="zh-CN"/>
              </w:rPr>
              <w:t xml:space="preserve">  </w:t>
            </w:r>
            <w:r>
              <w:rPr>
                <w:rFonts w:hint="default" w:ascii="Times New Roman" w:hAnsi="Times New Roman" w:eastAsia="仿宋" w:cs="Times New Roman"/>
                <w:b/>
                <w:bCs/>
                <w:color w:val="auto"/>
                <w:szCs w:val="21"/>
                <w:lang w:val="en-US" w:eastAsia="zh-CN"/>
              </w:rPr>
              <w:t>原有项目</w:t>
            </w:r>
            <w:r>
              <w:rPr>
                <w:rFonts w:hint="default" w:ascii="Times New Roman" w:hAnsi="Times New Roman" w:eastAsia="仿宋" w:cs="Times New Roman"/>
                <w:b/>
                <w:bCs/>
                <w:color w:val="auto"/>
                <w:szCs w:val="21"/>
                <w:lang w:eastAsia="zh-CN"/>
              </w:rPr>
              <w:t>主体工程一览表</w:t>
            </w:r>
          </w:p>
          <w:tbl>
            <w:tblPr>
              <w:tblStyle w:val="24"/>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40"/>
              <w:gridCol w:w="957"/>
              <w:gridCol w:w="1072"/>
              <w:gridCol w:w="879"/>
              <w:gridCol w:w="1079"/>
              <w:gridCol w:w="629"/>
              <w:gridCol w:w="2463"/>
            </w:tblGrid>
            <w:tr w14:paraId="428C62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41" w:type="pct"/>
                  <w:noWrap w:val="0"/>
                  <w:tcMar>
                    <w:left w:w="0" w:type="dxa"/>
                    <w:right w:w="0" w:type="dxa"/>
                  </w:tcMar>
                  <w:vAlign w:val="center"/>
                </w:tcPr>
                <w:p w14:paraId="56076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主要建、构</w:t>
                  </w:r>
                </w:p>
                <w:p w14:paraId="5D6CD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筑物名称</w:t>
                  </w:r>
                </w:p>
              </w:tc>
              <w:tc>
                <w:tcPr>
                  <w:tcW w:w="589" w:type="pct"/>
                  <w:noWrap w:val="0"/>
                  <w:tcMar>
                    <w:left w:w="0" w:type="dxa"/>
                    <w:right w:w="0" w:type="dxa"/>
                  </w:tcMar>
                  <w:vAlign w:val="center"/>
                </w:tcPr>
                <w:p w14:paraId="584E05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占地面积</w:t>
                  </w:r>
                </w:p>
                <w:p w14:paraId="379B6F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eastAsia="zh-CN"/>
                    </w:rPr>
                  </w:pPr>
                  <w:r>
                    <w:rPr>
                      <w:rFonts w:hint="default" w:ascii="Times New Roman" w:hAnsi="Times New Roman" w:eastAsia="仿宋"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default" w:ascii="Times New Roman" w:hAnsi="Times New Roman" w:eastAsia="仿宋" w:cs="Times New Roman"/>
                      <w:b/>
                      <w:bCs/>
                      <w:color w:val="auto"/>
                      <w:kern w:val="0"/>
                      <w:sz w:val="21"/>
                      <w:szCs w:val="21"/>
                      <w:lang w:eastAsia="zh-CN"/>
                    </w:rPr>
                    <w:t>）</w:t>
                  </w:r>
                </w:p>
              </w:tc>
              <w:tc>
                <w:tcPr>
                  <w:tcW w:w="660" w:type="pct"/>
                  <w:noWrap w:val="0"/>
                  <w:vAlign w:val="center"/>
                </w:tcPr>
                <w:p w14:paraId="5A548D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建筑面积</w:t>
                  </w:r>
                </w:p>
                <w:p w14:paraId="7203DA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eastAsia="zh-CN"/>
                    </w:rPr>
                  </w:pPr>
                  <w:r>
                    <w:rPr>
                      <w:rFonts w:hint="default" w:ascii="Times New Roman" w:hAnsi="Times New Roman" w:eastAsia="仿宋"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vertAlign w:val="superscript"/>
                    </w:rPr>
                    <w:t>2</w:t>
                  </w:r>
                  <w:r>
                    <w:rPr>
                      <w:rFonts w:hint="default" w:ascii="Times New Roman" w:hAnsi="Times New Roman" w:eastAsia="仿宋" w:cs="Times New Roman"/>
                      <w:b/>
                      <w:bCs/>
                      <w:color w:val="auto"/>
                      <w:kern w:val="0"/>
                      <w:sz w:val="21"/>
                      <w:szCs w:val="21"/>
                      <w:lang w:eastAsia="zh-CN"/>
                    </w:rPr>
                    <w:t>）</w:t>
                  </w:r>
                </w:p>
              </w:tc>
              <w:tc>
                <w:tcPr>
                  <w:tcW w:w="541" w:type="pct"/>
                  <w:noWrap w:val="0"/>
                  <w:vAlign w:val="center"/>
                </w:tcPr>
                <w:p w14:paraId="0090C4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w:t>
                  </w:r>
                </w:p>
                <w:p w14:paraId="68DB3E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层数</w:t>
                  </w:r>
                </w:p>
              </w:tc>
              <w:tc>
                <w:tcPr>
                  <w:tcW w:w="664" w:type="pct"/>
                  <w:noWrap w:val="0"/>
                  <w:vAlign w:val="center"/>
                </w:tcPr>
                <w:p w14:paraId="360E2E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lang w:eastAsia="zh-CN"/>
                    </w:rPr>
                  </w:pPr>
                  <w:r>
                    <w:rPr>
                      <w:rFonts w:hint="default" w:ascii="Times New Roman" w:hAnsi="Times New Roman" w:eastAsia="仿宋" w:cs="Times New Roman"/>
                      <w:b/>
                      <w:bCs/>
                      <w:color w:val="auto"/>
                      <w:kern w:val="0"/>
                      <w:sz w:val="21"/>
                      <w:szCs w:val="21"/>
                    </w:rPr>
                    <w:t>建筑高度</w:t>
                  </w:r>
                  <w:r>
                    <w:rPr>
                      <w:rFonts w:hint="default" w:ascii="Times New Roman" w:hAnsi="Times New Roman" w:eastAsia="仿宋" w:cs="Times New Roman"/>
                      <w:b/>
                      <w:bCs/>
                      <w:color w:val="auto"/>
                      <w:kern w:val="0"/>
                      <w:sz w:val="21"/>
                      <w:szCs w:val="21"/>
                      <w:lang w:eastAsia="zh-CN"/>
                    </w:rPr>
                    <w:t>（</w:t>
                  </w:r>
                  <w:r>
                    <w:rPr>
                      <w:rFonts w:hint="default" w:ascii="Times New Roman" w:hAnsi="Times New Roman" w:eastAsia="仿宋" w:cs="Times New Roman"/>
                      <w:b/>
                      <w:bCs/>
                      <w:color w:val="auto"/>
                      <w:kern w:val="0"/>
                      <w:sz w:val="21"/>
                      <w:szCs w:val="21"/>
                    </w:rPr>
                    <w:t>m</w:t>
                  </w:r>
                  <w:r>
                    <w:rPr>
                      <w:rFonts w:hint="default" w:ascii="Times New Roman" w:hAnsi="Times New Roman" w:eastAsia="仿宋" w:cs="Times New Roman"/>
                      <w:b/>
                      <w:bCs/>
                      <w:color w:val="auto"/>
                      <w:kern w:val="0"/>
                      <w:sz w:val="21"/>
                      <w:szCs w:val="21"/>
                      <w:lang w:eastAsia="zh-CN"/>
                    </w:rPr>
                    <w:t>）</w:t>
                  </w:r>
                </w:p>
              </w:tc>
              <w:tc>
                <w:tcPr>
                  <w:tcW w:w="387" w:type="pct"/>
                  <w:noWrap w:val="0"/>
                  <w:vAlign w:val="center"/>
                </w:tcPr>
                <w:p w14:paraId="4851A9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建筑</w:t>
                  </w:r>
                </w:p>
                <w:p w14:paraId="71F1E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结构</w:t>
                  </w:r>
                </w:p>
              </w:tc>
              <w:tc>
                <w:tcPr>
                  <w:tcW w:w="1516" w:type="pct"/>
                  <w:noWrap w:val="0"/>
                  <w:vAlign w:val="center"/>
                </w:tcPr>
                <w:p w14:paraId="7FCED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kern w:val="0"/>
                      <w:sz w:val="21"/>
                      <w:szCs w:val="21"/>
                    </w:rPr>
                  </w:pPr>
                  <w:r>
                    <w:rPr>
                      <w:rFonts w:hint="default" w:ascii="Times New Roman" w:hAnsi="Times New Roman" w:eastAsia="仿宋" w:cs="Times New Roman"/>
                      <w:b/>
                      <w:bCs/>
                      <w:color w:val="auto"/>
                      <w:kern w:val="0"/>
                      <w:sz w:val="21"/>
                      <w:szCs w:val="21"/>
                    </w:rPr>
                    <w:t>备注</w:t>
                  </w:r>
                </w:p>
              </w:tc>
            </w:tr>
            <w:tr w14:paraId="0F02B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41" w:type="pct"/>
                  <w:noWrap w:val="0"/>
                  <w:vAlign w:val="center"/>
                </w:tcPr>
                <w:p w14:paraId="667534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生产</w:t>
                  </w:r>
                  <w:r>
                    <w:rPr>
                      <w:rFonts w:hint="default" w:ascii="Times New Roman" w:hAnsi="Times New Roman" w:eastAsia="仿宋" w:cs="Times New Roman"/>
                      <w:color w:val="auto"/>
                      <w:kern w:val="0"/>
                      <w:sz w:val="21"/>
                      <w:szCs w:val="21"/>
                    </w:rPr>
                    <w:t>车间</w:t>
                  </w:r>
                </w:p>
              </w:tc>
              <w:tc>
                <w:tcPr>
                  <w:tcW w:w="589" w:type="pct"/>
                  <w:noWrap w:val="0"/>
                  <w:vAlign w:val="center"/>
                </w:tcPr>
                <w:p w14:paraId="16E0A5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640</w:t>
                  </w:r>
                </w:p>
              </w:tc>
              <w:tc>
                <w:tcPr>
                  <w:tcW w:w="660" w:type="pct"/>
                  <w:noWrap w:val="0"/>
                  <w:vAlign w:val="center"/>
                </w:tcPr>
                <w:p w14:paraId="105619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lang w:val="en-US" w:eastAsia="zh-CN"/>
                    </w:rPr>
                    <w:t>640</w:t>
                  </w:r>
                </w:p>
              </w:tc>
              <w:tc>
                <w:tcPr>
                  <w:tcW w:w="541" w:type="pct"/>
                  <w:noWrap w:val="0"/>
                  <w:vAlign w:val="center"/>
                </w:tcPr>
                <w:p w14:paraId="745335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F</w:t>
                  </w:r>
                </w:p>
              </w:tc>
              <w:tc>
                <w:tcPr>
                  <w:tcW w:w="664" w:type="pct"/>
                  <w:noWrap w:val="0"/>
                  <w:vAlign w:val="center"/>
                </w:tcPr>
                <w:p w14:paraId="45E31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23</w:t>
                  </w:r>
                </w:p>
              </w:tc>
              <w:tc>
                <w:tcPr>
                  <w:tcW w:w="387" w:type="pct"/>
                  <w:noWrap w:val="0"/>
                  <w:vAlign w:val="center"/>
                </w:tcPr>
                <w:p w14:paraId="12753D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lang w:val="en-US" w:eastAsia="zh-CN"/>
                    </w:rPr>
                    <w:t>砖</w:t>
                  </w:r>
                  <w:r>
                    <w:rPr>
                      <w:rFonts w:hint="default" w:ascii="Times New Roman" w:hAnsi="Times New Roman" w:eastAsia="仿宋" w:cs="Times New Roman"/>
                      <w:color w:val="auto"/>
                      <w:kern w:val="0"/>
                      <w:sz w:val="21"/>
                      <w:szCs w:val="21"/>
                    </w:rPr>
                    <w:t>混</w:t>
                  </w:r>
                </w:p>
              </w:tc>
              <w:tc>
                <w:tcPr>
                  <w:tcW w:w="1516" w:type="pct"/>
                  <w:vMerge w:val="restart"/>
                  <w:noWrap w:val="0"/>
                  <w:vAlign w:val="center"/>
                </w:tcPr>
                <w:p w14:paraId="01D21B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rPr>
                  </w:pPr>
                  <w:r>
                    <w:rPr>
                      <w:rFonts w:hint="default" w:ascii="Times New Roman" w:hAnsi="Times New Roman" w:eastAsia="仿宋" w:cs="Times New Roman"/>
                      <w:color w:val="auto"/>
                      <w:kern w:val="0"/>
                      <w:sz w:val="21"/>
                      <w:szCs w:val="21"/>
                      <w:lang w:val="en-US" w:eastAsia="zh-CN"/>
                    </w:rPr>
                    <w:t>项目位于3F，从事步进电机和驱动器生产</w:t>
                  </w:r>
                </w:p>
              </w:tc>
            </w:tr>
            <w:tr w14:paraId="7BA859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641" w:type="pct"/>
                  <w:noWrap w:val="0"/>
                  <w:vAlign w:val="center"/>
                </w:tcPr>
                <w:p w14:paraId="0ED493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办公区</w:t>
                  </w:r>
                </w:p>
              </w:tc>
              <w:tc>
                <w:tcPr>
                  <w:tcW w:w="589" w:type="pct"/>
                  <w:noWrap w:val="0"/>
                  <w:vAlign w:val="center"/>
                </w:tcPr>
                <w:p w14:paraId="232D6C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400</w:t>
                  </w:r>
                </w:p>
              </w:tc>
              <w:tc>
                <w:tcPr>
                  <w:tcW w:w="660" w:type="pct"/>
                  <w:noWrap w:val="0"/>
                  <w:vAlign w:val="center"/>
                </w:tcPr>
                <w:p w14:paraId="1F672D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400</w:t>
                  </w:r>
                </w:p>
              </w:tc>
              <w:tc>
                <w:tcPr>
                  <w:tcW w:w="541" w:type="pct"/>
                  <w:noWrap w:val="0"/>
                  <w:vAlign w:val="center"/>
                </w:tcPr>
                <w:p w14:paraId="1960B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5</w:t>
                  </w:r>
                  <w:r>
                    <w:rPr>
                      <w:rFonts w:hint="default" w:ascii="Times New Roman" w:hAnsi="Times New Roman" w:eastAsia="仿宋" w:cs="Times New Roman"/>
                      <w:color w:val="auto"/>
                      <w:kern w:val="0"/>
                      <w:sz w:val="21"/>
                      <w:szCs w:val="21"/>
                    </w:rPr>
                    <w:t>F</w:t>
                  </w:r>
                </w:p>
              </w:tc>
              <w:tc>
                <w:tcPr>
                  <w:tcW w:w="664" w:type="pct"/>
                  <w:noWrap w:val="0"/>
                  <w:vAlign w:val="center"/>
                </w:tcPr>
                <w:p w14:paraId="70A372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23</w:t>
                  </w:r>
                </w:p>
              </w:tc>
              <w:tc>
                <w:tcPr>
                  <w:tcW w:w="387" w:type="pct"/>
                  <w:noWrap w:val="0"/>
                  <w:vAlign w:val="center"/>
                </w:tcPr>
                <w:p w14:paraId="416894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砖</w:t>
                  </w:r>
                  <w:r>
                    <w:rPr>
                      <w:rFonts w:hint="default" w:ascii="Times New Roman" w:hAnsi="Times New Roman" w:eastAsia="仿宋" w:cs="Times New Roman"/>
                      <w:color w:val="auto"/>
                      <w:kern w:val="0"/>
                      <w:sz w:val="21"/>
                      <w:szCs w:val="21"/>
                    </w:rPr>
                    <w:t>混</w:t>
                  </w:r>
                </w:p>
              </w:tc>
              <w:tc>
                <w:tcPr>
                  <w:tcW w:w="1516" w:type="pct"/>
                  <w:vMerge w:val="continue"/>
                  <w:noWrap w:val="0"/>
                  <w:vAlign w:val="center"/>
                </w:tcPr>
                <w:p w14:paraId="3A41D4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p>
              </w:tc>
            </w:tr>
          </w:tbl>
          <w:p w14:paraId="26D6866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p>
          <w:p w14:paraId="0CD47767">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p>
          <w:p w14:paraId="6E7B1F3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p>
          <w:p w14:paraId="15201EC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p>
          <w:p w14:paraId="5DCD6216">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p>
          <w:p w14:paraId="720477DD">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3、原有项目公辅工程情况</w:t>
            </w:r>
          </w:p>
          <w:p w14:paraId="026E1782">
            <w:pPr>
              <w:snapToGrid w:val="0"/>
              <w:spacing w:line="240" w:lineRule="auto"/>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eastAsia="zh-CN"/>
              </w:rPr>
              <w:t>表</w:t>
            </w:r>
            <w:r>
              <w:rPr>
                <w:rFonts w:hint="default" w:ascii="Times New Roman" w:hAnsi="Times New Roman" w:eastAsia="仿宋" w:cs="Times New Roman"/>
                <w:b/>
                <w:bCs/>
                <w:color w:val="auto"/>
                <w:szCs w:val="21"/>
                <w:lang w:val="en-US" w:eastAsia="zh-CN"/>
              </w:rPr>
              <w:t>2-11</w:t>
            </w:r>
            <w:r>
              <w:rPr>
                <w:rFonts w:hint="default" w:ascii="Times New Roman" w:hAnsi="Times New Roman" w:eastAsia="仿宋" w:cs="Times New Roman"/>
                <w:b/>
                <w:bCs/>
                <w:color w:val="auto"/>
                <w:szCs w:val="21"/>
                <w:lang w:eastAsia="zh-CN"/>
              </w:rPr>
              <w:t xml:space="preserve">  </w:t>
            </w:r>
            <w:r>
              <w:rPr>
                <w:rFonts w:hint="default" w:ascii="Times New Roman" w:hAnsi="Times New Roman" w:eastAsia="仿宋" w:cs="Times New Roman"/>
                <w:b/>
                <w:bCs/>
                <w:color w:val="auto"/>
                <w:szCs w:val="21"/>
                <w:lang w:val="en-US" w:eastAsia="zh-CN"/>
              </w:rPr>
              <w:t>原有项目</w:t>
            </w:r>
            <w:r>
              <w:rPr>
                <w:rFonts w:hint="default" w:ascii="Times New Roman" w:hAnsi="Times New Roman" w:eastAsia="仿宋" w:cs="Times New Roman"/>
                <w:b/>
                <w:bCs/>
                <w:color w:val="auto"/>
                <w:szCs w:val="21"/>
                <w:lang w:eastAsia="zh-CN"/>
              </w:rPr>
              <w:t>公用及辅助工程一览表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13"/>
              <w:gridCol w:w="1913"/>
              <w:gridCol w:w="1490"/>
              <w:gridCol w:w="3141"/>
            </w:tblGrid>
            <w:tr w14:paraId="318E5C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2" w:type="pct"/>
                  <w:noWrap w:val="0"/>
                  <w:vAlign w:val="center"/>
                </w:tcPr>
                <w:p w14:paraId="1DD29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类型</w:t>
                  </w:r>
                </w:p>
              </w:tc>
              <w:tc>
                <w:tcPr>
                  <w:tcW w:w="1677" w:type="pct"/>
                  <w:gridSpan w:val="2"/>
                  <w:noWrap w:val="0"/>
                  <w:vAlign w:val="center"/>
                </w:tcPr>
                <w:p w14:paraId="0C23A6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建设名称</w:t>
                  </w:r>
                </w:p>
              </w:tc>
              <w:tc>
                <w:tcPr>
                  <w:tcW w:w="917" w:type="pct"/>
                  <w:noWrap w:val="0"/>
                  <w:vAlign w:val="center"/>
                </w:tcPr>
                <w:p w14:paraId="1C6FE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设计能力</w:t>
                  </w:r>
                </w:p>
              </w:tc>
              <w:tc>
                <w:tcPr>
                  <w:tcW w:w="1932" w:type="pct"/>
                  <w:noWrap w:val="0"/>
                  <w:vAlign w:val="center"/>
                </w:tcPr>
                <w:p w14:paraId="0DC57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备注</w:t>
                  </w:r>
                </w:p>
              </w:tc>
            </w:tr>
            <w:tr w14:paraId="42A8B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restart"/>
                  <w:noWrap w:val="0"/>
                  <w:vAlign w:val="center"/>
                </w:tcPr>
                <w:p w14:paraId="312A64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储运工程</w:t>
                  </w:r>
                </w:p>
              </w:tc>
              <w:tc>
                <w:tcPr>
                  <w:tcW w:w="1677" w:type="pct"/>
                  <w:gridSpan w:val="2"/>
                  <w:noWrap w:val="0"/>
                  <w:vAlign w:val="center"/>
                </w:tcPr>
                <w:p w14:paraId="5980E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原料</w:t>
                  </w:r>
                  <w:r>
                    <w:rPr>
                      <w:rFonts w:hint="default" w:ascii="Times New Roman" w:hAnsi="Times New Roman" w:eastAsia="仿宋" w:cs="Times New Roman"/>
                      <w:color w:val="auto"/>
                      <w:sz w:val="21"/>
                      <w:szCs w:val="21"/>
                      <w:lang w:val="en-US" w:eastAsia="zh-CN"/>
                    </w:rPr>
                    <w:t>堆放区</w:t>
                  </w:r>
                </w:p>
              </w:tc>
              <w:tc>
                <w:tcPr>
                  <w:tcW w:w="917" w:type="pct"/>
                  <w:noWrap w:val="0"/>
                  <w:vAlign w:val="center"/>
                </w:tcPr>
                <w:p w14:paraId="68D99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50m</w:t>
                  </w:r>
                  <w:r>
                    <w:rPr>
                      <w:rFonts w:hint="default" w:ascii="Times New Roman" w:hAnsi="Times New Roman" w:eastAsia="仿宋" w:cs="Times New Roman"/>
                      <w:color w:val="auto"/>
                      <w:sz w:val="21"/>
                      <w:szCs w:val="21"/>
                      <w:vertAlign w:val="superscript"/>
                      <w:lang w:val="en-US" w:eastAsia="zh-CN"/>
                    </w:rPr>
                    <w:t>2</w:t>
                  </w:r>
                </w:p>
              </w:tc>
              <w:tc>
                <w:tcPr>
                  <w:tcW w:w="1932" w:type="pct"/>
                  <w:noWrap w:val="0"/>
                  <w:vAlign w:val="center"/>
                </w:tcPr>
                <w:p w14:paraId="49E75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位于生产车间南侧</w:t>
                  </w:r>
                </w:p>
              </w:tc>
            </w:tr>
            <w:tr w14:paraId="23D8B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72" w:type="pct"/>
                  <w:vMerge w:val="continue"/>
                  <w:noWrap w:val="0"/>
                  <w:vAlign w:val="center"/>
                </w:tcPr>
                <w:p w14:paraId="1206C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677" w:type="pct"/>
                  <w:gridSpan w:val="2"/>
                  <w:noWrap w:val="0"/>
                  <w:vAlign w:val="center"/>
                </w:tcPr>
                <w:p w14:paraId="25AF8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成品</w:t>
                  </w:r>
                  <w:r>
                    <w:rPr>
                      <w:rFonts w:hint="default" w:ascii="Times New Roman" w:hAnsi="Times New Roman" w:eastAsia="仿宋" w:cs="Times New Roman"/>
                      <w:color w:val="auto"/>
                      <w:sz w:val="21"/>
                      <w:szCs w:val="21"/>
                      <w:lang w:val="en-US" w:eastAsia="zh-CN"/>
                    </w:rPr>
                    <w:t>库</w:t>
                  </w:r>
                </w:p>
              </w:tc>
              <w:tc>
                <w:tcPr>
                  <w:tcW w:w="917" w:type="pct"/>
                  <w:noWrap w:val="0"/>
                  <w:vAlign w:val="center"/>
                </w:tcPr>
                <w:p w14:paraId="6E058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30.8m</w:t>
                  </w:r>
                  <w:r>
                    <w:rPr>
                      <w:rFonts w:hint="default" w:ascii="Times New Roman" w:hAnsi="Times New Roman" w:eastAsia="仿宋" w:cs="Times New Roman"/>
                      <w:color w:val="auto"/>
                      <w:sz w:val="21"/>
                      <w:szCs w:val="21"/>
                      <w:vertAlign w:val="superscript"/>
                      <w:lang w:val="en-US" w:eastAsia="zh-CN"/>
                    </w:rPr>
                    <w:t>2</w:t>
                  </w:r>
                </w:p>
              </w:tc>
              <w:tc>
                <w:tcPr>
                  <w:tcW w:w="1932" w:type="pct"/>
                  <w:noWrap w:val="0"/>
                  <w:vAlign w:val="center"/>
                </w:tcPr>
                <w:p w14:paraId="79E17B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位于生产车间西南侧</w:t>
                  </w:r>
                </w:p>
              </w:tc>
            </w:tr>
            <w:tr w14:paraId="12961D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restart"/>
                  <w:noWrap w:val="0"/>
                  <w:vAlign w:val="center"/>
                </w:tcPr>
                <w:p w14:paraId="257A6A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公用工程</w:t>
                  </w:r>
                </w:p>
              </w:tc>
              <w:tc>
                <w:tcPr>
                  <w:tcW w:w="1677" w:type="pct"/>
                  <w:gridSpan w:val="2"/>
                  <w:noWrap w:val="0"/>
                  <w:vAlign w:val="center"/>
                </w:tcPr>
                <w:p w14:paraId="694C60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供配电系统</w:t>
                  </w:r>
                </w:p>
              </w:tc>
              <w:tc>
                <w:tcPr>
                  <w:tcW w:w="917" w:type="pct"/>
                  <w:noWrap w:val="0"/>
                  <w:vAlign w:val="center"/>
                </w:tcPr>
                <w:p w14:paraId="33BF8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约3</w:t>
                  </w:r>
                  <w:r>
                    <w:rPr>
                      <w:rFonts w:hint="default" w:ascii="Times New Roman" w:hAnsi="Times New Roman" w:eastAsia="仿宋" w:cs="Times New Roman"/>
                      <w:color w:val="auto"/>
                      <w:sz w:val="21"/>
                      <w:szCs w:val="21"/>
                    </w:rPr>
                    <w:t>万度/年</w:t>
                  </w:r>
                </w:p>
              </w:tc>
              <w:tc>
                <w:tcPr>
                  <w:tcW w:w="1932" w:type="pct"/>
                  <w:noWrap w:val="0"/>
                  <w:vAlign w:val="center"/>
                </w:tcPr>
                <w:p w14:paraId="322288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区域供电</w:t>
                  </w:r>
                </w:p>
              </w:tc>
            </w:tr>
            <w:tr w14:paraId="0EFCBC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3620B5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500" w:type="pct"/>
                  <w:vMerge w:val="restart"/>
                  <w:noWrap w:val="0"/>
                  <w:vAlign w:val="center"/>
                </w:tcPr>
                <w:p w14:paraId="29E4E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给水系统</w:t>
                  </w:r>
                </w:p>
              </w:tc>
              <w:tc>
                <w:tcPr>
                  <w:tcW w:w="1177" w:type="pct"/>
                  <w:noWrap w:val="0"/>
                  <w:vAlign w:val="center"/>
                </w:tcPr>
                <w:p w14:paraId="02CFEC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生产用水</w:t>
                  </w:r>
                </w:p>
              </w:tc>
              <w:tc>
                <w:tcPr>
                  <w:tcW w:w="917" w:type="pct"/>
                  <w:noWrap w:val="0"/>
                  <w:vAlign w:val="center"/>
                </w:tcPr>
                <w:p w14:paraId="31EB6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6.47</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932" w:type="pct"/>
                  <w:vMerge w:val="restart"/>
                  <w:noWrap w:val="0"/>
                  <w:vAlign w:val="center"/>
                </w:tcPr>
                <w:p w14:paraId="6EA75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由市政自来水厂供给</w:t>
                  </w:r>
                </w:p>
              </w:tc>
            </w:tr>
            <w:tr w14:paraId="0DB415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2E3381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500" w:type="pct"/>
                  <w:vMerge w:val="continue"/>
                  <w:noWrap w:val="0"/>
                  <w:vAlign w:val="center"/>
                </w:tcPr>
                <w:p w14:paraId="11FFA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177" w:type="pct"/>
                  <w:noWrap w:val="0"/>
                  <w:vAlign w:val="center"/>
                </w:tcPr>
                <w:p w14:paraId="2FEEB7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生活用水</w:t>
                  </w:r>
                </w:p>
              </w:tc>
              <w:tc>
                <w:tcPr>
                  <w:tcW w:w="917" w:type="pct"/>
                  <w:noWrap w:val="0"/>
                  <w:vAlign w:val="center"/>
                </w:tcPr>
                <w:p w14:paraId="5FDA26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r>
                    <w:rPr>
                      <w:rFonts w:hint="eastAsia"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0</w:t>
                  </w:r>
                  <w:r>
                    <w:rPr>
                      <w:rFonts w:hint="default" w:ascii="Times New Roman" w:hAnsi="Times New Roman" w:eastAsia="仿宋" w:cs="Times New Roman"/>
                      <w:color w:val="auto"/>
                      <w:sz w:val="21"/>
                      <w:szCs w:val="21"/>
                    </w:rPr>
                    <w:t>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/a</w:t>
                  </w:r>
                </w:p>
              </w:tc>
              <w:tc>
                <w:tcPr>
                  <w:tcW w:w="1932" w:type="pct"/>
                  <w:vMerge w:val="continue"/>
                  <w:noWrap w:val="0"/>
                  <w:vAlign w:val="center"/>
                </w:tcPr>
                <w:p w14:paraId="4B182F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r>
            <w:tr w14:paraId="311E42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65392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500" w:type="pct"/>
                  <w:noWrap w:val="0"/>
                  <w:vAlign w:val="center"/>
                </w:tcPr>
                <w:p w14:paraId="36D39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排水系统</w:t>
                  </w:r>
                </w:p>
              </w:tc>
              <w:tc>
                <w:tcPr>
                  <w:tcW w:w="1177" w:type="pct"/>
                  <w:noWrap w:val="0"/>
                  <w:vAlign w:val="center"/>
                </w:tcPr>
                <w:p w14:paraId="5BB8F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生活污水</w:t>
                  </w:r>
                </w:p>
              </w:tc>
              <w:tc>
                <w:tcPr>
                  <w:tcW w:w="917" w:type="pct"/>
                  <w:noWrap w:val="0"/>
                  <w:vAlign w:val="center"/>
                </w:tcPr>
                <w:p w14:paraId="77819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r>
                    <w:rPr>
                      <w:rFonts w:hint="eastAsia" w:eastAsia="仿宋" w:cs="Times New Roman"/>
                      <w:color w:val="auto"/>
                      <w:sz w:val="21"/>
                      <w:szCs w:val="21"/>
                      <w:lang w:val="en-US" w:eastAsia="zh-CN"/>
                    </w:rPr>
                    <w:t>40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/a</w:t>
                  </w:r>
                </w:p>
              </w:tc>
              <w:tc>
                <w:tcPr>
                  <w:tcW w:w="1932" w:type="pct"/>
                  <w:noWrap w:val="0"/>
                  <w:vAlign w:val="center"/>
                </w:tcPr>
                <w:p w14:paraId="5DD12A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由区域污水管网接管至</w:t>
                  </w:r>
                  <w:r>
                    <w:rPr>
                      <w:rFonts w:hint="default" w:ascii="Times New Roman" w:hAnsi="Times New Roman" w:eastAsia="仿宋" w:cs="Times New Roman"/>
                      <w:color w:val="auto"/>
                      <w:sz w:val="21"/>
                      <w:szCs w:val="21"/>
                      <w:lang w:val="en-US" w:eastAsia="zh-CN"/>
                    </w:rPr>
                    <w:t>武南污水处理厂</w:t>
                  </w:r>
                  <w:r>
                    <w:rPr>
                      <w:rFonts w:hint="default" w:ascii="Times New Roman" w:hAnsi="Times New Roman" w:eastAsia="仿宋" w:cs="Times New Roman"/>
                      <w:color w:val="auto"/>
                      <w:sz w:val="21"/>
                      <w:szCs w:val="21"/>
                    </w:rPr>
                    <w:t>处理，尾水排入</w:t>
                  </w:r>
                  <w:r>
                    <w:rPr>
                      <w:rFonts w:hint="default" w:ascii="Times New Roman" w:hAnsi="Times New Roman" w:eastAsia="仿宋" w:cs="Times New Roman"/>
                      <w:color w:val="auto"/>
                      <w:sz w:val="21"/>
                      <w:szCs w:val="21"/>
                      <w:lang w:val="en-US" w:eastAsia="zh-CN"/>
                    </w:rPr>
                    <w:t>武南河</w:t>
                  </w:r>
                </w:p>
              </w:tc>
            </w:tr>
            <w:tr w14:paraId="514AD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restart"/>
                  <w:noWrap w:val="0"/>
                  <w:vAlign w:val="center"/>
                </w:tcPr>
                <w:p w14:paraId="0D44C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环保工程</w:t>
                  </w:r>
                </w:p>
              </w:tc>
              <w:tc>
                <w:tcPr>
                  <w:tcW w:w="1677" w:type="pct"/>
                  <w:gridSpan w:val="2"/>
                  <w:noWrap w:val="0"/>
                  <w:vAlign w:val="center"/>
                </w:tcPr>
                <w:p w14:paraId="042B9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废气</w:t>
                  </w:r>
                </w:p>
              </w:tc>
              <w:tc>
                <w:tcPr>
                  <w:tcW w:w="917" w:type="pct"/>
                  <w:noWrap w:val="0"/>
                  <w:vAlign w:val="center"/>
                </w:tcPr>
                <w:p w14:paraId="34ADA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2</w:t>
                  </w:r>
                  <w:r>
                    <w:rPr>
                      <w:rFonts w:hint="default" w:ascii="Times New Roman" w:hAnsi="Times New Roman" w:eastAsia="仿宋" w:cs="Times New Roman"/>
                      <w:color w:val="auto"/>
                      <w:kern w:val="2"/>
                      <w:sz w:val="21"/>
                      <w:szCs w:val="21"/>
                      <w:lang w:val="en-US" w:eastAsia="zh-CN" w:bidi="ar-SA"/>
                    </w:rPr>
                    <w:t>套移动式焊烟净化器</w:t>
                  </w:r>
                </w:p>
              </w:tc>
              <w:tc>
                <w:tcPr>
                  <w:tcW w:w="1932" w:type="pct"/>
                  <w:noWrap w:val="0"/>
                  <w:vAlign w:val="center"/>
                </w:tcPr>
                <w:p w14:paraId="2DDD84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处理焊接烟尘</w:t>
                  </w:r>
                </w:p>
              </w:tc>
            </w:tr>
            <w:tr w14:paraId="4D4092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2B31B7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677" w:type="pct"/>
                  <w:gridSpan w:val="2"/>
                  <w:noWrap w:val="0"/>
                  <w:vAlign w:val="center"/>
                </w:tcPr>
                <w:p w14:paraId="4F993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废水</w:t>
                  </w:r>
                </w:p>
              </w:tc>
              <w:tc>
                <w:tcPr>
                  <w:tcW w:w="917" w:type="pct"/>
                  <w:noWrap w:val="0"/>
                  <w:vAlign w:val="center"/>
                </w:tcPr>
                <w:p w14:paraId="38C20A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2</w:t>
                  </w:r>
                  <w:r>
                    <w:rPr>
                      <w:rFonts w:hint="eastAsia" w:eastAsia="仿宋" w:cs="Times New Roman"/>
                      <w:color w:val="auto"/>
                      <w:sz w:val="21"/>
                      <w:szCs w:val="21"/>
                      <w:lang w:val="en-US" w:eastAsia="zh-CN"/>
                    </w:rPr>
                    <w:t>40</w:t>
                  </w:r>
                  <w:r>
                    <w:rPr>
                      <w:rFonts w:hint="default" w:ascii="Times New Roman" w:hAnsi="Times New Roman" w:eastAsia="仿宋" w:cs="Times New Roman"/>
                      <w:color w:val="auto"/>
                      <w:sz w:val="21"/>
                      <w:szCs w:val="21"/>
                      <w:lang w:val="en-US" w:eastAsia="zh-CN"/>
                    </w:rPr>
                    <w:t>m</w:t>
                  </w:r>
                  <w:r>
                    <w:rPr>
                      <w:rFonts w:hint="default" w:ascii="Times New Roman" w:hAnsi="Times New Roman" w:eastAsia="仿宋" w:cs="Times New Roman"/>
                      <w:color w:val="auto"/>
                      <w:sz w:val="21"/>
                      <w:szCs w:val="21"/>
                      <w:vertAlign w:val="superscript"/>
                      <w:lang w:val="en-US" w:eastAsia="zh-CN"/>
                    </w:rPr>
                    <w:t>3</w:t>
                  </w:r>
                  <w:r>
                    <w:rPr>
                      <w:rFonts w:hint="default" w:ascii="Times New Roman" w:hAnsi="Times New Roman" w:eastAsia="仿宋" w:cs="Times New Roman"/>
                      <w:color w:val="auto"/>
                      <w:sz w:val="21"/>
                      <w:szCs w:val="21"/>
                      <w:lang w:val="en-US" w:eastAsia="zh-CN"/>
                    </w:rPr>
                    <w:t>/a</w:t>
                  </w:r>
                </w:p>
              </w:tc>
              <w:tc>
                <w:tcPr>
                  <w:tcW w:w="1932" w:type="pct"/>
                  <w:noWrap w:val="0"/>
                  <w:vAlign w:val="center"/>
                </w:tcPr>
                <w:p w14:paraId="39C728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由区域污水管网接管至</w:t>
                  </w:r>
                  <w:r>
                    <w:rPr>
                      <w:rFonts w:hint="default" w:ascii="Times New Roman" w:hAnsi="Times New Roman" w:eastAsia="仿宋" w:cs="Times New Roman"/>
                      <w:color w:val="auto"/>
                      <w:sz w:val="21"/>
                      <w:szCs w:val="21"/>
                      <w:lang w:val="en-US" w:eastAsia="zh-CN"/>
                    </w:rPr>
                    <w:t>武南污水处理厂</w:t>
                  </w:r>
                  <w:r>
                    <w:rPr>
                      <w:rFonts w:hint="default" w:ascii="Times New Roman" w:hAnsi="Times New Roman" w:eastAsia="仿宋" w:cs="Times New Roman"/>
                      <w:color w:val="auto"/>
                      <w:sz w:val="21"/>
                      <w:szCs w:val="21"/>
                    </w:rPr>
                    <w:t>处理，尾水排入</w:t>
                  </w:r>
                  <w:r>
                    <w:rPr>
                      <w:rFonts w:hint="default" w:ascii="Times New Roman" w:hAnsi="Times New Roman" w:eastAsia="仿宋" w:cs="Times New Roman"/>
                      <w:color w:val="auto"/>
                      <w:sz w:val="21"/>
                      <w:szCs w:val="21"/>
                      <w:lang w:val="en-US" w:eastAsia="zh-CN"/>
                    </w:rPr>
                    <w:t>武南河</w:t>
                  </w:r>
                </w:p>
              </w:tc>
            </w:tr>
            <w:tr w14:paraId="0587BA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33426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500" w:type="pct"/>
                  <w:vMerge w:val="restart"/>
                  <w:noWrap w:val="0"/>
                  <w:vAlign w:val="center"/>
                </w:tcPr>
                <w:p w14:paraId="676B6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1177" w:type="pct"/>
                  <w:noWrap w:val="0"/>
                  <w:vAlign w:val="center"/>
                </w:tcPr>
                <w:p w14:paraId="23E96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一般固废堆场</w:t>
                  </w:r>
                </w:p>
              </w:tc>
              <w:tc>
                <w:tcPr>
                  <w:tcW w:w="917" w:type="pct"/>
                  <w:noWrap w:val="0"/>
                  <w:vAlign w:val="center"/>
                </w:tcPr>
                <w:p w14:paraId="1A470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w:t>
                  </w:r>
                  <w:r>
                    <w:rPr>
                      <w:rFonts w:hint="eastAsia" w:ascii="Times New Roman" w:hAnsi="Times New Roman" w:eastAsia="仿宋" w:cs="Times New Roman"/>
                      <w:color w:val="auto"/>
                      <w:sz w:val="21"/>
                      <w:szCs w:val="21"/>
                      <w:lang w:val="en-US" w:eastAsia="zh-CN"/>
                    </w:rPr>
                    <w:t>0</w:t>
                  </w:r>
                  <w:r>
                    <w:rPr>
                      <w:rFonts w:hint="default" w:ascii="Times New Roman" w:hAnsi="Times New Roman" w:eastAsia="仿宋" w:cs="Times New Roman"/>
                      <w:lang w:val="en-US" w:eastAsia="zh-CN"/>
                    </w:rPr>
                    <w:t>m</w:t>
                  </w:r>
                  <w:r>
                    <w:rPr>
                      <w:rFonts w:hint="default" w:ascii="Times New Roman" w:hAnsi="Times New Roman" w:eastAsia="仿宋" w:cs="Times New Roman"/>
                      <w:vertAlign w:val="superscript"/>
                      <w:lang w:val="en-US" w:eastAsia="zh-CN"/>
                    </w:rPr>
                    <w:t>2</w:t>
                  </w:r>
                </w:p>
              </w:tc>
              <w:tc>
                <w:tcPr>
                  <w:tcW w:w="1932" w:type="pct"/>
                  <w:noWrap w:val="0"/>
                  <w:vAlign w:val="center"/>
                </w:tcPr>
                <w:p w14:paraId="46F34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位于生产车间南侧</w:t>
                  </w:r>
                </w:p>
              </w:tc>
            </w:tr>
            <w:tr w14:paraId="1D7E3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2" w:type="pct"/>
                  <w:vMerge w:val="continue"/>
                  <w:noWrap w:val="0"/>
                  <w:vAlign w:val="center"/>
                </w:tcPr>
                <w:p w14:paraId="761F4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500" w:type="pct"/>
                  <w:vMerge w:val="continue"/>
                  <w:noWrap w:val="0"/>
                  <w:vAlign w:val="center"/>
                </w:tcPr>
                <w:p w14:paraId="30E50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rPr>
                  </w:pPr>
                </w:p>
              </w:tc>
              <w:tc>
                <w:tcPr>
                  <w:tcW w:w="1177" w:type="pct"/>
                  <w:noWrap w:val="0"/>
                  <w:vAlign w:val="center"/>
                </w:tcPr>
                <w:p w14:paraId="604D2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危废仓库</w:t>
                  </w:r>
                </w:p>
              </w:tc>
              <w:tc>
                <w:tcPr>
                  <w:tcW w:w="917" w:type="pct"/>
                  <w:noWrap w:val="0"/>
                  <w:vAlign w:val="center"/>
                </w:tcPr>
                <w:p w14:paraId="6D920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10m</w:t>
                  </w:r>
                  <w:r>
                    <w:rPr>
                      <w:rFonts w:hint="default" w:ascii="Times New Roman" w:hAnsi="Times New Roman" w:eastAsia="仿宋" w:cs="Times New Roman"/>
                      <w:vertAlign w:val="superscript"/>
                      <w:lang w:val="en-US" w:eastAsia="zh-CN"/>
                    </w:rPr>
                    <w:t>2</w:t>
                  </w:r>
                </w:p>
              </w:tc>
              <w:tc>
                <w:tcPr>
                  <w:tcW w:w="3141" w:type="dxa"/>
                  <w:noWrap w:val="0"/>
                  <w:vAlign w:val="center"/>
                </w:tcPr>
                <w:p w14:paraId="22C3D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位于生产车间南侧</w:t>
                  </w:r>
                </w:p>
              </w:tc>
            </w:tr>
          </w:tbl>
          <w:p w14:paraId="60864FB6">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4、原有项目原辅料使用情况</w:t>
            </w:r>
          </w:p>
          <w:p w14:paraId="726AE91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eastAsia" w:ascii="Times New Roman" w:hAnsi="Times New Roman" w:eastAsia="仿宋" w:cs="Times New Roman"/>
                <w:bCs/>
                <w:color w:val="auto"/>
                <w:sz w:val="24"/>
                <w:szCs w:val="24"/>
                <w:lang w:val="en-US" w:eastAsia="zh-CN"/>
              </w:rPr>
              <w:t>详见表2-4。</w:t>
            </w:r>
          </w:p>
          <w:p w14:paraId="73010BC4">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5、原有项目设备情况</w:t>
            </w:r>
          </w:p>
          <w:p w14:paraId="1D55C0D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
                <w:bCs w:val="0"/>
                <w:color w:val="auto"/>
                <w:sz w:val="24"/>
                <w:szCs w:val="24"/>
                <w:lang w:val="en-US" w:eastAsia="zh-CN"/>
              </w:rPr>
            </w:pPr>
            <w:r>
              <w:rPr>
                <w:rFonts w:hint="eastAsia" w:ascii="Times New Roman" w:hAnsi="Times New Roman" w:eastAsia="仿宋" w:cs="Times New Roman"/>
                <w:bCs/>
                <w:color w:val="auto"/>
                <w:sz w:val="24"/>
                <w:szCs w:val="24"/>
                <w:lang w:val="en-US" w:eastAsia="zh-CN"/>
              </w:rPr>
              <w:t>详见表2-3。</w:t>
            </w:r>
          </w:p>
          <w:p w14:paraId="49FEBCE9">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6、原有项目工艺流程图</w:t>
            </w:r>
          </w:p>
          <w:p w14:paraId="6D05551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原有项目步进电机、驱动器工艺流程与本项目相同，工艺流程见图2-2、图2-4。</w:t>
            </w:r>
          </w:p>
          <w:p w14:paraId="59D631D2">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7、原有项目污染物排放情况</w:t>
            </w:r>
          </w:p>
          <w:p w14:paraId="509E43D0">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（1）废水污染防治措施及排放情况</w:t>
            </w:r>
          </w:p>
          <w:p w14:paraId="07B7730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厂区已实行“雨污分流”，雨水经厂内雨水管网收集后排入市政雨水管网；原有项目生活污水接入武南污水处理厂，尾水排入武南河。原有项目水平衡图见图2-5。根据验收监测报告可知原有项目生活污水各污染物均达标排放。验收监测</w:t>
            </w:r>
            <w:r>
              <w:rPr>
                <w:rFonts w:hint="eastAsia" w:eastAsia="仿宋" w:cs="Times New Roman"/>
                <w:bCs/>
                <w:color w:val="auto"/>
                <w:sz w:val="24"/>
                <w:szCs w:val="24"/>
                <w:lang w:val="en-US" w:eastAsia="zh-CN"/>
              </w:rPr>
              <w:t>数据见表2-12。</w:t>
            </w:r>
          </w:p>
          <w:p w14:paraId="4B15B561">
            <w:pPr>
              <w:adjustRightInd w:val="0"/>
              <w:snapToGrid w:val="0"/>
              <w:spacing w:line="240" w:lineRule="auto"/>
              <w:jc w:val="center"/>
              <w:rPr>
                <w:rFonts w:hint="default" w:ascii="Times New Roman" w:hAnsi="Times New Roman" w:eastAsia="仿宋" w:cs="Times New Roman"/>
              </w:rPr>
            </w:pPr>
            <w:r>
              <w:drawing>
                <wp:inline distT="0" distB="0" distL="114300" distR="114300">
                  <wp:extent cx="4101465" cy="1621790"/>
                  <wp:effectExtent l="0" t="0" r="13335" b="1651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3"/>
                          <a:stretch>
                            <a:fillRect/>
                          </a:stretch>
                        </pic:blipFill>
                        <pic:spPr>
                          <a:xfrm>
                            <a:off x="0" y="0"/>
                            <a:ext cx="4101465" cy="1621790"/>
                          </a:xfrm>
                          <a:prstGeom prst="rect">
                            <a:avLst/>
                          </a:prstGeom>
                          <a:noFill/>
                          <a:ln>
                            <a:noFill/>
                          </a:ln>
                        </pic:spPr>
                      </pic:pic>
                    </a:graphicData>
                  </a:graphic>
                </wp:inline>
              </w:drawing>
            </w:r>
          </w:p>
          <w:p w14:paraId="3DDF11E5">
            <w:pPr>
              <w:spacing w:line="240" w:lineRule="auto"/>
              <w:jc w:val="center"/>
              <w:rPr>
                <w:rFonts w:hint="default" w:ascii="Times New Roman" w:hAnsi="Times New Roman" w:eastAsia="仿宋" w:cs="Times New Roman"/>
                <w:b/>
                <w:bCs/>
                <w:sz w:val="21"/>
                <w:szCs w:val="21"/>
                <w:lang w:val="en-US" w:eastAsia="zh-CN"/>
              </w:rPr>
            </w:pPr>
            <w:r>
              <w:rPr>
                <w:rFonts w:hint="default" w:ascii="Times New Roman" w:hAnsi="Times New Roman" w:eastAsia="仿宋" w:cs="Times New Roman"/>
                <w:b/>
                <w:bCs/>
                <w:sz w:val="21"/>
                <w:szCs w:val="21"/>
                <w:lang w:val="en-US" w:eastAsia="zh-CN"/>
              </w:rPr>
              <w:t>图2-5  原有项目水平衡图</w:t>
            </w:r>
          </w:p>
          <w:p w14:paraId="3069D37E">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240" w:lineRule="auto"/>
              <w:ind w:left="0" w:right="0" w:firstLine="0" w:firstLineChars="0"/>
              <w:jc w:val="center"/>
              <w:textAlignment w:val="auto"/>
              <w:rPr>
                <w:rFonts w:hint="default" w:ascii="Times New Roman" w:hAnsi="Times New Roman" w:eastAsia="仿宋" w:cs="Times New Roman"/>
                <w:color w:val="000000"/>
                <w:sz w:val="21"/>
                <w:szCs w:val="21"/>
                <w:lang w:val="en-US" w:eastAsia="zh-CN"/>
              </w:rPr>
            </w:pPr>
            <w:r>
              <w:rPr>
                <w:rFonts w:hint="default" w:ascii="Times New Roman" w:hAnsi="Times New Roman" w:eastAsia="仿宋" w:cs="Times New Roman"/>
                <w:b/>
                <w:bCs/>
                <w:color w:val="000000"/>
                <w:sz w:val="21"/>
                <w:szCs w:val="21"/>
                <w:lang w:val="en-US" w:eastAsia="zh-CN"/>
              </w:rPr>
              <w:t>表</w:t>
            </w:r>
            <w:r>
              <w:rPr>
                <w:rFonts w:hint="eastAsia" w:ascii="Times New Roman" w:hAnsi="Times New Roman" w:cs="Times New Roman"/>
                <w:b/>
                <w:bCs/>
                <w:color w:val="000000"/>
                <w:sz w:val="21"/>
                <w:szCs w:val="21"/>
                <w:lang w:val="en-US" w:eastAsia="zh-CN"/>
              </w:rPr>
              <w:t>2-1</w:t>
            </w:r>
            <w:r>
              <w:rPr>
                <w:rFonts w:hint="eastAsia" w:cs="Times New Roman"/>
                <w:b/>
                <w:bCs/>
                <w:color w:val="000000"/>
                <w:sz w:val="21"/>
                <w:szCs w:val="21"/>
                <w:lang w:val="en-US" w:eastAsia="zh-CN"/>
              </w:rPr>
              <w:t>2</w:t>
            </w:r>
            <w:r>
              <w:rPr>
                <w:rFonts w:hint="default" w:ascii="Times New Roman" w:hAnsi="Times New Roman" w:eastAsia="仿宋" w:cs="Times New Roman"/>
                <w:b/>
                <w:bCs/>
                <w:color w:val="000000"/>
                <w:sz w:val="21"/>
                <w:szCs w:val="21"/>
                <w:lang w:val="en-US" w:eastAsia="zh-CN"/>
              </w:rPr>
              <w:t xml:space="preserve">  </w:t>
            </w:r>
            <w:r>
              <w:rPr>
                <w:rFonts w:hint="eastAsia" w:eastAsia="仿宋" w:cs="Times New Roman"/>
                <w:b/>
                <w:bCs/>
                <w:color w:val="000000"/>
                <w:sz w:val="21"/>
                <w:szCs w:val="21"/>
                <w:lang w:val="en-US" w:eastAsia="zh-CN"/>
              </w:rPr>
              <w:t>原有项目</w:t>
            </w:r>
            <w:r>
              <w:rPr>
                <w:rFonts w:hint="eastAsia" w:ascii="Times New Roman" w:hAnsi="Times New Roman" w:eastAsia="仿宋" w:cs="Times New Roman"/>
                <w:b/>
                <w:bCs/>
                <w:color w:val="000000"/>
                <w:sz w:val="21"/>
                <w:szCs w:val="21"/>
                <w:lang w:val="en-US" w:eastAsia="zh-CN"/>
              </w:rPr>
              <w:t>污水接管口</w:t>
            </w:r>
            <w:r>
              <w:rPr>
                <w:rFonts w:hint="default" w:ascii="Times New Roman" w:hAnsi="Times New Roman" w:eastAsia="仿宋" w:cs="Times New Roman"/>
                <w:b/>
                <w:bCs/>
                <w:color w:val="000000"/>
                <w:sz w:val="21"/>
                <w:szCs w:val="21"/>
                <w:lang w:val="en-US" w:eastAsia="zh-CN"/>
              </w:rPr>
              <w:t>监测结果一览表</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28" w:type="dxa"/>
                <w:bottom w:w="28" w:type="dxa"/>
                <w:right w:w="28" w:type="dxa"/>
              </w:tblCellMar>
            </w:tblPr>
            <w:tblGrid>
              <w:gridCol w:w="827"/>
              <w:gridCol w:w="1053"/>
              <w:gridCol w:w="1080"/>
              <w:gridCol w:w="2669"/>
              <w:gridCol w:w="1564"/>
              <w:gridCol w:w="926"/>
            </w:tblGrid>
            <w:tr w14:paraId="41FF4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noWrap w:val="0"/>
                  <w:tcMar>
                    <w:top w:w="0" w:type="dxa"/>
                    <w:bottom w:w="0" w:type="dxa"/>
                  </w:tcMar>
                  <w:vAlign w:val="center"/>
                </w:tcPr>
                <w:p w14:paraId="320CD2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检测</w:t>
                  </w:r>
                </w:p>
                <w:p w14:paraId="233B4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点位</w:t>
                  </w:r>
                </w:p>
              </w:tc>
              <w:tc>
                <w:tcPr>
                  <w:tcW w:w="648" w:type="pct"/>
                  <w:noWrap w:val="0"/>
                  <w:tcMar>
                    <w:top w:w="0" w:type="dxa"/>
                    <w:bottom w:w="0" w:type="dxa"/>
                  </w:tcMar>
                  <w:vAlign w:val="center"/>
                </w:tcPr>
                <w:p w14:paraId="625A40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检测</w:t>
                  </w:r>
                  <w:r>
                    <w:rPr>
                      <w:rFonts w:hint="default" w:ascii="Times New Roman" w:hAnsi="Times New Roman" w:eastAsia="仿宋" w:cs="Times New Roman"/>
                      <w:b/>
                      <w:bCs/>
                      <w:color w:val="auto"/>
                      <w:sz w:val="21"/>
                      <w:szCs w:val="21"/>
                    </w:rPr>
                    <w:t>项目</w:t>
                  </w:r>
                </w:p>
              </w:tc>
              <w:tc>
                <w:tcPr>
                  <w:tcW w:w="665" w:type="pct"/>
                  <w:noWrap w:val="0"/>
                  <w:tcMar>
                    <w:top w:w="0" w:type="dxa"/>
                    <w:bottom w:w="0" w:type="dxa"/>
                  </w:tcMar>
                  <w:vAlign w:val="center"/>
                </w:tcPr>
                <w:p w14:paraId="30310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检测</w:t>
                  </w:r>
                  <w:r>
                    <w:rPr>
                      <w:rFonts w:hint="default" w:ascii="Times New Roman" w:hAnsi="Times New Roman" w:eastAsia="仿宋" w:cs="Times New Roman"/>
                      <w:b/>
                      <w:bCs/>
                      <w:color w:val="auto"/>
                      <w:sz w:val="21"/>
                      <w:szCs w:val="21"/>
                    </w:rPr>
                    <w:t>日期</w:t>
                  </w:r>
                </w:p>
              </w:tc>
              <w:tc>
                <w:tcPr>
                  <w:tcW w:w="1643" w:type="pct"/>
                  <w:noWrap w:val="0"/>
                  <w:tcMar>
                    <w:top w:w="0" w:type="dxa"/>
                    <w:bottom w:w="0" w:type="dxa"/>
                  </w:tcMar>
                  <w:vAlign w:val="center"/>
                </w:tcPr>
                <w:p w14:paraId="44192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检测</w:t>
                  </w:r>
                  <w:r>
                    <w:rPr>
                      <w:rFonts w:hint="default" w:ascii="Times New Roman" w:hAnsi="Times New Roman" w:eastAsia="仿宋" w:cs="Times New Roman"/>
                      <w:b/>
                      <w:bCs/>
                      <w:color w:val="auto"/>
                      <w:sz w:val="21"/>
                      <w:szCs w:val="21"/>
                    </w:rPr>
                    <w:t>结果（mg/L，pH为无量纲）日均值或范围值</w:t>
                  </w:r>
                </w:p>
              </w:tc>
              <w:tc>
                <w:tcPr>
                  <w:tcW w:w="963" w:type="pct"/>
                  <w:noWrap w:val="0"/>
                  <w:tcMar>
                    <w:top w:w="0" w:type="dxa"/>
                    <w:bottom w:w="0" w:type="dxa"/>
                  </w:tcMar>
                  <w:vAlign w:val="center"/>
                </w:tcPr>
                <w:p w14:paraId="49575C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w:t>
                  </w:r>
                </w:p>
              </w:tc>
              <w:tc>
                <w:tcPr>
                  <w:tcW w:w="570" w:type="pct"/>
                  <w:noWrap w:val="0"/>
                  <w:tcMar>
                    <w:top w:w="0" w:type="dxa"/>
                    <w:bottom w:w="0" w:type="dxa"/>
                  </w:tcMar>
                  <w:vAlign w:val="center"/>
                </w:tcPr>
                <w:p w14:paraId="5AEF8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评价</w:t>
                  </w:r>
                </w:p>
              </w:tc>
            </w:tr>
            <w:tr w14:paraId="12762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restart"/>
                  <w:noWrap w:val="0"/>
                  <w:vAlign w:val="center"/>
                </w:tcPr>
                <w:p w14:paraId="4BECC8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val="en-US" w:eastAsia="zh-CN"/>
                    </w:rPr>
                    <w:t>污水接管口</w:t>
                  </w:r>
                </w:p>
              </w:tc>
              <w:tc>
                <w:tcPr>
                  <w:tcW w:w="648" w:type="pct"/>
                  <w:vMerge w:val="restart"/>
                  <w:noWrap w:val="0"/>
                  <w:vAlign w:val="center"/>
                </w:tcPr>
                <w:p w14:paraId="24A3D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pH</w:t>
                  </w:r>
                </w:p>
              </w:tc>
              <w:tc>
                <w:tcPr>
                  <w:tcW w:w="665" w:type="pct"/>
                  <w:noWrap w:val="0"/>
                  <w:vAlign w:val="center"/>
                </w:tcPr>
                <w:p w14:paraId="4A48C34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04211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7.2</w:t>
                  </w:r>
                </w:p>
              </w:tc>
              <w:tc>
                <w:tcPr>
                  <w:tcW w:w="963" w:type="pct"/>
                  <w:vMerge w:val="restart"/>
                  <w:noWrap w:val="0"/>
                  <w:vAlign w:val="center"/>
                </w:tcPr>
                <w:p w14:paraId="1E92A3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rPr>
                    <w:t>6</w:t>
                  </w:r>
                  <w:r>
                    <w:rPr>
                      <w:rFonts w:hint="default" w:ascii="Times New Roman" w:hAnsi="Times New Roman" w:eastAsia="仿宋" w:cs="Times New Roman"/>
                      <w:sz w:val="21"/>
                      <w:szCs w:val="21"/>
                      <w:lang w:val="en-US" w:eastAsia="zh-CN"/>
                    </w:rPr>
                    <w:t>.5</w:t>
                  </w:r>
                  <w:r>
                    <w:rPr>
                      <w:rFonts w:hint="default" w:ascii="Times New Roman" w:hAnsi="Times New Roman" w:eastAsia="仿宋" w:cs="Times New Roman"/>
                      <w:sz w:val="21"/>
                      <w:szCs w:val="21"/>
                    </w:rPr>
                    <w:t>~9</w:t>
                  </w:r>
                  <w:r>
                    <w:rPr>
                      <w:rFonts w:hint="default" w:ascii="Times New Roman" w:hAnsi="Times New Roman" w:eastAsia="仿宋" w:cs="Times New Roman"/>
                      <w:sz w:val="21"/>
                      <w:szCs w:val="21"/>
                      <w:lang w:val="en-US" w:eastAsia="zh-CN"/>
                    </w:rPr>
                    <w:t>.5</w:t>
                  </w:r>
                </w:p>
              </w:tc>
              <w:tc>
                <w:tcPr>
                  <w:tcW w:w="570" w:type="pct"/>
                  <w:noWrap w:val="0"/>
                  <w:vAlign w:val="center"/>
                </w:tcPr>
                <w:p w14:paraId="308DD4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4AF95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55FC6E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072FF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4FEB7AD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bidi="ar-SA"/>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4D9A29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bidi="ar-SA"/>
                    </w:rPr>
                  </w:pPr>
                  <w:r>
                    <w:rPr>
                      <w:rFonts w:hint="eastAsia" w:ascii="Times New Roman" w:hAnsi="Times New Roman" w:eastAsia="仿宋" w:cs="Times New Roman"/>
                      <w:sz w:val="21"/>
                      <w:szCs w:val="21"/>
                      <w:lang w:val="en-US" w:eastAsia="zh-CN"/>
                    </w:rPr>
                    <w:t>7.2-7.3</w:t>
                  </w:r>
                </w:p>
              </w:tc>
              <w:tc>
                <w:tcPr>
                  <w:tcW w:w="963" w:type="pct"/>
                  <w:vMerge w:val="continue"/>
                  <w:noWrap w:val="0"/>
                  <w:vAlign w:val="center"/>
                </w:tcPr>
                <w:p w14:paraId="21D2C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570" w:type="pct"/>
                  <w:noWrap w:val="0"/>
                  <w:vAlign w:val="center"/>
                </w:tcPr>
                <w:p w14:paraId="3C094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59E1C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4D3DA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restart"/>
                  <w:noWrap w:val="0"/>
                  <w:vAlign w:val="center"/>
                </w:tcPr>
                <w:p w14:paraId="7DFDFE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化学需氧量</w:t>
                  </w:r>
                </w:p>
              </w:tc>
              <w:tc>
                <w:tcPr>
                  <w:tcW w:w="665" w:type="pct"/>
                  <w:noWrap w:val="0"/>
                  <w:vAlign w:val="center"/>
                </w:tcPr>
                <w:p w14:paraId="07521E72">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52EFBCD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265</w:t>
                  </w:r>
                </w:p>
              </w:tc>
              <w:tc>
                <w:tcPr>
                  <w:tcW w:w="963" w:type="pct"/>
                  <w:vMerge w:val="restart"/>
                  <w:noWrap w:val="0"/>
                  <w:vAlign w:val="center"/>
                </w:tcPr>
                <w:p w14:paraId="56863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500</w:t>
                  </w:r>
                </w:p>
              </w:tc>
              <w:tc>
                <w:tcPr>
                  <w:tcW w:w="570" w:type="pct"/>
                  <w:noWrap w:val="0"/>
                  <w:vAlign w:val="center"/>
                </w:tcPr>
                <w:p w14:paraId="6E8BA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6AD0B8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19D584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1C99B8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1165F03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511EBF0B">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271</w:t>
                  </w:r>
                </w:p>
              </w:tc>
              <w:tc>
                <w:tcPr>
                  <w:tcW w:w="963" w:type="pct"/>
                  <w:vMerge w:val="continue"/>
                  <w:noWrap w:val="0"/>
                  <w:vAlign w:val="center"/>
                </w:tcPr>
                <w:p w14:paraId="6987D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570" w:type="pct"/>
                  <w:noWrap w:val="0"/>
                  <w:vAlign w:val="center"/>
                </w:tcPr>
                <w:p w14:paraId="54CE97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7E45BE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5DBC3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restart"/>
                  <w:noWrap w:val="0"/>
                  <w:vAlign w:val="center"/>
                </w:tcPr>
                <w:p w14:paraId="2A2E9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悬浮物</w:t>
                  </w:r>
                </w:p>
              </w:tc>
              <w:tc>
                <w:tcPr>
                  <w:tcW w:w="665" w:type="pct"/>
                  <w:noWrap w:val="0"/>
                  <w:vAlign w:val="center"/>
                </w:tcPr>
                <w:p w14:paraId="1B657491">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2D29A24C">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109</w:t>
                  </w:r>
                </w:p>
              </w:tc>
              <w:tc>
                <w:tcPr>
                  <w:tcW w:w="963" w:type="pct"/>
                  <w:vMerge w:val="restart"/>
                  <w:noWrap w:val="0"/>
                  <w:vAlign w:val="center"/>
                </w:tcPr>
                <w:p w14:paraId="3B3896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400</w:t>
                  </w:r>
                </w:p>
              </w:tc>
              <w:tc>
                <w:tcPr>
                  <w:tcW w:w="570" w:type="pct"/>
                  <w:noWrap w:val="0"/>
                  <w:vAlign w:val="center"/>
                </w:tcPr>
                <w:p w14:paraId="154C3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43F5BC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0955D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406244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0AE2443E">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795CD81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111</w:t>
                  </w:r>
                </w:p>
              </w:tc>
              <w:tc>
                <w:tcPr>
                  <w:tcW w:w="963" w:type="pct"/>
                  <w:vMerge w:val="continue"/>
                  <w:noWrap w:val="0"/>
                  <w:vAlign w:val="center"/>
                </w:tcPr>
                <w:p w14:paraId="1F8D2E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570" w:type="pct"/>
                  <w:noWrap w:val="0"/>
                  <w:vAlign w:val="center"/>
                </w:tcPr>
                <w:p w14:paraId="56D246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034868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751C33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restart"/>
                  <w:noWrap w:val="0"/>
                  <w:vAlign w:val="center"/>
                </w:tcPr>
                <w:p w14:paraId="6C3C0A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氨氮</w:t>
                  </w:r>
                </w:p>
              </w:tc>
              <w:tc>
                <w:tcPr>
                  <w:tcW w:w="665" w:type="pct"/>
                  <w:noWrap w:val="0"/>
                  <w:vAlign w:val="center"/>
                </w:tcPr>
                <w:p w14:paraId="0FF94BAF">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1C816F67">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17.9</w:t>
                  </w:r>
                </w:p>
              </w:tc>
              <w:tc>
                <w:tcPr>
                  <w:tcW w:w="963" w:type="pct"/>
                  <w:vMerge w:val="restart"/>
                  <w:noWrap w:val="0"/>
                  <w:vAlign w:val="center"/>
                </w:tcPr>
                <w:p w14:paraId="0ED5BD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45</w:t>
                  </w:r>
                </w:p>
              </w:tc>
              <w:tc>
                <w:tcPr>
                  <w:tcW w:w="570" w:type="pct"/>
                  <w:noWrap w:val="0"/>
                  <w:vAlign w:val="center"/>
                </w:tcPr>
                <w:p w14:paraId="10188B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109E98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3D38B2C6">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731970FB">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444ECF7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18FC797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21.0</w:t>
                  </w:r>
                </w:p>
              </w:tc>
              <w:tc>
                <w:tcPr>
                  <w:tcW w:w="963" w:type="pct"/>
                  <w:vMerge w:val="continue"/>
                  <w:noWrap w:val="0"/>
                  <w:vAlign w:val="center"/>
                </w:tcPr>
                <w:p w14:paraId="544A3733">
                  <w:pPr>
                    <w:pStyle w:val="2"/>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570" w:type="pct"/>
                  <w:noWrap w:val="0"/>
                  <w:vAlign w:val="center"/>
                </w:tcPr>
                <w:p w14:paraId="0D537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19F4A5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29D5E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restart"/>
                  <w:noWrap w:val="0"/>
                  <w:vAlign w:val="center"/>
                </w:tcPr>
                <w:p w14:paraId="4BC431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总磷</w:t>
                  </w:r>
                </w:p>
              </w:tc>
              <w:tc>
                <w:tcPr>
                  <w:tcW w:w="665" w:type="pct"/>
                  <w:noWrap w:val="0"/>
                  <w:vAlign w:val="center"/>
                </w:tcPr>
                <w:p w14:paraId="586CE258">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75B75895">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1.28</w:t>
                  </w:r>
                </w:p>
              </w:tc>
              <w:tc>
                <w:tcPr>
                  <w:tcW w:w="963" w:type="pct"/>
                  <w:vMerge w:val="restart"/>
                  <w:noWrap w:val="0"/>
                  <w:vAlign w:val="center"/>
                </w:tcPr>
                <w:p w14:paraId="7BCC7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val="en-US" w:eastAsia="zh-CN"/>
                    </w:rPr>
                    <w:t>8</w:t>
                  </w:r>
                </w:p>
              </w:tc>
              <w:tc>
                <w:tcPr>
                  <w:tcW w:w="570" w:type="pct"/>
                  <w:noWrap w:val="0"/>
                  <w:vAlign w:val="center"/>
                </w:tcPr>
                <w:p w14:paraId="32BD0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555AF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4C77C0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618F4F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26AF14F8">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val="en-US"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1A86C324">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1.36</w:t>
                  </w:r>
                </w:p>
              </w:tc>
              <w:tc>
                <w:tcPr>
                  <w:tcW w:w="963" w:type="pct"/>
                  <w:vMerge w:val="continue"/>
                  <w:noWrap w:val="0"/>
                  <w:vAlign w:val="center"/>
                </w:tcPr>
                <w:p w14:paraId="09D09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570" w:type="pct"/>
                  <w:noWrap w:val="0"/>
                  <w:vAlign w:val="center"/>
                </w:tcPr>
                <w:p w14:paraId="35E021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4B613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0A9288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restart"/>
                  <w:noWrap w:val="0"/>
                  <w:vAlign w:val="center"/>
                </w:tcPr>
                <w:p w14:paraId="60997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总氮</w:t>
                  </w:r>
                </w:p>
              </w:tc>
              <w:tc>
                <w:tcPr>
                  <w:tcW w:w="665" w:type="pct"/>
                  <w:noWrap w:val="0"/>
                  <w:vAlign w:val="center"/>
                </w:tcPr>
                <w:p w14:paraId="147D4E33">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13</w:t>
                  </w:r>
                </w:p>
              </w:tc>
              <w:tc>
                <w:tcPr>
                  <w:tcW w:w="1643" w:type="pct"/>
                  <w:noWrap w:val="0"/>
                  <w:vAlign w:val="center"/>
                </w:tcPr>
                <w:p w14:paraId="362C3F3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29.4</w:t>
                  </w:r>
                </w:p>
              </w:tc>
              <w:tc>
                <w:tcPr>
                  <w:tcW w:w="963" w:type="pct"/>
                  <w:vMerge w:val="restart"/>
                  <w:noWrap w:val="0"/>
                  <w:vAlign w:val="center"/>
                </w:tcPr>
                <w:p w14:paraId="55C3F3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70</w:t>
                  </w:r>
                </w:p>
              </w:tc>
              <w:tc>
                <w:tcPr>
                  <w:tcW w:w="926" w:type="dxa"/>
                  <w:noWrap w:val="0"/>
                  <w:vAlign w:val="center"/>
                </w:tcPr>
                <w:p w14:paraId="6FC438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r w14:paraId="3B651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23" w:hRule="atLeast"/>
                <w:jc w:val="center"/>
              </w:trPr>
              <w:tc>
                <w:tcPr>
                  <w:tcW w:w="509" w:type="pct"/>
                  <w:vMerge w:val="continue"/>
                  <w:noWrap w:val="0"/>
                  <w:vAlign w:val="center"/>
                </w:tcPr>
                <w:p w14:paraId="521D2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48" w:type="pct"/>
                  <w:vMerge w:val="continue"/>
                  <w:noWrap w:val="0"/>
                  <w:vAlign w:val="center"/>
                </w:tcPr>
                <w:p w14:paraId="562C40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665" w:type="pct"/>
                  <w:noWrap w:val="0"/>
                  <w:vAlign w:val="center"/>
                </w:tcPr>
                <w:p w14:paraId="32069D50">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lang w:eastAsia="zh-CN"/>
                    </w:rPr>
                  </w:pPr>
                  <w:r>
                    <w:rPr>
                      <w:rFonts w:hint="default" w:ascii="Times New Roman" w:hAnsi="Times New Roman" w:eastAsia="仿宋" w:cs="Times New Roman"/>
                      <w:sz w:val="21"/>
                      <w:szCs w:val="21"/>
                      <w:lang w:eastAsia="zh-CN"/>
                    </w:rPr>
                    <w:t>20</w:t>
                  </w:r>
                  <w:r>
                    <w:rPr>
                      <w:rFonts w:hint="eastAsia" w:ascii="Times New Roman" w:hAnsi="Times New Roman" w:eastAsia="仿宋" w:cs="Times New Roman"/>
                      <w:sz w:val="21"/>
                      <w:szCs w:val="21"/>
                      <w:lang w:val="en-US" w:eastAsia="zh-CN"/>
                    </w:rPr>
                    <w:t>21</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12</w:t>
                  </w:r>
                  <w:r>
                    <w:rPr>
                      <w:rFonts w:hint="default" w:ascii="Times New Roman" w:hAnsi="Times New Roman" w:eastAsia="仿宋" w:cs="Times New Roman"/>
                      <w:sz w:val="21"/>
                      <w:szCs w:val="21"/>
                      <w:lang w:eastAsia="zh-CN"/>
                    </w:rPr>
                    <w:t>.</w:t>
                  </w:r>
                  <w:r>
                    <w:rPr>
                      <w:rFonts w:hint="eastAsia" w:ascii="Times New Roman" w:hAnsi="Times New Roman" w:eastAsia="仿宋" w:cs="Times New Roman"/>
                      <w:sz w:val="21"/>
                      <w:szCs w:val="21"/>
                      <w:lang w:val="en-US" w:eastAsia="zh-CN"/>
                    </w:rPr>
                    <w:t>1</w:t>
                  </w:r>
                  <w:r>
                    <w:rPr>
                      <w:rFonts w:hint="eastAsia" w:eastAsia="仿宋" w:cs="Times New Roman"/>
                      <w:sz w:val="21"/>
                      <w:szCs w:val="21"/>
                      <w:lang w:val="en-US" w:eastAsia="zh-CN"/>
                    </w:rPr>
                    <w:t>4</w:t>
                  </w:r>
                </w:p>
              </w:tc>
              <w:tc>
                <w:tcPr>
                  <w:tcW w:w="1643" w:type="pct"/>
                  <w:noWrap w:val="0"/>
                  <w:vAlign w:val="center"/>
                </w:tcPr>
                <w:p w14:paraId="2F2CB26A">
                  <w:pPr>
                    <w:pStyle w:val="2"/>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lang w:val="en-US" w:eastAsia="zh-CN"/>
                    </w:rPr>
                  </w:pPr>
                  <w:r>
                    <w:rPr>
                      <w:rFonts w:hint="eastAsia" w:ascii="Times New Roman" w:hAnsi="Times New Roman" w:eastAsia="仿宋" w:cs="Times New Roman"/>
                      <w:sz w:val="21"/>
                      <w:szCs w:val="21"/>
                      <w:lang w:val="en-US" w:eastAsia="zh-CN"/>
                    </w:rPr>
                    <w:t>29.4</w:t>
                  </w:r>
                </w:p>
              </w:tc>
              <w:tc>
                <w:tcPr>
                  <w:tcW w:w="963" w:type="pct"/>
                  <w:vMerge w:val="continue"/>
                  <w:noWrap w:val="0"/>
                  <w:vAlign w:val="center"/>
                </w:tcPr>
                <w:p w14:paraId="7C09F2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sz w:val="21"/>
                      <w:szCs w:val="21"/>
                    </w:rPr>
                  </w:pPr>
                </w:p>
              </w:tc>
              <w:tc>
                <w:tcPr>
                  <w:tcW w:w="926" w:type="dxa"/>
                  <w:noWrap w:val="0"/>
                  <w:vAlign w:val="center"/>
                </w:tcPr>
                <w:p w14:paraId="747D1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sz w:val="21"/>
                      <w:szCs w:val="21"/>
                    </w:rPr>
                  </w:pPr>
                  <w:r>
                    <w:rPr>
                      <w:rFonts w:hint="default" w:ascii="Times New Roman" w:hAnsi="Times New Roman" w:eastAsia="仿宋" w:cs="Times New Roman"/>
                      <w:sz w:val="21"/>
                      <w:szCs w:val="21"/>
                    </w:rPr>
                    <w:t>达标</w:t>
                  </w:r>
                </w:p>
              </w:tc>
            </w:tr>
          </w:tbl>
          <w:p w14:paraId="5C3C99C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（2）废气污染防治措施及排放情况</w:t>
            </w:r>
          </w:p>
          <w:p w14:paraId="5D246F4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废气主要为焊接烟尘，经移动式焊烟净化器处理后在车间无组织排放。根据验收监测报告可知原有项目厂界锡及其化合物无组织排放浓度符合《大气污染物综合排放标准》（DB32/4041-2021）表3中标准。验收监测</w:t>
            </w:r>
            <w:r>
              <w:rPr>
                <w:rFonts w:hint="eastAsia" w:eastAsia="仿宋" w:cs="Times New Roman"/>
                <w:bCs/>
                <w:color w:val="auto"/>
                <w:sz w:val="24"/>
                <w:szCs w:val="24"/>
                <w:lang w:val="en-US" w:eastAsia="zh-CN"/>
              </w:rPr>
              <w:t>数据见表2-13。</w:t>
            </w:r>
          </w:p>
          <w:p w14:paraId="49FCD6A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表</w:t>
            </w:r>
            <w:r>
              <w:rPr>
                <w:rFonts w:hint="eastAsia" w:ascii="Times New Roman" w:hAnsi="Times New Roman" w:eastAsia="仿宋" w:cs="Times New Roman"/>
                <w:b/>
                <w:bCs/>
                <w:color w:val="000000"/>
                <w:sz w:val="21"/>
                <w:szCs w:val="21"/>
                <w:lang w:val="en-US" w:eastAsia="zh-CN"/>
              </w:rPr>
              <w:t>2-</w:t>
            </w:r>
            <w:r>
              <w:rPr>
                <w:rFonts w:hint="eastAsia" w:eastAsia="仿宋" w:cs="Times New Roman"/>
                <w:b/>
                <w:bCs/>
                <w:color w:val="000000"/>
                <w:sz w:val="21"/>
                <w:szCs w:val="21"/>
                <w:lang w:val="en-US" w:eastAsia="zh-CN"/>
              </w:rPr>
              <w:t>13</w:t>
            </w:r>
            <w:r>
              <w:rPr>
                <w:rFonts w:hint="default" w:ascii="Times New Roman" w:hAnsi="Times New Roman" w:eastAsia="仿宋" w:cs="Times New Roman"/>
                <w:b/>
                <w:bCs/>
                <w:color w:val="000000"/>
                <w:sz w:val="21"/>
                <w:szCs w:val="21"/>
                <w:lang w:val="en-US" w:eastAsia="zh-CN"/>
              </w:rPr>
              <w:t xml:space="preserve">  原有项目</w:t>
            </w:r>
            <w:r>
              <w:rPr>
                <w:rFonts w:hint="eastAsia" w:ascii="Times New Roman" w:hAnsi="Times New Roman" w:eastAsia="仿宋" w:cs="Times New Roman"/>
                <w:b/>
                <w:bCs/>
                <w:color w:val="000000"/>
                <w:sz w:val="21"/>
                <w:szCs w:val="21"/>
                <w:lang w:val="en-US" w:eastAsia="zh-CN"/>
              </w:rPr>
              <w:t>无组织废气检测结果</w:t>
            </w:r>
            <w:r>
              <w:rPr>
                <w:rFonts w:hint="default" w:ascii="Times New Roman" w:hAnsi="Times New Roman" w:eastAsia="仿宋" w:cs="Times New Roman"/>
                <w:b/>
                <w:bCs/>
                <w:color w:val="000000"/>
                <w:sz w:val="21"/>
                <w:szCs w:val="21"/>
                <w:lang w:val="en-US" w:eastAsia="zh-CN"/>
              </w:rPr>
              <w:t>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1"/>
              <w:gridCol w:w="1139"/>
              <w:gridCol w:w="2869"/>
              <w:gridCol w:w="1128"/>
              <w:gridCol w:w="902"/>
              <w:gridCol w:w="895"/>
            </w:tblGrid>
            <w:tr w14:paraId="233D7D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45A83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检测时间</w:t>
                  </w:r>
                </w:p>
              </w:tc>
              <w:tc>
                <w:tcPr>
                  <w:tcW w:w="701" w:type="pct"/>
                  <w:noWrap w:val="0"/>
                  <w:vAlign w:val="center"/>
                </w:tcPr>
                <w:p w14:paraId="1515C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检测点位</w:t>
                  </w:r>
                </w:p>
              </w:tc>
              <w:tc>
                <w:tcPr>
                  <w:tcW w:w="1765" w:type="pct"/>
                  <w:noWrap w:val="0"/>
                  <w:vAlign w:val="center"/>
                </w:tcPr>
                <w:p w14:paraId="1AA8CF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检测</w:t>
                  </w:r>
                  <w:r>
                    <w:rPr>
                      <w:rFonts w:hint="default" w:ascii="Times New Roman" w:hAnsi="Times New Roman" w:eastAsia="仿宋" w:cs="Times New Roman"/>
                      <w:b/>
                      <w:bCs/>
                      <w:color w:val="auto"/>
                      <w:sz w:val="21"/>
                      <w:szCs w:val="21"/>
                    </w:rPr>
                    <w:t>项目</w:t>
                  </w:r>
                </w:p>
              </w:tc>
              <w:tc>
                <w:tcPr>
                  <w:tcW w:w="694" w:type="pct"/>
                  <w:noWrap w:val="0"/>
                  <w:vAlign w:val="center"/>
                </w:tcPr>
                <w:p w14:paraId="54B81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lang w:val="en-US" w:eastAsia="zh-CN"/>
                    </w:rPr>
                    <w:t>检测结果</w:t>
                  </w:r>
                </w:p>
              </w:tc>
              <w:tc>
                <w:tcPr>
                  <w:tcW w:w="555" w:type="pct"/>
                  <w:noWrap w:val="0"/>
                  <w:vAlign w:val="center"/>
                </w:tcPr>
                <w:p w14:paraId="3B7C79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标准</w:t>
                  </w:r>
                </w:p>
              </w:tc>
              <w:tc>
                <w:tcPr>
                  <w:tcW w:w="550" w:type="pct"/>
                  <w:noWrap w:val="0"/>
                  <w:vAlign w:val="center"/>
                </w:tcPr>
                <w:p w14:paraId="2BF13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lang w:val="en-US" w:eastAsia="zh-CN"/>
                    </w:rPr>
                    <w:t>达标</w:t>
                  </w:r>
                  <w:r>
                    <w:rPr>
                      <w:rFonts w:hint="default" w:ascii="Times New Roman" w:hAnsi="Times New Roman" w:eastAsia="仿宋" w:cs="Times New Roman"/>
                      <w:b/>
                      <w:bCs/>
                      <w:color w:val="auto"/>
                      <w:sz w:val="21"/>
                      <w:szCs w:val="21"/>
                    </w:rPr>
                    <w:t>情况</w:t>
                  </w:r>
                </w:p>
              </w:tc>
            </w:tr>
            <w:tr w14:paraId="38C868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33" w:type="pct"/>
                  <w:noWrap w:val="0"/>
                  <w:vAlign w:val="center"/>
                </w:tcPr>
                <w:p w14:paraId="75D151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202</w:t>
                  </w:r>
                  <w:r>
                    <w:rPr>
                      <w:rFonts w:hint="eastAsia" w:ascii="Times New Roman" w:hAnsi="Times New Roman" w:eastAsia="仿宋" w:cs="Times New Roman"/>
                      <w:b w:val="0"/>
                      <w:bCs w:val="0"/>
                      <w:color w:val="auto"/>
                      <w:sz w:val="21"/>
                      <w:szCs w:val="21"/>
                      <w:lang w:val="en-US" w:eastAsia="zh-CN"/>
                    </w:rPr>
                    <w:t>1</w:t>
                  </w:r>
                  <w:r>
                    <w:rPr>
                      <w:rFonts w:hint="default" w:ascii="Times New Roman" w:hAnsi="Times New Roman" w:eastAsia="仿宋" w:cs="Times New Roman"/>
                      <w:b w:val="0"/>
                      <w:bCs w:val="0"/>
                      <w:color w:val="auto"/>
                      <w:sz w:val="21"/>
                      <w:szCs w:val="21"/>
                      <w:lang w:val="en-US" w:eastAsia="zh-CN"/>
                    </w:rPr>
                    <w:t>.1</w:t>
                  </w:r>
                  <w:r>
                    <w:rPr>
                      <w:rFonts w:hint="eastAsia" w:ascii="Times New Roman" w:hAnsi="Times New Roman" w:eastAsia="仿宋" w:cs="Times New Roman"/>
                      <w:b w:val="0"/>
                      <w:bCs w:val="0"/>
                      <w:color w:val="auto"/>
                      <w:sz w:val="21"/>
                      <w:szCs w:val="21"/>
                      <w:lang w:val="en-US" w:eastAsia="zh-CN"/>
                    </w:rPr>
                    <w:t>2</w:t>
                  </w:r>
                  <w:r>
                    <w:rPr>
                      <w:rFonts w:hint="default" w:ascii="Times New Roman" w:hAnsi="Times New Roman" w:eastAsia="仿宋" w:cs="Times New Roman"/>
                      <w:b w:val="0"/>
                      <w:bCs w:val="0"/>
                      <w:color w:val="auto"/>
                      <w:sz w:val="21"/>
                      <w:szCs w:val="21"/>
                      <w:lang w:val="en-US" w:eastAsia="zh-CN"/>
                    </w:rPr>
                    <w:t>.</w:t>
                  </w:r>
                  <w:r>
                    <w:rPr>
                      <w:rFonts w:hint="eastAsia" w:ascii="Times New Roman" w:hAnsi="Times New Roman" w:eastAsia="仿宋" w:cs="Times New Roman"/>
                      <w:b w:val="0"/>
                      <w:bCs w:val="0"/>
                      <w:color w:val="auto"/>
                      <w:sz w:val="21"/>
                      <w:szCs w:val="21"/>
                      <w:lang w:val="en-US" w:eastAsia="zh-CN"/>
                    </w:rPr>
                    <w:t>13</w:t>
                  </w:r>
                </w:p>
              </w:tc>
              <w:tc>
                <w:tcPr>
                  <w:tcW w:w="701" w:type="pct"/>
                  <w:vMerge w:val="restart"/>
                  <w:noWrap w:val="0"/>
                  <w:vAlign w:val="center"/>
                </w:tcPr>
                <w:p w14:paraId="724B7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sz w:val="21"/>
                      <w:szCs w:val="21"/>
                      <w:lang w:val="en-US" w:eastAsia="zh-CN"/>
                    </w:rPr>
                    <w:t>下风向浓度最大值</w:t>
                  </w:r>
                </w:p>
              </w:tc>
              <w:tc>
                <w:tcPr>
                  <w:tcW w:w="1765" w:type="pct"/>
                  <w:vMerge w:val="restart"/>
                  <w:noWrap w:val="0"/>
                  <w:vAlign w:val="center"/>
                </w:tcPr>
                <w:p w14:paraId="16720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锡及其化合物浓度</w:t>
                  </w:r>
                  <w:r>
                    <w:rPr>
                      <w:rFonts w:hint="default" w:ascii="Times New Roman" w:hAnsi="Times New Roman" w:eastAsia="仿宋" w:cs="Times New Roman"/>
                      <w:b w:val="0"/>
                      <w:bCs w:val="0"/>
                      <w:color w:val="auto"/>
                      <w:sz w:val="21"/>
                      <w:szCs w:val="21"/>
                    </w:rPr>
                    <w:t>（mg/m</w:t>
                  </w:r>
                  <w:r>
                    <w:rPr>
                      <w:rFonts w:hint="default" w:ascii="Times New Roman" w:hAnsi="Times New Roman" w:eastAsia="仿宋" w:cs="Times New Roman"/>
                      <w:b w:val="0"/>
                      <w:bCs w:val="0"/>
                      <w:color w:val="auto"/>
                      <w:sz w:val="21"/>
                      <w:szCs w:val="21"/>
                      <w:vertAlign w:val="superscript"/>
                    </w:rPr>
                    <w:t>3</w:t>
                  </w:r>
                  <w:r>
                    <w:rPr>
                      <w:rFonts w:hint="default" w:ascii="Times New Roman" w:hAnsi="Times New Roman" w:eastAsia="仿宋" w:cs="Times New Roman"/>
                      <w:b w:val="0"/>
                      <w:bCs w:val="0"/>
                      <w:color w:val="auto"/>
                      <w:sz w:val="21"/>
                      <w:szCs w:val="21"/>
                    </w:rPr>
                    <w:t>）</w:t>
                  </w:r>
                </w:p>
              </w:tc>
              <w:tc>
                <w:tcPr>
                  <w:tcW w:w="694" w:type="pct"/>
                  <w:noWrap w:val="0"/>
                  <w:vAlign w:val="center"/>
                </w:tcPr>
                <w:p w14:paraId="4C244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ND</w:t>
                  </w:r>
                </w:p>
              </w:tc>
              <w:tc>
                <w:tcPr>
                  <w:tcW w:w="555" w:type="pct"/>
                  <w:noWrap w:val="0"/>
                  <w:vAlign w:val="center"/>
                </w:tcPr>
                <w:p w14:paraId="73D8D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0.06</w:t>
                  </w:r>
                </w:p>
              </w:tc>
              <w:tc>
                <w:tcPr>
                  <w:tcW w:w="550" w:type="pct"/>
                  <w:noWrap w:val="0"/>
                  <w:vAlign w:val="center"/>
                </w:tcPr>
                <w:p w14:paraId="5ED9E2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达标</w:t>
                  </w:r>
                </w:p>
              </w:tc>
            </w:tr>
            <w:tr w14:paraId="7849DC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3" w:type="pct"/>
                  <w:noWrap w:val="0"/>
                  <w:vAlign w:val="center"/>
                </w:tcPr>
                <w:p w14:paraId="16BB45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202</w:t>
                  </w:r>
                  <w:r>
                    <w:rPr>
                      <w:rFonts w:hint="eastAsia" w:ascii="Times New Roman" w:hAnsi="Times New Roman" w:eastAsia="仿宋" w:cs="Times New Roman"/>
                      <w:b w:val="0"/>
                      <w:bCs w:val="0"/>
                      <w:color w:val="auto"/>
                      <w:sz w:val="21"/>
                      <w:szCs w:val="21"/>
                      <w:lang w:val="en-US" w:eastAsia="zh-CN"/>
                    </w:rPr>
                    <w:t>1</w:t>
                  </w:r>
                  <w:r>
                    <w:rPr>
                      <w:rFonts w:hint="default" w:ascii="Times New Roman" w:hAnsi="Times New Roman" w:eastAsia="仿宋" w:cs="Times New Roman"/>
                      <w:b w:val="0"/>
                      <w:bCs w:val="0"/>
                      <w:color w:val="auto"/>
                      <w:sz w:val="21"/>
                      <w:szCs w:val="21"/>
                      <w:lang w:val="en-US" w:eastAsia="zh-CN"/>
                    </w:rPr>
                    <w:t>.1</w:t>
                  </w:r>
                  <w:r>
                    <w:rPr>
                      <w:rFonts w:hint="eastAsia" w:ascii="Times New Roman" w:hAnsi="Times New Roman" w:eastAsia="仿宋" w:cs="Times New Roman"/>
                      <w:b w:val="0"/>
                      <w:bCs w:val="0"/>
                      <w:color w:val="auto"/>
                      <w:sz w:val="21"/>
                      <w:szCs w:val="21"/>
                      <w:lang w:val="en-US" w:eastAsia="zh-CN"/>
                    </w:rPr>
                    <w:t>2</w:t>
                  </w:r>
                  <w:r>
                    <w:rPr>
                      <w:rFonts w:hint="default" w:ascii="Times New Roman" w:hAnsi="Times New Roman" w:eastAsia="仿宋" w:cs="Times New Roman"/>
                      <w:b w:val="0"/>
                      <w:bCs w:val="0"/>
                      <w:color w:val="auto"/>
                      <w:sz w:val="21"/>
                      <w:szCs w:val="21"/>
                      <w:lang w:val="en-US" w:eastAsia="zh-CN"/>
                    </w:rPr>
                    <w:t>.1</w:t>
                  </w:r>
                  <w:r>
                    <w:rPr>
                      <w:rFonts w:hint="eastAsia" w:ascii="Times New Roman" w:hAnsi="Times New Roman" w:eastAsia="仿宋" w:cs="Times New Roman"/>
                      <w:b w:val="0"/>
                      <w:bCs w:val="0"/>
                      <w:color w:val="auto"/>
                      <w:sz w:val="21"/>
                      <w:szCs w:val="21"/>
                      <w:lang w:val="en-US" w:eastAsia="zh-CN"/>
                    </w:rPr>
                    <w:t>3</w:t>
                  </w:r>
                </w:p>
              </w:tc>
              <w:tc>
                <w:tcPr>
                  <w:tcW w:w="701" w:type="pct"/>
                  <w:vMerge w:val="continue"/>
                  <w:noWrap w:val="0"/>
                  <w:vAlign w:val="center"/>
                </w:tcPr>
                <w:p w14:paraId="66799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p>
              </w:tc>
              <w:tc>
                <w:tcPr>
                  <w:tcW w:w="1765" w:type="pct"/>
                  <w:vMerge w:val="continue"/>
                  <w:noWrap w:val="0"/>
                  <w:vAlign w:val="center"/>
                </w:tcPr>
                <w:p w14:paraId="620598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p>
              </w:tc>
              <w:tc>
                <w:tcPr>
                  <w:tcW w:w="694" w:type="pct"/>
                  <w:noWrap w:val="0"/>
                  <w:vAlign w:val="center"/>
                </w:tcPr>
                <w:p w14:paraId="341F2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ND</w:t>
                  </w:r>
                </w:p>
              </w:tc>
              <w:tc>
                <w:tcPr>
                  <w:tcW w:w="555" w:type="pct"/>
                  <w:noWrap w:val="0"/>
                  <w:vAlign w:val="center"/>
                </w:tcPr>
                <w:p w14:paraId="0B081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eastAsia" w:ascii="Times New Roman" w:hAnsi="Times New Roman" w:eastAsia="仿宋" w:cs="Times New Roman"/>
                      <w:b w:val="0"/>
                      <w:bCs w:val="0"/>
                      <w:color w:val="auto"/>
                      <w:sz w:val="21"/>
                      <w:szCs w:val="21"/>
                      <w:lang w:val="en-US" w:eastAsia="zh-CN"/>
                    </w:rPr>
                    <w:t>0.06</w:t>
                  </w:r>
                </w:p>
              </w:tc>
              <w:tc>
                <w:tcPr>
                  <w:tcW w:w="550" w:type="pct"/>
                  <w:noWrap w:val="0"/>
                  <w:vAlign w:val="center"/>
                </w:tcPr>
                <w:p w14:paraId="39BA3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仿宋" w:cs="Times New Roman"/>
                      <w:b w:val="0"/>
                      <w:bCs w:val="0"/>
                      <w:color w:val="auto"/>
                      <w:kern w:val="2"/>
                      <w:sz w:val="21"/>
                      <w:szCs w:val="21"/>
                      <w:lang w:val="en-US" w:eastAsia="zh-CN" w:bidi="ar-SA"/>
                    </w:rPr>
                  </w:pPr>
                  <w:r>
                    <w:rPr>
                      <w:rFonts w:hint="default" w:ascii="Times New Roman" w:hAnsi="Times New Roman" w:eastAsia="仿宋" w:cs="Times New Roman"/>
                      <w:b w:val="0"/>
                      <w:bCs w:val="0"/>
                      <w:color w:val="auto"/>
                      <w:sz w:val="21"/>
                      <w:szCs w:val="21"/>
                      <w:lang w:val="en-US" w:eastAsia="zh-CN"/>
                    </w:rPr>
                    <w:t>达标</w:t>
                  </w:r>
                </w:p>
              </w:tc>
            </w:tr>
          </w:tbl>
          <w:p w14:paraId="6ABE874D">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（3）噪声污染防治措施及排放情况</w:t>
            </w:r>
          </w:p>
          <w:p w14:paraId="2A3C7AF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eastAsia"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原有项目厂区合理布局生产设备，高噪声设备均采取有效减振、隔声等降噪措施。根据验收监测报告可知原有项目四周厂界噪声均符合《工业企业厂界环境噪声排放标准》（GB12348-2008）表1中3类标准。验收监测</w:t>
            </w:r>
            <w:r>
              <w:rPr>
                <w:rFonts w:hint="eastAsia" w:eastAsia="仿宋" w:cs="Times New Roman"/>
                <w:bCs/>
                <w:color w:val="auto"/>
                <w:sz w:val="24"/>
                <w:szCs w:val="24"/>
                <w:lang w:val="en-US" w:eastAsia="zh-CN"/>
              </w:rPr>
              <w:t>数据见表2-14。</w:t>
            </w:r>
          </w:p>
          <w:p w14:paraId="05DAA986">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000000"/>
                <w:sz w:val="21"/>
                <w:szCs w:val="21"/>
                <w:lang w:val="en-US" w:eastAsia="zh-CN"/>
              </w:rPr>
            </w:pPr>
            <w:r>
              <w:rPr>
                <w:rFonts w:hint="default" w:ascii="Times New Roman" w:hAnsi="Times New Roman" w:eastAsia="仿宋" w:cs="Times New Roman"/>
                <w:b/>
                <w:bCs/>
                <w:color w:val="000000"/>
                <w:sz w:val="21"/>
                <w:szCs w:val="21"/>
                <w:lang w:val="en-US" w:eastAsia="zh-CN"/>
              </w:rPr>
              <w:t>表</w:t>
            </w:r>
            <w:r>
              <w:rPr>
                <w:rFonts w:hint="eastAsia" w:ascii="Times New Roman" w:hAnsi="Times New Roman" w:eastAsia="仿宋" w:cs="Times New Roman"/>
                <w:b/>
                <w:bCs/>
                <w:color w:val="000000"/>
                <w:sz w:val="21"/>
                <w:szCs w:val="21"/>
                <w:lang w:val="en-US" w:eastAsia="zh-CN"/>
              </w:rPr>
              <w:t>2-1</w:t>
            </w:r>
            <w:r>
              <w:rPr>
                <w:rFonts w:hint="eastAsia" w:eastAsia="仿宋" w:cs="Times New Roman"/>
                <w:b/>
                <w:bCs/>
                <w:color w:val="000000"/>
                <w:sz w:val="21"/>
                <w:szCs w:val="21"/>
                <w:lang w:val="en-US" w:eastAsia="zh-CN"/>
              </w:rPr>
              <w:t>4</w:t>
            </w:r>
            <w:r>
              <w:rPr>
                <w:rFonts w:hint="default" w:ascii="Times New Roman" w:hAnsi="Times New Roman" w:eastAsia="仿宋" w:cs="Times New Roman"/>
                <w:b/>
                <w:bCs/>
                <w:color w:val="000000"/>
                <w:sz w:val="21"/>
                <w:szCs w:val="21"/>
                <w:lang w:val="en-US" w:eastAsia="zh-CN"/>
              </w:rPr>
              <w:t xml:space="preserve">  </w:t>
            </w:r>
            <w:r>
              <w:rPr>
                <w:rFonts w:hint="eastAsia" w:ascii="Times New Roman" w:hAnsi="Times New Roman" w:eastAsia="仿宋" w:cs="Times New Roman"/>
                <w:b/>
                <w:bCs/>
                <w:color w:val="000000"/>
                <w:sz w:val="21"/>
                <w:szCs w:val="21"/>
                <w:lang w:val="en-US" w:eastAsia="zh-CN"/>
              </w:rPr>
              <w:t>原有项目厂界</w:t>
            </w:r>
            <w:r>
              <w:rPr>
                <w:rFonts w:hint="default" w:ascii="Times New Roman" w:hAnsi="Times New Roman" w:eastAsia="仿宋" w:cs="Times New Roman"/>
                <w:b/>
                <w:bCs/>
                <w:color w:val="000000"/>
                <w:sz w:val="21"/>
                <w:szCs w:val="21"/>
                <w:lang w:val="en-US" w:eastAsia="zh-CN"/>
              </w:rPr>
              <w:t>噪声</w:t>
            </w:r>
            <w:r>
              <w:rPr>
                <w:rFonts w:hint="eastAsia" w:ascii="Times New Roman" w:hAnsi="Times New Roman" w:eastAsia="仿宋" w:cs="Times New Roman"/>
                <w:b/>
                <w:bCs/>
                <w:color w:val="000000"/>
                <w:sz w:val="21"/>
                <w:szCs w:val="21"/>
                <w:lang w:val="en-US" w:eastAsia="zh-CN"/>
              </w:rPr>
              <w:t>检</w:t>
            </w:r>
            <w:r>
              <w:rPr>
                <w:rFonts w:hint="default" w:ascii="Times New Roman" w:hAnsi="Times New Roman" w:eastAsia="仿宋" w:cs="Times New Roman"/>
                <w:b/>
                <w:bCs/>
                <w:color w:val="000000"/>
                <w:sz w:val="21"/>
                <w:szCs w:val="21"/>
                <w:lang w:val="en-US" w:eastAsia="zh-CN"/>
              </w:rPr>
              <w:t>测</w:t>
            </w:r>
            <w:r>
              <w:rPr>
                <w:rFonts w:hint="eastAsia" w:ascii="Times New Roman" w:hAnsi="Times New Roman" w:eastAsia="仿宋" w:cs="Times New Roman"/>
                <w:b/>
                <w:bCs/>
                <w:color w:val="000000"/>
                <w:sz w:val="21"/>
                <w:szCs w:val="21"/>
                <w:lang w:val="en-US" w:eastAsia="zh-CN"/>
              </w:rPr>
              <w:t>数据</w:t>
            </w:r>
            <w:r>
              <w:rPr>
                <w:rFonts w:hint="default" w:ascii="Times New Roman" w:hAnsi="Times New Roman" w:eastAsia="仿宋" w:cs="Times New Roman"/>
                <w:b/>
                <w:bCs/>
                <w:color w:val="000000"/>
                <w:sz w:val="21"/>
                <w:szCs w:val="21"/>
                <w:lang w:val="en-US" w:eastAsia="zh-CN"/>
              </w:rPr>
              <w:t>结果</w:t>
            </w:r>
            <w:r>
              <w:rPr>
                <w:rFonts w:hint="eastAsia" w:ascii="Times New Roman" w:hAnsi="Times New Roman" w:eastAsia="仿宋" w:cs="Times New Roman"/>
                <w:b/>
                <w:bCs/>
                <w:color w:val="000000"/>
                <w:sz w:val="21"/>
                <w:szCs w:val="21"/>
                <w:lang w:val="en-US" w:eastAsia="zh-CN"/>
              </w:rPr>
              <w:t>一览表</w:t>
            </w:r>
            <w:r>
              <w:rPr>
                <w:rFonts w:hint="default" w:ascii="Times New Roman" w:hAnsi="Times New Roman" w:eastAsia="仿宋" w:cs="Times New Roman"/>
                <w:b/>
                <w:bCs/>
                <w:color w:val="000000"/>
                <w:sz w:val="21"/>
                <w:szCs w:val="21"/>
                <w:lang w:val="en-US" w:eastAsia="zh-CN"/>
              </w:rPr>
              <w:t>（单位：LeqdB</w:t>
            </w:r>
            <w:r>
              <w:rPr>
                <w:rFonts w:hint="eastAsia" w:ascii="Times New Roman" w:hAnsi="Times New Roman" w:eastAsia="仿宋" w:cs="Times New Roman"/>
                <w:b/>
                <w:bCs/>
                <w:color w:val="000000"/>
                <w:sz w:val="21"/>
                <w:szCs w:val="21"/>
                <w:lang w:val="en-US" w:eastAsia="zh-CN"/>
              </w:rPr>
              <w:t>（</w:t>
            </w:r>
            <w:r>
              <w:rPr>
                <w:rFonts w:hint="default" w:ascii="Times New Roman" w:hAnsi="Times New Roman" w:eastAsia="仿宋" w:cs="Times New Roman"/>
                <w:b/>
                <w:bCs/>
                <w:color w:val="000000"/>
                <w:sz w:val="21"/>
                <w:szCs w:val="21"/>
                <w:lang w:val="en-US" w:eastAsia="zh-CN"/>
              </w:rPr>
              <w:t>A</w:t>
            </w:r>
            <w:r>
              <w:rPr>
                <w:rFonts w:hint="eastAsia" w:ascii="Times New Roman" w:hAnsi="Times New Roman" w:eastAsia="仿宋" w:cs="Times New Roman"/>
                <w:b/>
                <w:bCs/>
                <w:color w:val="000000"/>
                <w:sz w:val="21"/>
                <w:szCs w:val="21"/>
                <w:lang w:val="en-US" w:eastAsia="zh-CN"/>
              </w:rPr>
              <w:t>）</w:t>
            </w:r>
            <w:r>
              <w:rPr>
                <w:rFonts w:hint="default" w:ascii="Times New Roman" w:hAnsi="Times New Roman" w:eastAsia="仿宋" w:cs="Times New Roman"/>
                <w:b/>
                <w:bCs/>
                <w:color w:val="000000"/>
                <w:sz w:val="21"/>
                <w:szCs w:val="21"/>
                <w:lang w:val="en-US" w:eastAsia="zh-CN"/>
              </w:rPr>
              <w:t>）</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6"/>
              <w:gridCol w:w="1260"/>
              <w:gridCol w:w="1966"/>
              <w:gridCol w:w="1940"/>
              <w:gridCol w:w="912"/>
              <w:gridCol w:w="870"/>
            </w:tblGrid>
            <w:tr w14:paraId="5E1925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723" w:type="pct"/>
                  <w:noWrap w:val="0"/>
                  <w:vAlign w:val="center"/>
                </w:tcPr>
                <w:p w14:paraId="69BE1D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val="en-US" w:eastAsia="zh-CN"/>
                    </w:rPr>
                  </w:pPr>
                  <w:r>
                    <w:rPr>
                      <w:rFonts w:hint="eastAsia" w:ascii="Times New Roman" w:hAnsi="Times New Roman" w:eastAsia="仿宋" w:cs="Times New Roman"/>
                      <w:b/>
                      <w:bCs/>
                      <w:color w:val="auto"/>
                      <w:sz w:val="21"/>
                      <w:szCs w:val="21"/>
                      <w:lang w:val="en-US" w:eastAsia="zh-CN"/>
                    </w:rPr>
                    <w:t>检测时间</w:t>
                  </w:r>
                </w:p>
              </w:tc>
              <w:tc>
                <w:tcPr>
                  <w:tcW w:w="775" w:type="pct"/>
                  <w:noWrap w:val="0"/>
                  <w:vAlign w:val="center"/>
                </w:tcPr>
                <w:p w14:paraId="6B99C8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类别</w:t>
                  </w:r>
                </w:p>
              </w:tc>
              <w:tc>
                <w:tcPr>
                  <w:tcW w:w="1209" w:type="pct"/>
                  <w:noWrap w:val="0"/>
                  <w:vAlign w:val="center"/>
                </w:tcPr>
                <w:p w14:paraId="1B15D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监测点位</w:t>
                  </w:r>
                </w:p>
              </w:tc>
              <w:tc>
                <w:tcPr>
                  <w:tcW w:w="1193" w:type="pct"/>
                  <w:noWrap w:val="0"/>
                  <w:vAlign w:val="center"/>
                </w:tcPr>
                <w:p w14:paraId="1D9201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昼间</w:t>
                  </w:r>
                  <w:r>
                    <w:rPr>
                      <w:rFonts w:hint="eastAsia" w:ascii="Times New Roman" w:hAnsi="Times New Roman" w:eastAsia="仿宋" w:cs="Times New Roman"/>
                      <w:b/>
                      <w:bCs/>
                      <w:color w:val="auto"/>
                      <w:sz w:val="21"/>
                      <w:szCs w:val="21"/>
                      <w:lang w:val="en-US" w:eastAsia="zh-CN"/>
                    </w:rPr>
                    <w:t>噪声检测结果</w:t>
                  </w:r>
                </w:p>
              </w:tc>
              <w:tc>
                <w:tcPr>
                  <w:tcW w:w="561" w:type="pct"/>
                  <w:noWrap w:val="0"/>
                  <w:vAlign w:val="center"/>
                </w:tcPr>
                <w:p w14:paraId="13237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评价标准</w:t>
                  </w:r>
                </w:p>
              </w:tc>
              <w:tc>
                <w:tcPr>
                  <w:tcW w:w="535" w:type="pct"/>
                  <w:noWrap w:val="0"/>
                  <w:vAlign w:val="center"/>
                </w:tcPr>
                <w:p w14:paraId="711CF9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达标情况</w:t>
                  </w:r>
                </w:p>
              </w:tc>
            </w:tr>
            <w:tr w14:paraId="185964C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restart"/>
                  <w:noWrap w:val="0"/>
                  <w:vAlign w:val="center"/>
                </w:tcPr>
                <w:p w14:paraId="77B31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202</w:t>
                  </w:r>
                  <w:r>
                    <w:rPr>
                      <w:rFonts w:hint="eastAsia" w:eastAsia="仿宋" w:cs="Times New Roman"/>
                      <w:b w:val="0"/>
                      <w:bCs w:val="0"/>
                      <w:color w:val="auto"/>
                      <w:sz w:val="21"/>
                      <w:szCs w:val="21"/>
                      <w:lang w:val="en-US" w:eastAsia="zh-CN"/>
                    </w:rPr>
                    <w:t>1</w:t>
                  </w:r>
                  <w:r>
                    <w:rPr>
                      <w:rFonts w:hint="eastAsia" w:ascii="Times New Roman" w:hAnsi="Times New Roman" w:eastAsia="仿宋" w:cs="Times New Roman"/>
                      <w:b w:val="0"/>
                      <w:bCs w:val="0"/>
                      <w:color w:val="auto"/>
                      <w:sz w:val="21"/>
                      <w:szCs w:val="21"/>
                      <w:lang w:val="en-US" w:eastAsia="zh-CN"/>
                    </w:rPr>
                    <w:t>.1</w:t>
                  </w:r>
                  <w:r>
                    <w:rPr>
                      <w:rFonts w:hint="eastAsia" w:eastAsia="仿宋" w:cs="Times New Roman"/>
                      <w:b w:val="0"/>
                      <w:bCs w:val="0"/>
                      <w:color w:val="auto"/>
                      <w:sz w:val="21"/>
                      <w:szCs w:val="21"/>
                      <w:lang w:val="en-US" w:eastAsia="zh-CN"/>
                    </w:rPr>
                    <w:t>2</w:t>
                  </w:r>
                  <w:r>
                    <w:rPr>
                      <w:rFonts w:hint="eastAsia" w:ascii="Times New Roman" w:hAnsi="Times New Roman" w:eastAsia="仿宋" w:cs="Times New Roman"/>
                      <w:b w:val="0"/>
                      <w:bCs w:val="0"/>
                      <w:color w:val="auto"/>
                      <w:sz w:val="21"/>
                      <w:szCs w:val="21"/>
                      <w:lang w:val="en-US" w:eastAsia="zh-CN"/>
                    </w:rPr>
                    <w:t>.</w:t>
                  </w:r>
                  <w:r>
                    <w:rPr>
                      <w:rFonts w:hint="eastAsia" w:eastAsia="仿宋" w:cs="Times New Roman"/>
                      <w:b w:val="0"/>
                      <w:bCs w:val="0"/>
                      <w:color w:val="auto"/>
                      <w:sz w:val="21"/>
                      <w:szCs w:val="21"/>
                      <w:lang w:val="en-US" w:eastAsia="zh-CN"/>
                    </w:rPr>
                    <w:t>13</w:t>
                  </w:r>
                </w:p>
              </w:tc>
              <w:tc>
                <w:tcPr>
                  <w:tcW w:w="775" w:type="pct"/>
                  <w:vMerge w:val="restart"/>
                  <w:noWrap w:val="0"/>
                  <w:vAlign w:val="center"/>
                </w:tcPr>
                <w:p w14:paraId="7BC7C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厂界噪声</w:t>
                  </w:r>
                  <w:r>
                    <w:rPr>
                      <w:rFonts w:hint="eastAsia" w:ascii="Times New Roman" w:hAnsi="Times New Roman" w:eastAsia="仿宋" w:cs="Times New Roman"/>
                      <w:b w:val="0"/>
                      <w:bCs w:val="0"/>
                      <w:color w:val="auto"/>
                      <w:sz w:val="21"/>
                      <w:szCs w:val="21"/>
                      <w:lang w:val="en-US" w:eastAsia="zh-CN"/>
                    </w:rPr>
                    <w:t>（昼间）</w:t>
                  </w:r>
                </w:p>
              </w:tc>
              <w:tc>
                <w:tcPr>
                  <w:tcW w:w="1209" w:type="pct"/>
                  <w:noWrap w:val="0"/>
                  <w:vAlign w:val="center"/>
                </w:tcPr>
                <w:p w14:paraId="4EBB1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东厂界外1m</w:t>
                  </w:r>
                </w:p>
              </w:tc>
              <w:tc>
                <w:tcPr>
                  <w:tcW w:w="1193" w:type="pct"/>
                  <w:noWrap w:val="0"/>
                  <w:vAlign w:val="center"/>
                </w:tcPr>
                <w:p w14:paraId="7FA1A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57.2</w:t>
                  </w:r>
                </w:p>
              </w:tc>
              <w:tc>
                <w:tcPr>
                  <w:tcW w:w="561" w:type="pct"/>
                  <w:vMerge w:val="restart"/>
                  <w:noWrap w:val="0"/>
                  <w:vAlign w:val="center"/>
                </w:tcPr>
                <w:p w14:paraId="0C9B9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6</w:t>
                  </w:r>
                  <w:r>
                    <w:rPr>
                      <w:rFonts w:hint="eastAsia" w:eastAsia="仿宋" w:cs="Times New Roman"/>
                      <w:b w:val="0"/>
                      <w:bCs w:val="0"/>
                      <w:color w:val="auto"/>
                      <w:sz w:val="21"/>
                      <w:szCs w:val="21"/>
                      <w:lang w:val="en-US" w:eastAsia="zh-CN"/>
                    </w:rPr>
                    <w:t>5</w:t>
                  </w:r>
                </w:p>
              </w:tc>
              <w:tc>
                <w:tcPr>
                  <w:tcW w:w="535" w:type="pct"/>
                  <w:vMerge w:val="restart"/>
                  <w:noWrap w:val="0"/>
                  <w:vAlign w:val="center"/>
                </w:tcPr>
                <w:p w14:paraId="4E43C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达标</w:t>
                  </w:r>
                </w:p>
              </w:tc>
            </w:tr>
            <w:tr w14:paraId="5EF01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continue"/>
                  <w:noWrap w:val="0"/>
                  <w:vAlign w:val="center"/>
                </w:tcPr>
                <w:p w14:paraId="1EB1B3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07D4A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7FCC7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南厂界外1m</w:t>
                  </w:r>
                </w:p>
              </w:tc>
              <w:tc>
                <w:tcPr>
                  <w:tcW w:w="1193" w:type="pct"/>
                  <w:noWrap w:val="0"/>
                  <w:vAlign w:val="center"/>
                </w:tcPr>
                <w:p w14:paraId="4D430A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57.4</w:t>
                  </w:r>
                </w:p>
              </w:tc>
              <w:tc>
                <w:tcPr>
                  <w:tcW w:w="561" w:type="pct"/>
                  <w:vMerge w:val="continue"/>
                  <w:noWrap w:val="0"/>
                  <w:vAlign w:val="center"/>
                </w:tcPr>
                <w:p w14:paraId="730B7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11C65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r w14:paraId="647BDF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continue"/>
                  <w:noWrap w:val="0"/>
                  <w:vAlign w:val="center"/>
                </w:tcPr>
                <w:p w14:paraId="13D263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2331C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722675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西厂界外1m</w:t>
                  </w:r>
                </w:p>
              </w:tc>
              <w:tc>
                <w:tcPr>
                  <w:tcW w:w="1193" w:type="pct"/>
                  <w:noWrap w:val="0"/>
                  <w:vAlign w:val="center"/>
                </w:tcPr>
                <w:p w14:paraId="7A9940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57.6</w:t>
                  </w:r>
                </w:p>
              </w:tc>
              <w:tc>
                <w:tcPr>
                  <w:tcW w:w="561" w:type="pct"/>
                  <w:vMerge w:val="continue"/>
                  <w:noWrap w:val="0"/>
                  <w:vAlign w:val="center"/>
                </w:tcPr>
                <w:p w14:paraId="47E0D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327F03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r w14:paraId="7FFC6C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continue"/>
                  <w:noWrap w:val="0"/>
                  <w:vAlign w:val="center"/>
                </w:tcPr>
                <w:p w14:paraId="239E5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0BD5F2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162B18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北厂界外1m</w:t>
                  </w:r>
                </w:p>
              </w:tc>
              <w:tc>
                <w:tcPr>
                  <w:tcW w:w="1193" w:type="pct"/>
                  <w:noWrap w:val="0"/>
                  <w:vAlign w:val="center"/>
                </w:tcPr>
                <w:p w14:paraId="70D553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57.8</w:t>
                  </w:r>
                </w:p>
              </w:tc>
              <w:tc>
                <w:tcPr>
                  <w:tcW w:w="561" w:type="pct"/>
                  <w:vMerge w:val="continue"/>
                  <w:noWrap w:val="0"/>
                  <w:vAlign w:val="center"/>
                </w:tcPr>
                <w:p w14:paraId="5155D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0CAF1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r w14:paraId="03F9B8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restart"/>
                  <w:noWrap w:val="0"/>
                  <w:vAlign w:val="center"/>
                </w:tcPr>
                <w:p w14:paraId="64CE6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202</w:t>
                  </w:r>
                  <w:r>
                    <w:rPr>
                      <w:rFonts w:hint="eastAsia" w:eastAsia="仿宋" w:cs="Times New Roman"/>
                      <w:b w:val="0"/>
                      <w:bCs w:val="0"/>
                      <w:color w:val="auto"/>
                      <w:sz w:val="21"/>
                      <w:szCs w:val="21"/>
                      <w:lang w:val="en-US" w:eastAsia="zh-CN"/>
                    </w:rPr>
                    <w:t>1</w:t>
                  </w:r>
                  <w:r>
                    <w:rPr>
                      <w:rFonts w:hint="eastAsia" w:ascii="Times New Roman" w:hAnsi="Times New Roman" w:eastAsia="仿宋" w:cs="Times New Roman"/>
                      <w:b w:val="0"/>
                      <w:bCs w:val="0"/>
                      <w:color w:val="auto"/>
                      <w:sz w:val="21"/>
                      <w:szCs w:val="21"/>
                      <w:lang w:val="en-US" w:eastAsia="zh-CN"/>
                    </w:rPr>
                    <w:t>.1</w:t>
                  </w:r>
                  <w:r>
                    <w:rPr>
                      <w:rFonts w:hint="eastAsia" w:eastAsia="仿宋" w:cs="Times New Roman"/>
                      <w:b w:val="0"/>
                      <w:bCs w:val="0"/>
                      <w:color w:val="auto"/>
                      <w:sz w:val="21"/>
                      <w:szCs w:val="21"/>
                      <w:lang w:val="en-US" w:eastAsia="zh-CN"/>
                    </w:rPr>
                    <w:t>2</w:t>
                  </w:r>
                  <w:r>
                    <w:rPr>
                      <w:rFonts w:hint="eastAsia" w:ascii="Times New Roman" w:hAnsi="Times New Roman" w:eastAsia="仿宋" w:cs="Times New Roman"/>
                      <w:b w:val="0"/>
                      <w:bCs w:val="0"/>
                      <w:color w:val="auto"/>
                      <w:sz w:val="21"/>
                      <w:szCs w:val="21"/>
                      <w:lang w:val="en-US" w:eastAsia="zh-CN"/>
                    </w:rPr>
                    <w:t>.1</w:t>
                  </w:r>
                  <w:r>
                    <w:rPr>
                      <w:rFonts w:hint="eastAsia" w:eastAsia="仿宋" w:cs="Times New Roman"/>
                      <w:b w:val="0"/>
                      <w:bCs w:val="0"/>
                      <w:color w:val="auto"/>
                      <w:sz w:val="21"/>
                      <w:szCs w:val="21"/>
                      <w:lang w:val="en-US" w:eastAsia="zh-CN"/>
                    </w:rPr>
                    <w:t>4</w:t>
                  </w:r>
                </w:p>
              </w:tc>
              <w:tc>
                <w:tcPr>
                  <w:tcW w:w="775" w:type="pct"/>
                  <w:vMerge w:val="continue"/>
                  <w:noWrap w:val="0"/>
                  <w:vAlign w:val="center"/>
                </w:tcPr>
                <w:p w14:paraId="0FCF2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398EA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东厂界外1m</w:t>
                  </w:r>
                </w:p>
              </w:tc>
              <w:tc>
                <w:tcPr>
                  <w:tcW w:w="1193" w:type="pct"/>
                  <w:noWrap w:val="0"/>
                  <w:vAlign w:val="center"/>
                </w:tcPr>
                <w:p w14:paraId="012DB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56.8</w:t>
                  </w:r>
                </w:p>
              </w:tc>
              <w:tc>
                <w:tcPr>
                  <w:tcW w:w="561" w:type="pct"/>
                  <w:vMerge w:val="restart"/>
                  <w:noWrap w:val="0"/>
                  <w:vAlign w:val="center"/>
                </w:tcPr>
                <w:p w14:paraId="3A1EE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6</w:t>
                  </w:r>
                  <w:r>
                    <w:rPr>
                      <w:rFonts w:hint="eastAsia" w:eastAsia="仿宋" w:cs="Times New Roman"/>
                      <w:b w:val="0"/>
                      <w:bCs w:val="0"/>
                      <w:color w:val="auto"/>
                      <w:sz w:val="21"/>
                      <w:szCs w:val="21"/>
                      <w:lang w:val="en-US" w:eastAsia="zh-CN"/>
                    </w:rPr>
                    <w:t>5</w:t>
                  </w:r>
                </w:p>
              </w:tc>
              <w:tc>
                <w:tcPr>
                  <w:tcW w:w="535" w:type="pct"/>
                  <w:vMerge w:val="restart"/>
                  <w:noWrap w:val="0"/>
                  <w:vAlign w:val="center"/>
                </w:tcPr>
                <w:p w14:paraId="39FF6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达标</w:t>
                  </w:r>
                </w:p>
              </w:tc>
            </w:tr>
            <w:tr w14:paraId="33F94C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continue"/>
                  <w:noWrap w:val="0"/>
                  <w:vAlign w:val="center"/>
                </w:tcPr>
                <w:p w14:paraId="6E5197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20E4A3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641595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南厂界外1m</w:t>
                  </w:r>
                </w:p>
              </w:tc>
              <w:tc>
                <w:tcPr>
                  <w:tcW w:w="1193" w:type="pct"/>
                  <w:noWrap w:val="0"/>
                  <w:vAlign w:val="center"/>
                </w:tcPr>
                <w:p w14:paraId="6FE40E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56.5</w:t>
                  </w:r>
                </w:p>
              </w:tc>
              <w:tc>
                <w:tcPr>
                  <w:tcW w:w="561" w:type="pct"/>
                  <w:vMerge w:val="continue"/>
                  <w:noWrap w:val="0"/>
                  <w:vAlign w:val="center"/>
                </w:tcPr>
                <w:p w14:paraId="719241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492B7C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r w14:paraId="577608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23" w:type="pct"/>
                  <w:vMerge w:val="continue"/>
                  <w:noWrap w:val="0"/>
                  <w:vAlign w:val="center"/>
                </w:tcPr>
                <w:p w14:paraId="124E3F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6FEDC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0D64E5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西厂界外1m</w:t>
                  </w:r>
                </w:p>
              </w:tc>
              <w:tc>
                <w:tcPr>
                  <w:tcW w:w="1193" w:type="pct"/>
                  <w:noWrap w:val="0"/>
                  <w:vAlign w:val="center"/>
                </w:tcPr>
                <w:p w14:paraId="0AE2B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56.3</w:t>
                  </w:r>
                </w:p>
              </w:tc>
              <w:tc>
                <w:tcPr>
                  <w:tcW w:w="561" w:type="pct"/>
                  <w:vMerge w:val="continue"/>
                  <w:noWrap w:val="0"/>
                  <w:vAlign w:val="center"/>
                </w:tcPr>
                <w:p w14:paraId="6F7FE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41730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r w14:paraId="42875F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17" w:hRule="exact"/>
                <w:jc w:val="center"/>
              </w:trPr>
              <w:tc>
                <w:tcPr>
                  <w:tcW w:w="723" w:type="pct"/>
                  <w:vMerge w:val="continue"/>
                  <w:noWrap w:val="0"/>
                  <w:vAlign w:val="center"/>
                </w:tcPr>
                <w:p w14:paraId="5CAAC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775" w:type="pct"/>
                  <w:vMerge w:val="continue"/>
                  <w:noWrap w:val="0"/>
                  <w:vAlign w:val="center"/>
                </w:tcPr>
                <w:p w14:paraId="223986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1209" w:type="pct"/>
                  <w:noWrap w:val="0"/>
                  <w:vAlign w:val="center"/>
                </w:tcPr>
                <w:p w14:paraId="1353E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仿宋" w:cs="Times New Roman"/>
                      <w:b w:val="0"/>
                      <w:bCs w:val="0"/>
                      <w:color w:val="auto"/>
                      <w:sz w:val="21"/>
                      <w:szCs w:val="21"/>
                      <w:lang w:val="en-US" w:eastAsia="zh-CN"/>
                    </w:rPr>
                  </w:pPr>
                  <w:r>
                    <w:rPr>
                      <w:rFonts w:hint="eastAsia" w:ascii="Times New Roman" w:hAnsi="Times New Roman" w:eastAsia="仿宋" w:cs="Times New Roman"/>
                      <w:b w:val="0"/>
                      <w:bCs w:val="0"/>
                      <w:color w:val="auto"/>
                      <w:sz w:val="21"/>
                      <w:szCs w:val="21"/>
                      <w:lang w:val="en-US" w:eastAsia="zh-CN"/>
                    </w:rPr>
                    <w:t>北厂界外1m</w:t>
                  </w:r>
                </w:p>
              </w:tc>
              <w:tc>
                <w:tcPr>
                  <w:tcW w:w="1193" w:type="pct"/>
                  <w:noWrap w:val="0"/>
                  <w:vAlign w:val="center"/>
                </w:tcPr>
                <w:p w14:paraId="6FCC3B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r>
                    <w:rPr>
                      <w:rFonts w:hint="eastAsia" w:eastAsia="仿宋" w:cs="Times New Roman"/>
                      <w:b w:val="0"/>
                      <w:bCs w:val="0"/>
                      <w:color w:val="auto"/>
                      <w:sz w:val="21"/>
                      <w:szCs w:val="21"/>
                      <w:lang w:val="en-US" w:eastAsia="zh-CN"/>
                    </w:rPr>
                    <w:t>56.1</w:t>
                  </w:r>
                </w:p>
              </w:tc>
              <w:tc>
                <w:tcPr>
                  <w:tcW w:w="561" w:type="pct"/>
                  <w:vMerge w:val="continue"/>
                  <w:noWrap w:val="0"/>
                  <w:vAlign w:val="center"/>
                </w:tcPr>
                <w:p w14:paraId="3EC668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c>
                <w:tcPr>
                  <w:tcW w:w="535" w:type="pct"/>
                  <w:vMerge w:val="continue"/>
                  <w:noWrap w:val="0"/>
                  <w:vAlign w:val="center"/>
                </w:tcPr>
                <w:p w14:paraId="4717A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仿宋" w:cs="Times New Roman"/>
                      <w:b w:val="0"/>
                      <w:bCs w:val="0"/>
                      <w:color w:val="auto"/>
                      <w:sz w:val="21"/>
                      <w:szCs w:val="21"/>
                      <w:lang w:val="en-US" w:eastAsia="zh-CN"/>
                    </w:rPr>
                  </w:pPr>
                </w:p>
              </w:tc>
            </w:tr>
          </w:tbl>
          <w:p w14:paraId="0F0732A4">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（4）固废污染防治措施及排放情况</w:t>
            </w:r>
          </w:p>
          <w:p w14:paraId="1D27C277">
            <w:pPr>
              <w:snapToGrid w:val="0"/>
              <w:spacing w:line="240" w:lineRule="auto"/>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表2-1</w:t>
            </w:r>
            <w:r>
              <w:rPr>
                <w:rFonts w:hint="eastAsia" w:eastAsia="仿宋" w:cs="Times New Roman"/>
                <w:b/>
                <w:bCs/>
                <w:color w:val="auto"/>
                <w:szCs w:val="21"/>
                <w:lang w:val="en-US" w:eastAsia="zh-CN"/>
              </w:rPr>
              <w:t>5</w:t>
            </w:r>
            <w:r>
              <w:rPr>
                <w:rFonts w:hint="default" w:ascii="Times New Roman" w:hAnsi="Times New Roman" w:eastAsia="仿宋" w:cs="Times New Roman"/>
                <w:b/>
                <w:bCs/>
                <w:color w:val="auto"/>
                <w:szCs w:val="21"/>
                <w:lang w:val="en-US" w:eastAsia="zh-CN"/>
              </w:rPr>
              <w:t xml:space="preserve">  原有项目固体废物及其处置情况</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66"/>
              <w:gridCol w:w="1279"/>
              <w:gridCol w:w="986"/>
              <w:gridCol w:w="1092"/>
              <w:gridCol w:w="1297"/>
              <w:gridCol w:w="1001"/>
              <w:gridCol w:w="1898"/>
            </w:tblGrid>
            <w:tr w14:paraId="30BB3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60" w:hRule="atLeast"/>
                <w:jc w:val="center"/>
              </w:trPr>
              <w:tc>
                <w:tcPr>
                  <w:tcW w:w="348" w:type="pct"/>
                  <w:tcBorders>
                    <w:tl2br w:val="nil"/>
                    <w:tr2bl w:val="nil"/>
                  </w:tcBorders>
                  <w:noWrap w:val="0"/>
                  <w:vAlign w:val="center"/>
                </w:tcPr>
                <w:p w14:paraId="12941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787" w:type="pct"/>
                  <w:tcBorders>
                    <w:tl2br w:val="nil"/>
                    <w:tr2bl w:val="nil"/>
                  </w:tcBorders>
                  <w:noWrap w:val="0"/>
                  <w:vAlign w:val="center"/>
                </w:tcPr>
                <w:p w14:paraId="4365BC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固废名称</w:t>
                  </w:r>
                </w:p>
              </w:tc>
              <w:tc>
                <w:tcPr>
                  <w:tcW w:w="607" w:type="pct"/>
                  <w:tcBorders>
                    <w:tl2br w:val="nil"/>
                    <w:tr2bl w:val="nil"/>
                  </w:tcBorders>
                  <w:noWrap w:val="0"/>
                  <w:vAlign w:val="center"/>
                </w:tcPr>
                <w:p w14:paraId="44CBDC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属性</w:t>
                  </w:r>
                </w:p>
              </w:tc>
              <w:tc>
                <w:tcPr>
                  <w:tcW w:w="672" w:type="pct"/>
                  <w:tcBorders>
                    <w:tl2br w:val="nil"/>
                    <w:tr2bl w:val="nil"/>
                  </w:tcBorders>
                  <w:noWrap w:val="0"/>
                  <w:vAlign w:val="center"/>
                </w:tcPr>
                <w:p w14:paraId="24E19C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危险特性</w:t>
                  </w:r>
                </w:p>
              </w:tc>
              <w:tc>
                <w:tcPr>
                  <w:tcW w:w="798" w:type="pct"/>
                  <w:tcBorders>
                    <w:tl2br w:val="nil"/>
                    <w:tr2bl w:val="nil"/>
                  </w:tcBorders>
                  <w:noWrap w:val="0"/>
                  <w:vAlign w:val="center"/>
                </w:tcPr>
                <w:p w14:paraId="56BA2C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废物代码</w:t>
                  </w:r>
                </w:p>
              </w:tc>
              <w:tc>
                <w:tcPr>
                  <w:tcW w:w="616" w:type="pct"/>
                  <w:tcBorders>
                    <w:tl2br w:val="nil"/>
                    <w:tr2bl w:val="nil"/>
                  </w:tcBorders>
                  <w:noWrap w:val="0"/>
                  <w:vAlign w:val="center"/>
                </w:tcPr>
                <w:p w14:paraId="7E1F8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产生量</w:t>
                  </w:r>
                </w:p>
                <w:p w14:paraId="2AB59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t/a</w:t>
                  </w:r>
                </w:p>
              </w:tc>
              <w:tc>
                <w:tcPr>
                  <w:tcW w:w="1168" w:type="pct"/>
                  <w:tcBorders>
                    <w:tl2br w:val="nil"/>
                    <w:tr2bl w:val="nil"/>
                  </w:tcBorders>
                  <w:noWrap w:val="0"/>
                  <w:vAlign w:val="center"/>
                </w:tcPr>
                <w:p w14:paraId="2E1FB9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防治措施</w:t>
                  </w:r>
                </w:p>
              </w:tc>
            </w:tr>
            <w:tr w14:paraId="591BEC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1" w:hRule="atLeast"/>
                <w:jc w:val="center"/>
              </w:trPr>
              <w:tc>
                <w:tcPr>
                  <w:tcW w:w="348" w:type="pct"/>
                  <w:tcBorders>
                    <w:tl2br w:val="nil"/>
                    <w:tr2bl w:val="nil"/>
                  </w:tcBorders>
                  <w:noWrap w:val="0"/>
                  <w:vAlign w:val="center"/>
                </w:tcPr>
                <w:p w14:paraId="5812DC78">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1"/>
                      <w:szCs w:val="21"/>
                      <w:u w:val="none"/>
                      <w:lang w:val="en-US" w:eastAsia="zh-CN" w:bidi="ar"/>
                    </w:rPr>
                    <w:t>1</w:t>
                  </w:r>
                </w:p>
              </w:tc>
              <w:tc>
                <w:tcPr>
                  <w:tcW w:w="787" w:type="pct"/>
                  <w:tcBorders>
                    <w:tl2br w:val="nil"/>
                    <w:tr2bl w:val="nil"/>
                  </w:tcBorders>
                  <w:noWrap w:val="0"/>
                  <w:vAlign w:val="center"/>
                </w:tcPr>
                <w:p w14:paraId="34E5CE1D">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1"/>
                      <w:szCs w:val="21"/>
                      <w:u w:val="none"/>
                      <w:lang w:val="en-US" w:eastAsia="zh-CN" w:bidi="ar"/>
                    </w:rPr>
                    <w:t>生活垃圾</w:t>
                  </w:r>
                </w:p>
              </w:tc>
              <w:tc>
                <w:tcPr>
                  <w:tcW w:w="607" w:type="pct"/>
                  <w:tcBorders>
                    <w:tl2br w:val="nil"/>
                    <w:tr2bl w:val="nil"/>
                  </w:tcBorders>
                  <w:noWrap w:val="0"/>
                  <w:vAlign w:val="center"/>
                </w:tcPr>
                <w:p w14:paraId="28F30316">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生活垃圾</w:t>
                  </w:r>
                </w:p>
              </w:tc>
              <w:tc>
                <w:tcPr>
                  <w:tcW w:w="672" w:type="pct"/>
                  <w:tcBorders>
                    <w:tl2br w:val="nil"/>
                    <w:tr2bl w:val="nil"/>
                  </w:tcBorders>
                  <w:noWrap w:val="0"/>
                  <w:vAlign w:val="center"/>
                </w:tcPr>
                <w:p w14:paraId="12F5C4FA">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1"/>
                      <w:szCs w:val="21"/>
                      <w:u w:val="none"/>
                      <w:lang w:val="en-US" w:eastAsia="zh-CN" w:bidi="ar"/>
                    </w:rPr>
                    <w:t>/</w:t>
                  </w:r>
                </w:p>
              </w:tc>
              <w:tc>
                <w:tcPr>
                  <w:tcW w:w="798" w:type="pct"/>
                  <w:tcBorders>
                    <w:tl2br w:val="nil"/>
                    <w:tr2bl w:val="nil"/>
                  </w:tcBorders>
                  <w:noWrap w:val="0"/>
                  <w:vAlign w:val="center"/>
                </w:tcPr>
                <w:p w14:paraId="64CFB06C">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w:t>
                  </w:r>
                </w:p>
              </w:tc>
              <w:tc>
                <w:tcPr>
                  <w:tcW w:w="616" w:type="pct"/>
                  <w:tcBorders>
                    <w:tl2br w:val="nil"/>
                    <w:tr2bl w:val="nil"/>
                  </w:tcBorders>
                  <w:noWrap w:val="0"/>
                  <w:vAlign w:val="center"/>
                </w:tcPr>
                <w:p w14:paraId="31561E9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1"/>
                      <w:szCs w:val="21"/>
                      <w:u w:val="none"/>
                      <w:lang w:val="en-US" w:eastAsia="zh-CN" w:bidi="ar"/>
                    </w:rPr>
                    <w:t>2.25</w:t>
                  </w:r>
                </w:p>
              </w:tc>
              <w:tc>
                <w:tcPr>
                  <w:tcW w:w="1168" w:type="pct"/>
                  <w:tcBorders>
                    <w:tl2br w:val="nil"/>
                    <w:tr2bl w:val="nil"/>
                  </w:tcBorders>
                  <w:noWrap w:val="0"/>
                  <w:vAlign w:val="center"/>
                </w:tcPr>
                <w:p w14:paraId="54E79890">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环卫清运</w:t>
                  </w:r>
                </w:p>
              </w:tc>
            </w:tr>
            <w:tr w14:paraId="1ECF07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04957649">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color w:val="auto"/>
                      <w:kern w:val="0"/>
                      <w:sz w:val="21"/>
                      <w:szCs w:val="21"/>
                      <w:u w:val="none"/>
                      <w:lang w:val="en-US" w:eastAsia="zh-CN" w:bidi="ar"/>
                    </w:rPr>
                    <w:t>2</w:t>
                  </w:r>
                </w:p>
              </w:tc>
              <w:tc>
                <w:tcPr>
                  <w:tcW w:w="787" w:type="pct"/>
                  <w:tcBorders>
                    <w:tl2br w:val="nil"/>
                    <w:tr2bl w:val="nil"/>
                  </w:tcBorders>
                  <w:noWrap w:val="0"/>
                  <w:vAlign w:val="center"/>
                </w:tcPr>
                <w:p w14:paraId="729BE88F">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边角料</w:t>
                  </w:r>
                </w:p>
              </w:tc>
              <w:tc>
                <w:tcPr>
                  <w:tcW w:w="607" w:type="pct"/>
                  <w:tcBorders>
                    <w:tl2br w:val="nil"/>
                    <w:tr2bl w:val="nil"/>
                  </w:tcBorders>
                  <w:noWrap w:val="0"/>
                  <w:vAlign w:val="center"/>
                </w:tcPr>
                <w:p w14:paraId="20123C83">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一般固废</w:t>
                  </w:r>
                </w:p>
              </w:tc>
              <w:tc>
                <w:tcPr>
                  <w:tcW w:w="672" w:type="pct"/>
                  <w:tcBorders>
                    <w:tl2br w:val="nil"/>
                    <w:tr2bl w:val="nil"/>
                  </w:tcBorders>
                  <w:noWrap w:val="0"/>
                  <w:vAlign w:val="center"/>
                </w:tcPr>
                <w:p w14:paraId="203FADA1">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w:t>
                  </w:r>
                </w:p>
              </w:tc>
              <w:tc>
                <w:tcPr>
                  <w:tcW w:w="798" w:type="pct"/>
                  <w:tcBorders>
                    <w:tl2br w:val="nil"/>
                    <w:tr2bl w:val="nil"/>
                  </w:tcBorders>
                  <w:noWrap w:val="0"/>
                  <w:vAlign w:val="center"/>
                </w:tcPr>
                <w:p w14:paraId="0414B8DD">
                  <w:pPr>
                    <w:keepNext w:val="0"/>
                    <w:keepLines w:val="0"/>
                    <w:suppressLineNumbers w:val="0"/>
                    <w:spacing w:before="0" w:beforeAutospacing="0" w:after="0" w:afterAutospacing="0" w:line="320" w:lineRule="exact"/>
                    <w:ind w:left="0" w:leftChars="0" w:right="0" w:rightChars="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w:t>
                  </w:r>
                </w:p>
              </w:tc>
              <w:tc>
                <w:tcPr>
                  <w:tcW w:w="616" w:type="pct"/>
                  <w:tcBorders>
                    <w:tl2br w:val="nil"/>
                    <w:tr2bl w:val="nil"/>
                  </w:tcBorders>
                  <w:noWrap w:val="0"/>
                  <w:vAlign w:val="center"/>
                </w:tcPr>
                <w:p w14:paraId="0C3043BA">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6</w:t>
                  </w:r>
                </w:p>
              </w:tc>
              <w:tc>
                <w:tcPr>
                  <w:tcW w:w="1168" w:type="pct"/>
                  <w:tcBorders>
                    <w:tl2br w:val="nil"/>
                    <w:tr2bl w:val="nil"/>
                  </w:tcBorders>
                  <w:noWrap w:val="0"/>
                  <w:vAlign w:val="center"/>
                </w:tcPr>
                <w:p w14:paraId="70469D2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color w:val="auto"/>
                      <w:kern w:val="0"/>
                      <w:sz w:val="21"/>
                      <w:szCs w:val="21"/>
                      <w:u w:val="none"/>
                      <w:lang w:val="en-US" w:eastAsia="zh-CN" w:bidi="ar"/>
                    </w:rPr>
                    <w:t>外售综合利用</w:t>
                  </w:r>
                </w:p>
              </w:tc>
            </w:tr>
            <w:tr w14:paraId="6D6797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08AAAAE2">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3</w:t>
                  </w:r>
                </w:p>
              </w:tc>
              <w:tc>
                <w:tcPr>
                  <w:tcW w:w="787" w:type="pct"/>
                  <w:tcBorders>
                    <w:tl2br w:val="nil"/>
                    <w:tr2bl w:val="nil"/>
                  </w:tcBorders>
                  <w:noWrap w:val="0"/>
                  <w:vAlign w:val="center"/>
                </w:tcPr>
                <w:p w14:paraId="16095E89">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清洗废液</w:t>
                  </w:r>
                </w:p>
              </w:tc>
              <w:tc>
                <w:tcPr>
                  <w:tcW w:w="607" w:type="pct"/>
                  <w:vMerge w:val="restart"/>
                  <w:tcBorders>
                    <w:tl2br w:val="nil"/>
                    <w:tr2bl w:val="nil"/>
                  </w:tcBorders>
                  <w:noWrap w:val="0"/>
                  <w:vAlign w:val="center"/>
                </w:tcPr>
                <w:p w14:paraId="05399E90">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w:t>
                  </w:r>
                </w:p>
              </w:tc>
              <w:tc>
                <w:tcPr>
                  <w:tcW w:w="672" w:type="pct"/>
                  <w:tcBorders>
                    <w:tl2br w:val="nil"/>
                    <w:tr2bl w:val="nil"/>
                  </w:tcBorders>
                  <w:noWrap w:val="0"/>
                  <w:vAlign w:val="center"/>
                </w:tcPr>
                <w:p w14:paraId="4A6191F4">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w:t>
                  </w:r>
                </w:p>
              </w:tc>
              <w:tc>
                <w:tcPr>
                  <w:tcW w:w="798" w:type="pct"/>
                  <w:tcBorders>
                    <w:tl2br w:val="nil"/>
                    <w:tr2bl w:val="nil"/>
                  </w:tcBorders>
                  <w:noWrap w:val="0"/>
                  <w:vAlign w:val="center"/>
                </w:tcPr>
                <w:p w14:paraId="0C7684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900-409-06</w:t>
                  </w:r>
                </w:p>
              </w:tc>
              <w:tc>
                <w:tcPr>
                  <w:tcW w:w="616" w:type="pct"/>
                  <w:tcBorders>
                    <w:tl2br w:val="nil"/>
                    <w:tr2bl w:val="nil"/>
                  </w:tcBorders>
                  <w:noWrap w:val="0"/>
                  <w:vAlign w:val="center"/>
                </w:tcPr>
                <w:p w14:paraId="0B9483D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3.456</w:t>
                  </w:r>
                </w:p>
              </w:tc>
              <w:tc>
                <w:tcPr>
                  <w:tcW w:w="1168" w:type="pct"/>
                  <w:vMerge w:val="restart"/>
                  <w:tcBorders>
                    <w:tl2br w:val="nil"/>
                    <w:tr2bl w:val="nil"/>
                  </w:tcBorders>
                  <w:noWrap w:val="0"/>
                  <w:vAlign w:val="center"/>
                </w:tcPr>
                <w:p w14:paraId="31449456">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color w:val="auto"/>
                      <w:sz w:val="21"/>
                      <w:szCs w:val="21"/>
                      <w:lang w:val="en-US" w:eastAsia="zh-CN"/>
                    </w:rPr>
                    <w:t>委托</w:t>
                  </w:r>
                  <w:r>
                    <w:rPr>
                      <w:rFonts w:hint="eastAsia" w:eastAsia="仿宋" w:cs="Times New Roman"/>
                      <w:color w:val="auto"/>
                      <w:sz w:val="21"/>
                      <w:szCs w:val="21"/>
                      <w:lang w:val="en-US" w:eastAsia="zh-CN"/>
                    </w:rPr>
                    <w:t>常州市风华环保有限公司</w:t>
                  </w:r>
                  <w:r>
                    <w:rPr>
                      <w:rFonts w:hint="default" w:ascii="Times New Roman" w:hAnsi="Times New Roman" w:eastAsia="仿宋" w:cs="Times New Roman"/>
                      <w:color w:val="auto"/>
                      <w:sz w:val="21"/>
                      <w:szCs w:val="21"/>
                      <w:lang w:val="en-US" w:eastAsia="zh-CN"/>
                    </w:rPr>
                    <w:t>处置</w:t>
                  </w:r>
                </w:p>
              </w:tc>
            </w:tr>
            <w:tr w14:paraId="265132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01CD9941">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4</w:t>
                  </w:r>
                </w:p>
              </w:tc>
              <w:tc>
                <w:tcPr>
                  <w:tcW w:w="787" w:type="pct"/>
                  <w:tcBorders>
                    <w:tl2br w:val="nil"/>
                    <w:tr2bl w:val="nil"/>
                  </w:tcBorders>
                  <w:noWrap w:val="0"/>
                  <w:vAlign w:val="center"/>
                </w:tcPr>
                <w:p w14:paraId="4553D6AF">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磨床灰</w:t>
                  </w:r>
                </w:p>
              </w:tc>
              <w:tc>
                <w:tcPr>
                  <w:tcW w:w="607" w:type="pct"/>
                  <w:vMerge w:val="continue"/>
                  <w:tcBorders>
                    <w:tl2br w:val="nil"/>
                    <w:tr2bl w:val="nil"/>
                  </w:tcBorders>
                  <w:noWrap w:val="0"/>
                  <w:vAlign w:val="center"/>
                </w:tcPr>
                <w:p w14:paraId="454BB119">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6885777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w:t>
                  </w:r>
                </w:p>
              </w:tc>
              <w:tc>
                <w:tcPr>
                  <w:tcW w:w="798" w:type="pct"/>
                  <w:tcBorders>
                    <w:tl2br w:val="nil"/>
                    <w:tr2bl w:val="nil"/>
                  </w:tcBorders>
                  <w:noWrap w:val="0"/>
                  <w:vAlign w:val="center"/>
                </w:tcPr>
                <w:p w14:paraId="22D8C4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900-200-08</w:t>
                  </w:r>
                </w:p>
              </w:tc>
              <w:tc>
                <w:tcPr>
                  <w:tcW w:w="616" w:type="pct"/>
                  <w:tcBorders>
                    <w:tl2br w:val="nil"/>
                    <w:tr2bl w:val="nil"/>
                  </w:tcBorders>
                  <w:noWrap w:val="0"/>
                  <w:vAlign w:val="center"/>
                </w:tcPr>
                <w:p w14:paraId="083D895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0.5</w:t>
                  </w:r>
                </w:p>
              </w:tc>
              <w:tc>
                <w:tcPr>
                  <w:tcW w:w="1168" w:type="pct"/>
                  <w:vMerge w:val="continue"/>
                  <w:tcBorders>
                    <w:tl2br w:val="nil"/>
                    <w:tr2bl w:val="nil"/>
                  </w:tcBorders>
                  <w:noWrap w:val="0"/>
                  <w:vAlign w:val="center"/>
                </w:tcPr>
                <w:p w14:paraId="66002374">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r w14:paraId="49924A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0D4EB878">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5</w:t>
                  </w:r>
                </w:p>
              </w:tc>
              <w:tc>
                <w:tcPr>
                  <w:tcW w:w="787" w:type="pct"/>
                  <w:tcBorders>
                    <w:tl2br w:val="nil"/>
                    <w:tr2bl w:val="nil"/>
                  </w:tcBorders>
                  <w:noWrap w:val="0"/>
                  <w:vAlign w:val="center"/>
                </w:tcPr>
                <w:p w14:paraId="4B41507A">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废液压油</w:t>
                  </w:r>
                </w:p>
              </w:tc>
              <w:tc>
                <w:tcPr>
                  <w:tcW w:w="607" w:type="pct"/>
                  <w:vMerge w:val="continue"/>
                  <w:tcBorders>
                    <w:tl2br w:val="nil"/>
                    <w:tr2bl w:val="nil"/>
                  </w:tcBorders>
                  <w:noWrap w:val="0"/>
                  <w:vAlign w:val="center"/>
                </w:tcPr>
                <w:p w14:paraId="16A3E8BE">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0B9288FB">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w:t>
                  </w:r>
                </w:p>
              </w:tc>
              <w:tc>
                <w:tcPr>
                  <w:tcW w:w="798" w:type="pct"/>
                  <w:tcBorders>
                    <w:tl2br w:val="nil"/>
                    <w:tr2bl w:val="nil"/>
                  </w:tcBorders>
                  <w:noWrap w:val="0"/>
                  <w:vAlign w:val="center"/>
                </w:tcPr>
                <w:p w14:paraId="2FC060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900-218-08</w:t>
                  </w:r>
                </w:p>
              </w:tc>
              <w:tc>
                <w:tcPr>
                  <w:tcW w:w="616" w:type="pct"/>
                  <w:tcBorders>
                    <w:tl2br w:val="nil"/>
                    <w:tr2bl w:val="nil"/>
                  </w:tcBorders>
                  <w:noWrap w:val="0"/>
                  <w:vAlign w:val="center"/>
                </w:tcPr>
                <w:p w14:paraId="161CEBBF">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0.008</w:t>
                  </w:r>
                </w:p>
              </w:tc>
              <w:tc>
                <w:tcPr>
                  <w:tcW w:w="1168" w:type="pct"/>
                  <w:vMerge w:val="continue"/>
                  <w:tcBorders>
                    <w:tl2br w:val="nil"/>
                    <w:tr2bl w:val="nil"/>
                  </w:tcBorders>
                  <w:noWrap w:val="0"/>
                  <w:vAlign w:val="center"/>
                </w:tcPr>
                <w:p w14:paraId="1A2D910A">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r w14:paraId="50E137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4E6B4D39">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6</w:t>
                  </w:r>
                </w:p>
              </w:tc>
              <w:tc>
                <w:tcPr>
                  <w:tcW w:w="787" w:type="pct"/>
                  <w:tcBorders>
                    <w:tl2br w:val="nil"/>
                    <w:tr2bl w:val="nil"/>
                  </w:tcBorders>
                  <w:noWrap w:val="0"/>
                  <w:vAlign w:val="center"/>
                </w:tcPr>
                <w:p w14:paraId="00CDCAB2">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废珩磨油</w:t>
                  </w:r>
                </w:p>
              </w:tc>
              <w:tc>
                <w:tcPr>
                  <w:tcW w:w="607" w:type="pct"/>
                  <w:vMerge w:val="continue"/>
                  <w:tcBorders>
                    <w:tl2br w:val="nil"/>
                    <w:tr2bl w:val="nil"/>
                  </w:tcBorders>
                  <w:noWrap w:val="0"/>
                  <w:vAlign w:val="center"/>
                </w:tcPr>
                <w:p w14:paraId="0AC4EEE1">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5C95C76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w:t>
                  </w:r>
                </w:p>
              </w:tc>
              <w:tc>
                <w:tcPr>
                  <w:tcW w:w="798" w:type="pct"/>
                  <w:tcBorders>
                    <w:tl2br w:val="nil"/>
                    <w:tr2bl w:val="nil"/>
                  </w:tcBorders>
                  <w:noWrap w:val="0"/>
                  <w:vAlign w:val="center"/>
                </w:tcPr>
                <w:p w14:paraId="7F8070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900-200-08</w:t>
                  </w:r>
                </w:p>
              </w:tc>
              <w:tc>
                <w:tcPr>
                  <w:tcW w:w="616" w:type="pct"/>
                  <w:tcBorders>
                    <w:tl2br w:val="nil"/>
                    <w:tr2bl w:val="nil"/>
                  </w:tcBorders>
                  <w:noWrap w:val="0"/>
                  <w:vAlign w:val="center"/>
                </w:tcPr>
                <w:p w14:paraId="1638ADF5">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0.08</w:t>
                  </w:r>
                </w:p>
              </w:tc>
              <w:tc>
                <w:tcPr>
                  <w:tcW w:w="1168" w:type="pct"/>
                  <w:vMerge w:val="continue"/>
                  <w:tcBorders>
                    <w:tl2br w:val="nil"/>
                    <w:tr2bl w:val="nil"/>
                  </w:tcBorders>
                  <w:noWrap w:val="0"/>
                  <w:vAlign w:val="center"/>
                </w:tcPr>
                <w:p w14:paraId="604103B2">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r w14:paraId="2CF5CB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18BEB8F8">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7</w:t>
                  </w:r>
                </w:p>
              </w:tc>
              <w:tc>
                <w:tcPr>
                  <w:tcW w:w="787" w:type="pct"/>
                  <w:tcBorders>
                    <w:tl2br w:val="nil"/>
                    <w:tr2bl w:val="nil"/>
                  </w:tcBorders>
                  <w:noWrap w:val="0"/>
                  <w:vAlign w:val="center"/>
                </w:tcPr>
                <w:p w14:paraId="27ACE36C">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eastAsia="仿宋" w:cs="Times New Roman"/>
                      <w:i w:val="0"/>
                      <w:color w:val="auto"/>
                      <w:kern w:val="0"/>
                      <w:sz w:val="21"/>
                      <w:szCs w:val="21"/>
                      <w:u w:val="none"/>
                      <w:lang w:val="en-US" w:eastAsia="zh-CN" w:bidi="ar"/>
                    </w:rPr>
                    <w:t>废切削液</w:t>
                  </w:r>
                </w:p>
              </w:tc>
              <w:tc>
                <w:tcPr>
                  <w:tcW w:w="607" w:type="pct"/>
                  <w:vMerge w:val="continue"/>
                  <w:tcBorders>
                    <w:tl2br w:val="nil"/>
                    <w:tr2bl w:val="nil"/>
                  </w:tcBorders>
                  <w:noWrap w:val="0"/>
                  <w:vAlign w:val="center"/>
                </w:tcPr>
                <w:p w14:paraId="64B82294">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0C16FA7A">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eastAsia="仿宋" w:cs="Times New Roman"/>
                      <w:i w:val="0"/>
                      <w:color w:val="auto"/>
                      <w:kern w:val="0"/>
                      <w:sz w:val="21"/>
                      <w:szCs w:val="21"/>
                      <w:u w:val="none"/>
                      <w:lang w:val="en-US" w:eastAsia="zh-CN" w:bidi="ar"/>
                    </w:rPr>
                    <w:t>T</w:t>
                  </w:r>
                </w:p>
              </w:tc>
              <w:tc>
                <w:tcPr>
                  <w:tcW w:w="798" w:type="pct"/>
                  <w:tcBorders>
                    <w:tl2br w:val="nil"/>
                    <w:tr2bl w:val="nil"/>
                  </w:tcBorders>
                  <w:noWrap w:val="0"/>
                  <w:vAlign w:val="center"/>
                </w:tcPr>
                <w:p w14:paraId="699350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仿宋" w:cs="Times New Roman"/>
                      <w:color w:val="auto"/>
                      <w:kern w:val="0"/>
                      <w:sz w:val="21"/>
                      <w:szCs w:val="21"/>
                      <w:lang w:val="en-US" w:eastAsia="zh-CN" w:bidi="ar"/>
                    </w:rPr>
                  </w:pPr>
                  <w:r>
                    <w:rPr>
                      <w:rFonts w:hint="eastAsia" w:ascii="Times New Roman" w:hAnsi="Times New Roman" w:eastAsia="仿宋" w:cs="Times New Roman"/>
                      <w:color w:val="auto"/>
                      <w:kern w:val="0"/>
                      <w:sz w:val="21"/>
                      <w:szCs w:val="21"/>
                      <w:lang w:val="en-US" w:eastAsia="zh-CN" w:bidi="ar"/>
                    </w:rPr>
                    <w:t>900-006-09</w:t>
                  </w:r>
                </w:p>
              </w:tc>
              <w:tc>
                <w:tcPr>
                  <w:tcW w:w="616" w:type="pct"/>
                  <w:tcBorders>
                    <w:tl2br w:val="nil"/>
                    <w:tr2bl w:val="nil"/>
                  </w:tcBorders>
                  <w:noWrap w:val="0"/>
                  <w:vAlign w:val="center"/>
                </w:tcPr>
                <w:p w14:paraId="318757DF">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i w:val="0"/>
                      <w:color w:val="auto"/>
                      <w:kern w:val="0"/>
                      <w:sz w:val="21"/>
                      <w:szCs w:val="21"/>
                      <w:u w:val="none"/>
                      <w:lang w:val="en-US" w:eastAsia="zh-CN" w:bidi="ar"/>
                    </w:rPr>
                  </w:pPr>
                  <w:r>
                    <w:rPr>
                      <w:rFonts w:hint="eastAsia" w:ascii="Times New Roman" w:hAnsi="Times New Roman" w:eastAsia="仿宋" w:cs="Times New Roman"/>
                      <w:i w:val="0"/>
                      <w:color w:val="auto"/>
                      <w:kern w:val="0"/>
                      <w:sz w:val="21"/>
                      <w:szCs w:val="21"/>
                      <w:u w:val="none"/>
                      <w:lang w:val="en-US" w:eastAsia="zh-CN" w:bidi="ar"/>
                    </w:rPr>
                    <w:t>1.2</w:t>
                  </w:r>
                </w:p>
              </w:tc>
              <w:tc>
                <w:tcPr>
                  <w:tcW w:w="1168" w:type="pct"/>
                  <w:vMerge w:val="continue"/>
                  <w:tcBorders>
                    <w:tl2br w:val="nil"/>
                    <w:tr2bl w:val="nil"/>
                  </w:tcBorders>
                  <w:noWrap w:val="0"/>
                  <w:vAlign w:val="center"/>
                </w:tcPr>
                <w:p w14:paraId="056C83B5">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r w14:paraId="639DFD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543434CE">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8</w:t>
                  </w:r>
                </w:p>
              </w:tc>
              <w:tc>
                <w:tcPr>
                  <w:tcW w:w="787" w:type="pct"/>
                  <w:tcBorders>
                    <w:tl2br w:val="nil"/>
                    <w:tr2bl w:val="nil"/>
                  </w:tcBorders>
                  <w:noWrap w:val="0"/>
                  <w:vAlign w:val="center"/>
                </w:tcPr>
                <w:p w14:paraId="74BA1626">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废过滤纸</w:t>
                  </w:r>
                </w:p>
              </w:tc>
              <w:tc>
                <w:tcPr>
                  <w:tcW w:w="607" w:type="pct"/>
                  <w:vMerge w:val="continue"/>
                  <w:tcBorders>
                    <w:tl2br w:val="nil"/>
                    <w:tr2bl w:val="nil"/>
                  </w:tcBorders>
                  <w:noWrap w:val="0"/>
                  <w:vAlign w:val="center"/>
                </w:tcPr>
                <w:p w14:paraId="6DAB3686">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6437AD3D">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T/In</w:t>
                  </w:r>
                </w:p>
              </w:tc>
              <w:tc>
                <w:tcPr>
                  <w:tcW w:w="798" w:type="pct"/>
                  <w:tcBorders>
                    <w:tl2br w:val="nil"/>
                    <w:tr2bl w:val="nil"/>
                  </w:tcBorders>
                  <w:noWrap w:val="0"/>
                  <w:vAlign w:val="center"/>
                </w:tcPr>
                <w:p w14:paraId="6F12B7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900-041-49</w:t>
                  </w:r>
                </w:p>
              </w:tc>
              <w:tc>
                <w:tcPr>
                  <w:tcW w:w="616" w:type="pct"/>
                  <w:tcBorders>
                    <w:tl2br w:val="nil"/>
                    <w:tr2bl w:val="nil"/>
                  </w:tcBorders>
                  <w:noWrap w:val="0"/>
                  <w:vAlign w:val="center"/>
                </w:tcPr>
                <w:p w14:paraId="5FB9A938">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0.2</w:t>
                  </w:r>
                </w:p>
              </w:tc>
              <w:tc>
                <w:tcPr>
                  <w:tcW w:w="1168" w:type="pct"/>
                  <w:vMerge w:val="restart"/>
                  <w:tcBorders>
                    <w:tl2br w:val="nil"/>
                    <w:tr2bl w:val="nil"/>
                  </w:tcBorders>
                  <w:noWrap w:val="0"/>
                  <w:vAlign w:val="center"/>
                </w:tcPr>
                <w:p w14:paraId="25A9AE5D">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委托江苏苏铖洪曜环保科技有限公司处置</w:t>
                  </w:r>
                </w:p>
              </w:tc>
            </w:tr>
            <w:tr w14:paraId="5F507A5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6D96E15C">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9</w:t>
                  </w:r>
                </w:p>
              </w:tc>
              <w:tc>
                <w:tcPr>
                  <w:tcW w:w="787" w:type="pct"/>
                  <w:tcBorders>
                    <w:tl2br w:val="nil"/>
                    <w:tr2bl w:val="nil"/>
                  </w:tcBorders>
                  <w:noWrap w:val="0"/>
                  <w:vAlign w:val="center"/>
                </w:tcPr>
                <w:p w14:paraId="4D78F457">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废包装桶</w:t>
                  </w:r>
                </w:p>
              </w:tc>
              <w:tc>
                <w:tcPr>
                  <w:tcW w:w="607" w:type="pct"/>
                  <w:vMerge w:val="continue"/>
                  <w:tcBorders>
                    <w:tl2br w:val="nil"/>
                    <w:tr2bl w:val="nil"/>
                  </w:tcBorders>
                  <w:noWrap w:val="0"/>
                  <w:vAlign w:val="center"/>
                </w:tcPr>
                <w:p w14:paraId="4C69432D">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0BE01E62">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T/In</w:t>
                  </w:r>
                </w:p>
              </w:tc>
              <w:tc>
                <w:tcPr>
                  <w:tcW w:w="798" w:type="pct"/>
                  <w:tcBorders>
                    <w:tl2br w:val="nil"/>
                    <w:tr2bl w:val="nil"/>
                  </w:tcBorders>
                  <w:noWrap w:val="0"/>
                  <w:vAlign w:val="center"/>
                </w:tcPr>
                <w:p w14:paraId="3EC221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900-041-49</w:t>
                  </w:r>
                </w:p>
              </w:tc>
              <w:tc>
                <w:tcPr>
                  <w:tcW w:w="616" w:type="pct"/>
                  <w:tcBorders>
                    <w:tl2br w:val="nil"/>
                    <w:tr2bl w:val="nil"/>
                  </w:tcBorders>
                  <w:noWrap w:val="0"/>
                  <w:vAlign w:val="center"/>
                </w:tcPr>
                <w:p w14:paraId="1DB2F631">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0.008</w:t>
                  </w:r>
                </w:p>
              </w:tc>
              <w:tc>
                <w:tcPr>
                  <w:tcW w:w="1168" w:type="pct"/>
                  <w:vMerge w:val="continue"/>
                  <w:tcBorders>
                    <w:tl2br w:val="nil"/>
                    <w:tr2bl w:val="nil"/>
                  </w:tcBorders>
                  <w:noWrap w:val="0"/>
                  <w:vAlign w:val="center"/>
                </w:tcPr>
                <w:p w14:paraId="358D90A4">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r w14:paraId="1E1090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jc w:val="center"/>
              </w:trPr>
              <w:tc>
                <w:tcPr>
                  <w:tcW w:w="348" w:type="pct"/>
                  <w:tcBorders>
                    <w:tl2br w:val="nil"/>
                    <w:tr2bl w:val="nil"/>
                  </w:tcBorders>
                  <w:noWrap w:val="0"/>
                  <w:vAlign w:val="center"/>
                </w:tcPr>
                <w:p w14:paraId="7C8DDB6C">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eastAsia" w:ascii="Times New Roman" w:hAnsi="Times New Roman" w:eastAsia="仿宋" w:cs="Times New Roman"/>
                      <w:i w:val="0"/>
                      <w:color w:val="auto"/>
                      <w:kern w:val="0"/>
                      <w:sz w:val="21"/>
                      <w:szCs w:val="21"/>
                      <w:u w:val="none"/>
                      <w:lang w:val="en-US" w:eastAsia="zh-CN" w:bidi="ar"/>
                    </w:rPr>
                    <w:t>10</w:t>
                  </w:r>
                </w:p>
              </w:tc>
              <w:tc>
                <w:tcPr>
                  <w:tcW w:w="787" w:type="pct"/>
                  <w:tcBorders>
                    <w:tl2br w:val="nil"/>
                    <w:tr2bl w:val="nil"/>
                  </w:tcBorders>
                  <w:noWrap w:val="0"/>
                  <w:vAlign w:val="center"/>
                </w:tcPr>
                <w:p w14:paraId="5D4B9288">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沾染废液的废抹布、手套、拖把等</w:t>
                  </w:r>
                </w:p>
              </w:tc>
              <w:tc>
                <w:tcPr>
                  <w:tcW w:w="607" w:type="pct"/>
                  <w:vMerge w:val="continue"/>
                  <w:tcBorders>
                    <w:tl2br w:val="nil"/>
                    <w:tr2bl w:val="nil"/>
                  </w:tcBorders>
                  <w:noWrap w:val="0"/>
                  <w:vAlign w:val="center"/>
                </w:tcPr>
                <w:p w14:paraId="7F98A3E4">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rPr>
                      <w:rFonts w:hint="default" w:ascii="Times New Roman" w:hAnsi="Times New Roman" w:eastAsia="仿宋" w:cs="Times New Roman"/>
                      <w:color w:val="auto"/>
                      <w:kern w:val="2"/>
                      <w:sz w:val="21"/>
                      <w:szCs w:val="21"/>
                      <w:lang w:val="en-US" w:eastAsia="zh-CN" w:bidi="ar-SA"/>
                    </w:rPr>
                  </w:pPr>
                </w:p>
              </w:tc>
              <w:tc>
                <w:tcPr>
                  <w:tcW w:w="672" w:type="pct"/>
                  <w:tcBorders>
                    <w:tl2br w:val="nil"/>
                    <w:tr2bl w:val="nil"/>
                  </w:tcBorders>
                  <w:noWrap w:val="0"/>
                  <w:vAlign w:val="center"/>
                </w:tcPr>
                <w:p w14:paraId="56413560">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T/In</w:t>
                  </w:r>
                </w:p>
              </w:tc>
              <w:tc>
                <w:tcPr>
                  <w:tcW w:w="798" w:type="pct"/>
                  <w:tcBorders>
                    <w:tl2br w:val="nil"/>
                    <w:tr2bl w:val="nil"/>
                  </w:tcBorders>
                  <w:noWrap w:val="0"/>
                  <w:vAlign w:val="center"/>
                </w:tcPr>
                <w:p w14:paraId="261420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eastAsia" w:ascii="Times New Roman" w:hAnsi="Times New Roman" w:eastAsia="仿宋" w:cs="Times New Roman"/>
                      <w:color w:val="auto"/>
                      <w:kern w:val="0"/>
                      <w:sz w:val="21"/>
                      <w:szCs w:val="21"/>
                      <w:lang w:val="en-US" w:eastAsia="zh-CN" w:bidi="ar"/>
                    </w:rPr>
                  </w:pPr>
                  <w:r>
                    <w:rPr>
                      <w:rFonts w:hint="default" w:ascii="Times New Roman" w:hAnsi="Times New Roman" w:eastAsia="仿宋" w:cs="Times New Roman"/>
                      <w:color w:val="auto"/>
                      <w:kern w:val="0"/>
                      <w:sz w:val="21"/>
                      <w:szCs w:val="21"/>
                      <w:lang w:val="en-US" w:eastAsia="zh-CN" w:bidi="ar"/>
                    </w:rPr>
                    <w:t>900-041-49</w:t>
                  </w:r>
                </w:p>
              </w:tc>
              <w:tc>
                <w:tcPr>
                  <w:tcW w:w="616" w:type="pct"/>
                  <w:tcBorders>
                    <w:tl2br w:val="nil"/>
                    <w:tr2bl w:val="nil"/>
                  </w:tcBorders>
                  <w:noWrap w:val="0"/>
                  <w:vAlign w:val="center"/>
                </w:tcPr>
                <w:p w14:paraId="579CEBAB">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leftChars="0" w:right="0" w:rightChars="0"/>
                    <w:jc w:val="center"/>
                    <w:textAlignment w:val="center"/>
                    <w:rPr>
                      <w:rFonts w:hint="eastAsia" w:ascii="Times New Roman" w:hAnsi="Times New Roman" w:eastAsia="仿宋" w:cs="Times New Roman"/>
                      <w:i w:val="0"/>
                      <w:color w:val="auto"/>
                      <w:kern w:val="0"/>
                      <w:sz w:val="21"/>
                      <w:szCs w:val="21"/>
                      <w:u w:val="none"/>
                      <w:lang w:val="en-US" w:eastAsia="zh-CN" w:bidi="ar"/>
                    </w:rPr>
                  </w:pPr>
                  <w:r>
                    <w:rPr>
                      <w:rFonts w:hint="default" w:ascii="Times New Roman" w:hAnsi="Times New Roman" w:eastAsia="仿宋" w:cs="Times New Roman"/>
                      <w:i w:val="0"/>
                      <w:color w:val="auto"/>
                      <w:kern w:val="0"/>
                      <w:sz w:val="21"/>
                      <w:szCs w:val="21"/>
                      <w:u w:val="none"/>
                      <w:lang w:val="en-US" w:eastAsia="zh-CN" w:bidi="ar"/>
                    </w:rPr>
                    <w:t>0.01</w:t>
                  </w:r>
                </w:p>
              </w:tc>
              <w:tc>
                <w:tcPr>
                  <w:tcW w:w="1168" w:type="pct"/>
                  <w:vMerge w:val="continue"/>
                  <w:tcBorders>
                    <w:tl2br w:val="nil"/>
                    <w:tr2bl w:val="nil"/>
                  </w:tcBorders>
                  <w:noWrap w:val="0"/>
                  <w:vAlign w:val="center"/>
                </w:tcPr>
                <w:p w14:paraId="5B6D11B5">
                  <w:pPr>
                    <w:keepNext w:val="0"/>
                    <w:keepLines w:val="0"/>
                    <w:pageBreakBefore w:val="0"/>
                    <w:widowControl/>
                    <w:suppressLineNumbers w:val="0"/>
                    <w:kinsoku/>
                    <w:wordWrap/>
                    <w:overflowPunct/>
                    <w:topLinePunct w:val="0"/>
                    <w:autoSpaceDE/>
                    <w:autoSpaceDN/>
                    <w:bidi w:val="0"/>
                    <w:spacing w:before="0" w:beforeAutospacing="0" w:after="0" w:afterLines="0" w:afterAutospacing="0" w:line="240" w:lineRule="auto"/>
                    <w:ind w:left="0" w:right="0"/>
                    <w:jc w:val="center"/>
                    <w:textAlignment w:val="center"/>
                    <w:rPr>
                      <w:rFonts w:hint="default" w:ascii="Times New Roman" w:hAnsi="Times New Roman" w:eastAsia="仿宋" w:cs="Times New Roman"/>
                      <w:color w:val="auto"/>
                      <w:sz w:val="21"/>
                      <w:szCs w:val="21"/>
                      <w:lang w:val="en-US" w:eastAsia="zh-CN"/>
                    </w:rPr>
                  </w:pPr>
                </w:p>
              </w:tc>
            </w:tr>
          </w:tbl>
          <w:p w14:paraId="5FDD88D5">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原有项目固体废物均合理处置。</w:t>
            </w:r>
          </w:p>
          <w:p w14:paraId="28074E2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（5）原有项目污染物排放总量</w:t>
            </w:r>
          </w:p>
          <w:p w14:paraId="4FB9C24C">
            <w:pPr>
              <w:snapToGrid w:val="0"/>
              <w:spacing w:line="240" w:lineRule="auto"/>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表2-1</w:t>
            </w:r>
            <w:r>
              <w:rPr>
                <w:rFonts w:hint="eastAsia" w:eastAsia="仿宋" w:cs="Times New Roman"/>
                <w:b/>
                <w:bCs/>
                <w:color w:val="auto"/>
                <w:szCs w:val="21"/>
                <w:lang w:val="en-US" w:eastAsia="zh-CN"/>
              </w:rPr>
              <w:t>6</w:t>
            </w:r>
            <w:r>
              <w:rPr>
                <w:rFonts w:hint="default" w:ascii="Times New Roman" w:hAnsi="Times New Roman" w:eastAsia="仿宋" w:cs="Times New Roman"/>
                <w:b/>
                <w:bCs/>
                <w:color w:val="auto"/>
                <w:szCs w:val="21"/>
                <w:lang w:val="en-US" w:eastAsia="zh-CN"/>
              </w:rPr>
              <w:t xml:space="preserve">  原有项目污染物排放总量控制表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7"/>
              <w:gridCol w:w="2410"/>
              <w:gridCol w:w="1989"/>
              <w:gridCol w:w="2448"/>
            </w:tblGrid>
            <w:tr w14:paraId="4E946E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6" w:hRule="exact"/>
                <w:jc w:val="center"/>
              </w:trPr>
              <w:tc>
                <w:tcPr>
                  <w:tcW w:w="786" w:type="pct"/>
                  <w:noWrap w:val="0"/>
                  <w:vAlign w:val="center"/>
                </w:tcPr>
                <w:p w14:paraId="27685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种类</w:t>
                  </w:r>
                </w:p>
              </w:tc>
              <w:tc>
                <w:tcPr>
                  <w:tcW w:w="1483" w:type="pct"/>
                  <w:noWrap w:val="0"/>
                  <w:vAlign w:val="center"/>
                </w:tcPr>
                <w:p w14:paraId="3AE4A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污染物名称</w:t>
                  </w:r>
                </w:p>
              </w:tc>
              <w:tc>
                <w:tcPr>
                  <w:tcW w:w="1224" w:type="pct"/>
                  <w:noWrap w:val="0"/>
                  <w:vAlign w:val="center"/>
                </w:tcPr>
                <w:p w14:paraId="7ECCA9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实际排放量t/a</w:t>
                  </w:r>
                </w:p>
              </w:tc>
              <w:tc>
                <w:tcPr>
                  <w:tcW w:w="1506" w:type="pct"/>
                  <w:noWrap w:val="0"/>
                  <w:vAlign w:val="center"/>
                </w:tcPr>
                <w:p w14:paraId="549632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原有项目环评排放量t/a</w:t>
                  </w:r>
                </w:p>
              </w:tc>
            </w:tr>
            <w:tr w14:paraId="673A0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restart"/>
                  <w:noWrap w:val="0"/>
                  <w:vAlign w:val="center"/>
                </w:tcPr>
                <w:p w14:paraId="79F10C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废水</w:t>
                  </w:r>
                </w:p>
              </w:tc>
              <w:tc>
                <w:tcPr>
                  <w:tcW w:w="1483" w:type="pct"/>
                  <w:noWrap w:val="0"/>
                  <w:vAlign w:val="center"/>
                </w:tcPr>
                <w:p w14:paraId="63B11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废水量</w:t>
                  </w:r>
                </w:p>
              </w:tc>
              <w:tc>
                <w:tcPr>
                  <w:tcW w:w="1224" w:type="pct"/>
                  <w:noWrap w:val="0"/>
                  <w:vAlign w:val="center"/>
                </w:tcPr>
                <w:p w14:paraId="0AD40B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240</w:t>
                  </w:r>
                </w:p>
              </w:tc>
              <w:tc>
                <w:tcPr>
                  <w:tcW w:w="1506" w:type="pct"/>
                  <w:noWrap w:val="0"/>
                  <w:vAlign w:val="center"/>
                </w:tcPr>
                <w:p w14:paraId="1BE56D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288</w:t>
                  </w:r>
                </w:p>
              </w:tc>
            </w:tr>
            <w:tr w14:paraId="6AFF2B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continue"/>
                  <w:noWrap w:val="0"/>
                  <w:vAlign w:val="center"/>
                </w:tcPr>
                <w:p w14:paraId="16682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1483" w:type="pct"/>
                  <w:noWrap w:val="0"/>
                  <w:vAlign w:val="center"/>
                </w:tcPr>
                <w:p w14:paraId="596FD2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COD</w:t>
                  </w:r>
                </w:p>
              </w:tc>
              <w:tc>
                <w:tcPr>
                  <w:tcW w:w="1224" w:type="pct"/>
                  <w:noWrap w:val="0"/>
                  <w:vAlign w:val="center"/>
                </w:tcPr>
                <w:p w14:paraId="2FDC43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0.064</w:t>
                  </w:r>
                </w:p>
              </w:tc>
              <w:tc>
                <w:tcPr>
                  <w:tcW w:w="2448" w:type="dxa"/>
                  <w:noWrap w:val="0"/>
                  <w:vAlign w:val="center"/>
                </w:tcPr>
                <w:p w14:paraId="6F3CEF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0.101</w:t>
                  </w:r>
                </w:p>
              </w:tc>
            </w:tr>
            <w:tr w14:paraId="3B95B4A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continue"/>
                  <w:noWrap w:val="0"/>
                  <w:vAlign w:val="center"/>
                </w:tcPr>
                <w:p w14:paraId="6C0DB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1483" w:type="pct"/>
                  <w:noWrap w:val="0"/>
                  <w:vAlign w:val="center"/>
                </w:tcPr>
                <w:p w14:paraId="4C267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SS</w:t>
                  </w:r>
                </w:p>
              </w:tc>
              <w:tc>
                <w:tcPr>
                  <w:tcW w:w="1224" w:type="pct"/>
                  <w:noWrap w:val="0"/>
                  <w:vAlign w:val="center"/>
                </w:tcPr>
                <w:p w14:paraId="36ABCA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0.026</w:t>
                  </w:r>
                </w:p>
              </w:tc>
              <w:tc>
                <w:tcPr>
                  <w:tcW w:w="2448" w:type="dxa"/>
                  <w:noWrap w:val="0"/>
                  <w:vAlign w:val="center"/>
                </w:tcPr>
                <w:p w14:paraId="164C6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0.072</w:t>
                  </w:r>
                </w:p>
              </w:tc>
            </w:tr>
            <w:tr w14:paraId="77F650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continue"/>
                  <w:noWrap w:val="0"/>
                  <w:vAlign w:val="center"/>
                </w:tcPr>
                <w:p w14:paraId="66CCB4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1483" w:type="pct"/>
                  <w:noWrap w:val="0"/>
                  <w:vAlign w:val="center"/>
                </w:tcPr>
                <w:p w14:paraId="3B0A77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NH</w:t>
                  </w:r>
                  <w:r>
                    <w:rPr>
                      <w:rFonts w:hint="default" w:ascii="Times New Roman" w:hAnsi="Times New Roman" w:eastAsia="仿宋" w:cs="Times New Roman"/>
                      <w:b w:val="0"/>
                      <w:bCs w:val="0"/>
                      <w:color w:val="auto"/>
                      <w:sz w:val="21"/>
                      <w:szCs w:val="21"/>
                      <w:vertAlign w:val="subscript"/>
                      <w:lang w:val="en-US" w:eastAsia="zh-CN"/>
                    </w:rPr>
                    <w:t>3</w:t>
                  </w:r>
                  <w:r>
                    <w:rPr>
                      <w:rFonts w:hint="default" w:ascii="Times New Roman" w:hAnsi="Times New Roman" w:eastAsia="仿宋" w:cs="Times New Roman"/>
                      <w:b w:val="0"/>
                      <w:bCs w:val="0"/>
                      <w:color w:val="auto"/>
                      <w:sz w:val="21"/>
                      <w:szCs w:val="21"/>
                      <w:lang w:val="en-US" w:eastAsia="zh-CN"/>
                    </w:rPr>
                    <w:t>-N</w:t>
                  </w:r>
                </w:p>
              </w:tc>
              <w:tc>
                <w:tcPr>
                  <w:tcW w:w="1224" w:type="pct"/>
                  <w:noWrap w:val="0"/>
                  <w:vAlign w:val="center"/>
                </w:tcPr>
                <w:p w14:paraId="0A82A4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0.005</w:t>
                  </w:r>
                </w:p>
              </w:tc>
              <w:tc>
                <w:tcPr>
                  <w:tcW w:w="2448" w:type="dxa"/>
                  <w:noWrap w:val="0"/>
                  <w:vAlign w:val="center"/>
                </w:tcPr>
                <w:p w14:paraId="131C5C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0.01</w:t>
                  </w:r>
                </w:p>
              </w:tc>
            </w:tr>
            <w:tr w14:paraId="6331DF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continue"/>
                  <w:noWrap w:val="0"/>
                  <w:vAlign w:val="center"/>
                </w:tcPr>
                <w:p w14:paraId="654904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1483" w:type="pct"/>
                  <w:noWrap w:val="0"/>
                  <w:vAlign w:val="center"/>
                </w:tcPr>
                <w:p w14:paraId="2CB2C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TP</w:t>
                  </w:r>
                </w:p>
              </w:tc>
              <w:tc>
                <w:tcPr>
                  <w:tcW w:w="1224" w:type="pct"/>
                  <w:noWrap w:val="0"/>
                  <w:vAlign w:val="center"/>
                </w:tcPr>
                <w:p w14:paraId="03F10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0.0003</w:t>
                  </w:r>
                </w:p>
              </w:tc>
              <w:tc>
                <w:tcPr>
                  <w:tcW w:w="2448" w:type="dxa"/>
                  <w:noWrap w:val="0"/>
                  <w:vAlign w:val="center"/>
                </w:tcPr>
                <w:p w14:paraId="22BF3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0.001</w:t>
                  </w:r>
                </w:p>
              </w:tc>
            </w:tr>
            <w:tr w14:paraId="58BCC0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786" w:type="pct"/>
                  <w:vMerge w:val="continue"/>
                  <w:noWrap w:val="0"/>
                  <w:vAlign w:val="center"/>
                </w:tcPr>
                <w:p w14:paraId="232806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p>
              </w:tc>
              <w:tc>
                <w:tcPr>
                  <w:tcW w:w="1483" w:type="pct"/>
                  <w:noWrap w:val="0"/>
                  <w:vAlign w:val="center"/>
                </w:tcPr>
                <w:p w14:paraId="21183F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TN</w:t>
                  </w:r>
                </w:p>
              </w:tc>
              <w:tc>
                <w:tcPr>
                  <w:tcW w:w="1224" w:type="pct"/>
                  <w:noWrap w:val="0"/>
                  <w:vAlign w:val="center"/>
                </w:tcPr>
                <w:p w14:paraId="77A82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0.007</w:t>
                  </w:r>
                </w:p>
              </w:tc>
              <w:tc>
                <w:tcPr>
                  <w:tcW w:w="2448" w:type="dxa"/>
                  <w:noWrap w:val="0"/>
                  <w:vAlign w:val="center"/>
                </w:tcPr>
                <w:p w14:paraId="25131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0.014</w:t>
                  </w:r>
                </w:p>
              </w:tc>
            </w:tr>
            <w:tr w14:paraId="29260D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exact"/>
                <w:jc w:val="center"/>
              </w:trPr>
              <w:tc>
                <w:tcPr>
                  <w:tcW w:w="2269" w:type="pct"/>
                  <w:gridSpan w:val="2"/>
                  <w:noWrap w:val="0"/>
                  <w:vAlign w:val="center"/>
                </w:tcPr>
                <w:p w14:paraId="4C944B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固体废物</w:t>
                  </w:r>
                </w:p>
              </w:tc>
              <w:tc>
                <w:tcPr>
                  <w:tcW w:w="1224" w:type="pct"/>
                  <w:noWrap w:val="0"/>
                  <w:vAlign w:val="center"/>
                </w:tcPr>
                <w:p w14:paraId="2480DE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w:t>
                  </w:r>
                </w:p>
              </w:tc>
              <w:tc>
                <w:tcPr>
                  <w:tcW w:w="1506" w:type="pct"/>
                  <w:noWrap w:val="0"/>
                  <w:vAlign w:val="center"/>
                </w:tcPr>
                <w:p w14:paraId="53C9C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w:t>
                  </w:r>
                </w:p>
              </w:tc>
            </w:tr>
          </w:tbl>
          <w:p w14:paraId="12B6FDF9">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8、原有项目地块环境遗留问题</w:t>
            </w:r>
          </w:p>
          <w:p w14:paraId="392BD913">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原有项目仅排放生活污水，生活污水经区域管网接管至武南污水处理厂，尾水排入武南河；原有项目焊接烟尘经移动式焊烟净化器处理后无组织达标排放；原有项目厂界噪声排放均未超过标准限值；待本项目取得批复后，将原有项目原辅料、半成品、成品清理转移，拆除设备，合理处置固体废物，无环境遗留问题。</w:t>
            </w:r>
          </w:p>
          <w:p w14:paraId="0D796C45">
            <w:pPr>
              <w:keepNext w:val="0"/>
              <w:keepLines w:val="0"/>
              <w:pageBreakBefore w:val="0"/>
              <w:widowControl w:val="0"/>
              <w:kinsoku/>
              <w:wordWrap/>
              <w:overflowPunct/>
              <w:topLinePunct w:val="0"/>
              <w:autoSpaceDE/>
              <w:autoSpaceDN/>
              <w:bidi w:val="0"/>
              <w:adjustRightInd w:val="0"/>
              <w:snapToGrid w:val="0"/>
              <w:spacing w:line="480" w:lineRule="exact"/>
              <w:ind w:firstLine="482" w:firstLineChars="200"/>
              <w:textAlignment w:val="auto"/>
              <w:rPr>
                <w:rFonts w:hint="default" w:ascii="Times New Roman" w:hAnsi="Times New Roman" w:eastAsia="仿宋" w:cs="Times New Roman"/>
                <w:b/>
                <w:bCs w:val="0"/>
                <w:color w:val="auto"/>
                <w:sz w:val="24"/>
                <w:szCs w:val="24"/>
                <w:lang w:val="en-US" w:eastAsia="zh-CN"/>
              </w:rPr>
            </w:pPr>
            <w:r>
              <w:rPr>
                <w:rFonts w:hint="default" w:ascii="Times New Roman" w:hAnsi="Times New Roman" w:eastAsia="仿宋" w:cs="Times New Roman"/>
                <w:b/>
                <w:bCs w:val="0"/>
                <w:color w:val="auto"/>
                <w:sz w:val="24"/>
                <w:szCs w:val="24"/>
                <w:lang w:val="en-US" w:eastAsia="zh-CN"/>
              </w:rPr>
              <w:t>9、本项目地块原有环境问题</w:t>
            </w:r>
          </w:p>
          <w:p w14:paraId="31B724A8">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坤肜（常州）实业发展有限公司成立于2019年12月27日，注册地位于常州西太湖科技产业园禾香路123号C区2073/2070号，法定代表人为曹宇杰。经营范围包括标准厂房建设、租赁与销售；建筑建设工程、园林绿化工程、建筑装饰装修工程、建筑智能化工程设计与施工；企业形象策划；商务信息咨询；从事信息科技领域内的技术咨询、技术转让、技术开发、技术服务；物业管理。（涉及国家特别管理措施的除外；依法须经批准的项目</w:t>
            </w:r>
            <w:r>
              <w:rPr>
                <w:rFonts w:hint="default" w:ascii="Times New Roman" w:hAnsi="Times New Roman" w:eastAsia="仿宋" w:cs="Times New Roman"/>
                <w:bCs/>
                <w:color w:val="auto"/>
                <w:sz w:val="24"/>
                <w:szCs w:val="24"/>
                <w:lang w:eastAsia="zh-CN"/>
              </w:rPr>
              <w:t>，</w:t>
            </w:r>
            <w:r>
              <w:rPr>
                <w:rFonts w:hint="default" w:ascii="Times New Roman" w:hAnsi="Times New Roman" w:eastAsia="仿宋" w:cs="Times New Roman"/>
                <w:bCs/>
                <w:color w:val="auto"/>
                <w:sz w:val="24"/>
                <w:szCs w:val="24"/>
              </w:rPr>
              <w:t>经相关部门批准后方可开展经营活动）。</w:t>
            </w:r>
          </w:p>
          <w:p w14:paraId="43F43AEB">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rPr>
              <w:t>坤肜（常州）实业发展有限公司</w:t>
            </w:r>
            <w:r>
              <w:rPr>
                <w:rFonts w:hint="default" w:ascii="Times New Roman" w:hAnsi="Times New Roman" w:eastAsia="仿宋" w:cs="Times New Roman"/>
                <w:bCs/>
                <w:color w:val="auto"/>
                <w:sz w:val="24"/>
                <w:szCs w:val="24"/>
                <w:lang w:val="en-US" w:eastAsia="zh-CN"/>
              </w:rPr>
              <w:t>于2020年1月16日申报了《坤鼎集团常州西太湖创新产业基地项目建设项目环境影响登记表》，备案号：202032041200000182。</w:t>
            </w:r>
          </w:p>
          <w:p w14:paraId="37330F5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坤肜（常州）实业发展有限公司</w:t>
            </w:r>
            <w:r>
              <w:rPr>
                <w:rFonts w:hint="default" w:ascii="Times New Roman" w:hAnsi="Times New Roman" w:eastAsia="仿宋" w:cs="Times New Roman"/>
                <w:bCs/>
                <w:color w:val="auto"/>
                <w:sz w:val="24"/>
                <w:szCs w:val="24"/>
                <w:lang w:val="en-US" w:eastAsia="zh-CN"/>
              </w:rPr>
              <w:t>仅进行厂房租赁与销售，不进行生产活动。</w:t>
            </w:r>
            <w:r>
              <w:rPr>
                <w:rFonts w:hint="default" w:ascii="Times New Roman" w:hAnsi="Times New Roman" w:eastAsia="仿宋" w:cs="Times New Roman"/>
                <w:color w:val="auto"/>
                <w:sz w:val="24"/>
                <w:szCs w:val="32"/>
              </w:rPr>
              <w:t>本项目为</w:t>
            </w:r>
            <w:r>
              <w:rPr>
                <w:rFonts w:hint="default" w:ascii="Times New Roman" w:hAnsi="Times New Roman" w:eastAsia="仿宋" w:cs="Times New Roman"/>
                <w:color w:val="auto"/>
                <w:sz w:val="24"/>
                <w:szCs w:val="32"/>
                <w:lang w:val="en-US" w:eastAsia="zh-CN"/>
              </w:rPr>
              <w:t>迁建</w:t>
            </w:r>
            <w:r>
              <w:rPr>
                <w:rFonts w:hint="default" w:ascii="Times New Roman" w:hAnsi="Times New Roman" w:eastAsia="仿宋" w:cs="Times New Roman"/>
                <w:color w:val="auto"/>
                <w:sz w:val="24"/>
                <w:szCs w:val="32"/>
              </w:rPr>
              <w:t>项</w:t>
            </w:r>
            <w:r>
              <w:rPr>
                <w:rFonts w:hint="default" w:ascii="Times New Roman" w:hAnsi="Times New Roman" w:eastAsia="仿宋" w:cs="Times New Roman"/>
                <w:bCs/>
                <w:color w:val="auto"/>
                <w:sz w:val="24"/>
                <w:szCs w:val="24"/>
              </w:rPr>
              <w:t>目，</w:t>
            </w:r>
            <w:r>
              <w:rPr>
                <w:rFonts w:hint="default" w:ascii="Times New Roman" w:hAnsi="Times New Roman" w:eastAsia="仿宋" w:cs="Times New Roman"/>
                <w:bCs/>
                <w:color w:val="auto"/>
                <w:sz w:val="24"/>
                <w:szCs w:val="24"/>
                <w:lang w:val="en-US" w:eastAsia="zh-CN"/>
              </w:rPr>
              <w:t>位于</w:t>
            </w:r>
            <w:r>
              <w:rPr>
                <w:rFonts w:hint="default" w:ascii="Times New Roman" w:hAnsi="Times New Roman" w:eastAsia="仿宋" w:cs="Times New Roman"/>
                <w:bCs/>
                <w:color w:val="auto"/>
                <w:sz w:val="24"/>
                <w:szCs w:val="24"/>
                <w:lang w:eastAsia="zh-CN"/>
              </w:rPr>
              <w:t>西湖街道长秀路8号，</w:t>
            </w:r>
            <w:r>
              <w:rPr>
                <w:rFonts w:hint="default" w:ascii="Times New Roman" w:hAnsi="Times New Roman" w:eastAsia="仿宋" w:cs="Times New Roman"/>
                <w:bCs/>
                <w:color w:val="auto"/>
                <w:sz w:val="24"/>
                <w:szCs w:val="24"/>
                <w:lang w:val="en-US" w:eastAsia="zh-CN"/>
              </w:rPr>
              <w:t>购置</w:t>
            </w:r>
            <w:r>
              <w:rPr>
                <w:rFonts w:hint="default" w:ascii="Times New Roman" w:hAnsi="Times New Roman" w:eastAsia="仿宋" w:cs="Times New Roman"/>
                <w:bCs/>
                <w:color w:val="auto"/>
                <w:sz w:val="24"/>
                <w:szCs w:val="24"/>
                <w:lang w:eastAsia="zh-CN"/>
              </w:rPr>
              <w:t>坤鼎常州创新产业基地</w:t>
            </w:r>
            <w:r>
              <w:rPr>
                <w:rFonts w:hint="default" w:ascii="Times New Roman" w:hAnsi="Times New Roman" w:eastAsia="仿宋" w:cs="Times New Roman"/>
                <w:bCs/>
                <w:color w:val="auto"/>
                <w:sz w:val="24"/>
                <w:szCs w:val="24"/>
                <w:lang w:val="en-US" w:eastAsia="zh-CN"/>
              </w:rPr>
              <w:t>9</w:t>
            </w:r>
            <w:r>
              <w:rPr>
                <w:rFonts w:hint="default" w:ascii="Times New Roman" w:hAnsi="Times New Roman" w:eastAsia="仿宋" w:cs="Times New Roman"/>
                <w:bCs/>
                <w:color w:val="auto"/>
                <w:sz w:val="24"/>
                <w:szCs w:val="24"/>
                <w:lang w:eastAsia="zh-CN"/>
              </w:rPr>
              <w:t>幢</w:t>
            </w:r>
            <w:r>
              <w:rPr>
                <w:rFonts w:hint="default" w:ascii="Times New Roman" w:hAnsi="Times New Roman" w:eastAsia="仿宋" w:cs="Times New Roman"/>
                <w:bCs/>
                <w:color w:val="auto"/>
                <w:sz w:val="24"/>
                <w:szCs w:val="24"/>
              </w:rPr>
              <w:t>闲置厂房进行</w:t>
            </w:r>
            <w:r>
              <w:rPr>
                <w:rFonts w:hint="default" w:ascii="Times New Roman" w:hAnsi="Times New Roman" w:eastAsia="仿宋" w:cs="Times New Roman"/>
                <w:bCs/>
                <w:color w:val="auto"/>
                <w:sz w:val="24"/>
                <w:szCs w:val="24"/>
                <w:lang w:val="en-US" w:eastAsia="zh-CN"/>
              </w:rPr>
              <w:t>生产</w:t>
            </w:r>
            <w:r>
              <w:rPr>
                <w:rFonts w:hint="eastAsia" w:ascii="Times New Roman" w:hAnsi="Times New Roman" w:eastAsia="仿宋" w:cs="Times New Roman"/>
                <w:bCs/>
                <w:color w:val="auto"/>
                <w:sz w:val="24"/>
                <w:szCs w:val="24"/>
                <w:lang w:val="en-US" w:eastAsia="zh-CN"/>
              </w:rPr>
              <w:t>，</w:t>
            </w:r>
            <w:r>
              <w:rPr>
                <w:rFonts w:hint="default" w:ascii="Times New Roman" w:hAnsi="Times New Roman" w:eastAsia="仿宋" w:cs="Times New Roman"/>
                <w:bCs/>
                <w:color w:val="auto"/>
                <w:sz w:val="24"/>
                <w:szCs w:val="24"/>
                <w:lang w:val="en-US" w:eastAsia="zh-CN"/>
              </w:rPr>
              <w:t>车间环境良好，无遗留环境问题</w:t>
            </w:r>
            <w:r>
              <w:rPr>
                <w:rFonts w:hint="default" w:ascii="Times New Roman" w:hAnsi="Times New Roman" w:eastAsia="仿宋" w:cs="Times New Roman"/>
                <w:bCs/>
                <w:color w:val="auto"/>
                <w:sz w:val="24"/>
                <w:szCs w:val="24"/>
              </w:rPr>
              <w:t>。</w:t>
            </w:r>
          </w:p>
          <w:p w14:paraId="10544ED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32"/>
              </w:rPr>
              <w:t>坤肜（常州）实业发展有限公司</w:t>
            </w:r>
            <w:r>
              <w:rPr>
                <w:rFonts w:hint="default" w:ascii="Times New Roman" w:hAnsi="Times New Roman" w:eastAsia="仿宋" w:cs="Times New Roman"/>
                <w:color w:val="auto"/>
                <w:sz w:val="24"/>
                <w:szCs w:val="32"/>
                <w:lang w:val="en-US" w:eastAsia="zh-CN"/>
              </w:rPr>
              <w:t>园</w:t>
            </w:r>
            <w:r>
              <w:rPr>
                <w:rFonts w:hint="default" w:ascii="Times New Roman" w:hAnsi="Times New Roman" w:eastAsia="仿宋" w:cs="Times New Roman"/>
                <w:color w:val="auto"/>
                <w:sz w:val="24"/>
                <w:szCs w:val="32"/>
              </w:rPr>
              <w:t>区内已按照“雨污分流”的原则进行建设，设置一个污水接管口和雨水排口。经与建设单位核实，本项目与坤肜（常州）实业发展有限公司依托关系如下：</w:t>
            </w:r>
          </w:p>
          <w:p w14:paraId="6B39BC81">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32"/>
              </w:rPr>
              <w:t>（1）经核实，本项目排放废水为生活污水，依托厂区污水管网，接入滨湖污水处理厂，尾水排入新京杭运河。</w:t>
            </w:r>
            <w:r>
              <w:rPr>
                <w:rFonts w:hint="default" w:ascii="Times New Roman" w:hAnsi="Times New Roman" w:eastAsia="仿宋" w:cs="Times New Roman"/>
                <w:bCs/>
                <w:color w:val="auto"/>
                <w:sz w:val="24"/>
                <w:szCs w:val="32"/>
              </w:rPr>
              <w:t>本项目废水汇入坤肜（常州）实业发展有限公司污水管网前需设置采样口及流量计，一旦出现废水超标现象即可明确责任主体，接入管网前需设置单独的采样井。</w:t>
            </w:r>
          </w:p>
          <w:p w14:paraId="088031D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32"/>
              </w:rPr>
              <w:t>（2）本项目不新增雨水管网和雨水排口，依托坤肜（常州）实业发展有限公司已有雨水管网及雨水排口。</w:t>
            </w:r>
          </w:p>
          <w:p w14:paraId="1C51376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32"/>
              </w:rPr>
              <w:t>（3）本项目供水、供电等基础设施均依托坤肜（常州）实业发展有限公司。</w:t>
            </w:r>
          </w:p>
          <w:p w14:paraId="7C79B471">
            <w:pPr>
              <w:adjustRightInd w:val="0"/>
              <w:snapToGrid w:val="0"/>
              <w:spacing w:line="360" w:lineRule="exact"/>
              <w:ind w:firstLine="420" w:firstLineChars="200"/>
              <w:rPr>
                <w:rFonts w:hint="default" w:ascii="Times New Roman" w:hAnsi="Times New Roman" w:eastAsia="仿宋" w:cs="Times New Roman"/>
                <w:bCs/>
                <w:color w:val="auto"/>
                <w:szCs w:val="21"/>
              </w:rPr>
            </w:pPr>
          </w:p>
          <w:p w14:paraId="3A43F462">
            <w:pPr>
              <w:pStyle w:val="2"/>
              <w:rPr>
                <w:rFonts w:hint="default" w:ascii="Times New Roman" w:hAnsi="Times New Roman" w:eastAsia="仿宋" w:cs="Times New Roman"/>
                <w:bCs/>
                <w:color w:val="auto"/>
                <w:szCs w:val="21"/>
              </w:rPr>
            </w:pPr>
          </w:p>
          <w:p w14:paraId="5CE2030B">
            <w:pPr>
              <w:pStyle w:val="3"/>
              <w:widowControl w:val="0"/>
              <w:numPr>
                <w:numId w:val="0"/>
              </w:numPr>
              <w:jc w:val="both"/>
              <w:rPr>
                <w:rFonts w:hint="default" w:ascii="Times New Roman" w:hAnsi="Times New Roman" w:eastAsia="仿宋" w:cs="Times New Roman"/>
                <w:bCs/>
                <w:color w:val="auto"/>
                <w:szCs w:val="21"/>
              </w:rPr>
            </w:pPr>
          </w:p>
          <w:p w14:paraId="0F3C9289">
            <w:pPr>
              <w:pStyle w:val="3"/>
              <w:widowControl w:val="0"/>
              <w:numPr>
                <w:numId w:val="0"/>
              </w:numPr>
              <w:jc w:val="both"/>
              <w:rPr>
                <w:rFonts w:hint="default" w:ascii="Times New Roman" w:hAnsi="Times New Roman" w:eastAsia="仿宋" w:cs="Times New Roman"/>
                <w:bCs/>
                <w:color w:val="auto"/>
                <w:szCs w:val="21"/>
              </w:rPr>
            </w:pPr>
          </w:p>
          <w:p w14:paraId="3EA437CB">
            <w:pPr>
              <w:pStyle w:val="3"/>
              <w:widowControl w:val="0"/>
              <w:numPr>
                <w:numId w:val="0"/>
              </w:numPr>
              <w:jc w:val="both"/>
              <w:rPr>
                <w:rFonts w:hint="default" w:ascii="Times New Roman" w:hAnsi="Times New Roman" w:eastAsia="仿宋" w:cs="Times New Roman"/>
                <w:bCs/>
                <w:color w:val="auto"/>
                <w:szCs w:val="21"/>
              </w:rPr>
            </w:pPr>
          </w:p>
          <w:p w14:paraId="71C74266">
            <w:pPr>
              <w:pStyle w:val="3"/>
              <w:widowControl w:val="0"/>
              <w:numPr>
                <w:numId w:val="0"/>
              </w:numPr>
              <w:jc w:val="both"/>
              <w:rPr>
                <w:rFonts w:hint="default" w:ascii="Times New Roman" w:hAnsi="Times New Roman" w:eastAsia="仿宋" w:cs="Times New Roman"/>
                <w:bCs/>
                <w:color w:val="auto"/>
                <w:szCs w:val="21"/>
              </w:rPr>
            </w:pPr>
          </w:p>
          <w:p w14:paraId="3CDE8759">
            <w:pPr>
              <w:pStyle w:val="3"/>
              <w:widowControl w:val="0"/>
              <w:numPr>
                <w:numId w:val="0"/>
              </w:numPr>
              <w:jc w:val="both"/>
              <w:rPr>
                <w:rFonts w:hint="default" w:ascii="Times New Roman" w:hAnsi="Times New Roman" w:eastAsia="仿宋" w:cs="Times New Roman"/>
                <w:bCs/>
                <w:color w:val="auto"/>
                <w:szCs w:val="21"/>
              </w:rPr>
            </w:pPr>
          </w:p>
          <w:p w14:paraId="1E8762FD">
            <w:pPr>
              <w:pStyle w:val="3"/>
              <w:widowControl w:val="0"/>
              <w:numPr>
                <w:numId w:val="0"/>
              </w:numPr>
              <w:jc w:val="both"/>
              <w:rPr>
                <w:rFonts w:hint="default" w:ascii="Times New Roman" w:hAnsi="Times New Roman" w:eastAsia="仿宋" w:cs="Times New Roman"/>
                <w:bCs/>
                <w:color w:val="auto"/>
                <w:szCs w:val="21"/>
              </w:rPr>
            </w:pPr>
          </w:p>
          <w:p w14:paraId="625141F2">
            <w:pPr>
              <w:pStyle w:val="3"/>
              <w:widowControl w:val="0"/>
              <w:numPr>
                <w:numId w:val="0"/>
              </w:numPr>
              <w:jc w:val="both"/>
              <w:rPr>
                <w:rFonts w:hint="default" w:ascii="Times New Roman" w:hAnsi="Times New Roman" w:eastAsia="仿宋" w:cs="Times New Roman"/>
                <w:bCs/>
                <w:color w:val="auto"/>
                <w:szCs w:val="21"/>
              </w:rPr>
            </w:pPr>
          </w:p>
          <w:p w14:paraId="26437C91">
            <w:pPr>
              <w:pStyle w:val="3"/>
              <w:widowControl w:val="0"/>
              <w:numPr>
                <w:numId w:val="0"/>
              </w:numPr>
              <w:jc w:val="both"/>
              <w:rPr>
                <w:rFonts w:hint="default" w:ascii="Times New Roman" w:hAnsi="Times New Roman" w:eastAsia="仿宋" w:cs="Times New Roman"/>
                <w:bCs/>
                <w:color w:val="auto"/>
                <w:szCs w:val="21"/>
              </w:rPr>
            </w:pPr>
          </w:p>
          <w:p w14:paraId="77F9EDFC">
            <w:pPr>
              <w:pStyle w:val="3"/>
              <w:widowControl w:val="0"/>
              <w:numPr>
                <w:numId w:val="0"/>
              </w:numPr>
              <w:jc w:val="both"/>
              <w:rPr>
                <w:rFonts w:hint="default" w:ascii="Times New Roman" w:hAnsi="Times New Roman" w:eastAsia="仿宋" w:cs="Times New Roman"/>
                <w:bCs/>
                <w:color w:val="auto"/>
                <w:szCs w:val="21"/>
              </w:rPr>
            </w:pPr>
          </w:p>
          <w:p w14:paraId="209E58A1">
            <w:pPr>
              <w:pStyle w:val="3"/>
              <w:widowControl w:val="0"/>
              <w:numPr>
                <w:numId w:val="0"/>
              </w:numPr>
              <w:jc w:val="both"/>
              <w:rPr>
                <w:rFonts w:hint="default" w:ascii="Times New Roman" w:hAnsi="Times New Roman" w:eastAsia="仿宋" w:cs="Times New Roman"/>
                <w:bCs/>
                <w:color w:val="auto"/>
                <w:szCs w:val="21"/>
              </w:rPr>
            </w:pPr>
          </w:p>
          <w:p w14:paraId="66D10209">
            <w:pPr>
              <w:pStyle w:val="3"/>
              <w:widowControl w:val="0"/>
              <w:numPr>
                <w:numId w:val="0"/>
              </w:numPr>
              <w:jc w:val="both"/>
              <w:rPr>
                <w:rFonts w:hint="default" w:ascii="Times New Roman" w:hAnsi="Times New Roman" w:eastAsia="仿宋" w:cs="Times New Roman"/>
                <w:bCs/>
                <w:color w:val="auto"/>
                <w:szCs w:val="21"/>
              </w:rPr>
            </w:pPr>
          </w:p>
          <w:p w14:paraId="494E78AE">
            <w:pPr>
              <w:pStyle w:val="3"/>
              <w:widowControl w:val="0"/>
              <w:numPr>
                <w:numId w:val="0"/>
              </w:numPr>
              <w:jc w:val="both"/>
              <w:rPr>
                <w:rFonts w:hint="default" w:ascii="Times New Roman" w:hAnsi="Times New Roman" w:eastAsia="仿宋" w:cs="Times New Roman"/>
                <w:bCs/>
                <w:color w:val="auto"/>
                <w:szCs w:val="21"/>
              </w:rPr>
            </w:pPr>
          </w:p>
          <w:p w14:paraId="5AE8C628">
            <w:pPr>
              <w:pStyle w:val="3"/>
              <w:widowControl w:val="0"/>
              <w:numPr>
                <w:numId w:val="0"/>
              </w:numPr>
              <w:jc w:val="both"/>
              <w:rPr>
                <w:rFonts w:hint="default" w:ascii="Times New Roman" w:hAnsi="Times New Roman" w:eastAsia="仿宋" w:cs="Times New Roman"/>
                <w:bCs/>
                <w:color w:val="auto"/>
                <w:szCs w:val="21"/>
              </w:rPr>
            </w:pPr>
          </w:p>
          <w:p w14:paraId="5FE64A5F">
            <w:pPr>
              <w:pStyle w:val="3"/>
              <w:widowControl w:val="0"/>
              <w:numPr>
                <w:numId w:val="0"/>
              </w:numPr>
              <w:jc w:val="both"/>
              <w:rPr>
                <w:rFonts w:hint="default" w:ascii="Times New Roman" w:hAnsi="Times New Roman" w:eastAsia="仿宋" w:cs="Times New Roman"/>
                <w:bCs/>
                <w:color w:val="auto"/>
                <w:szCs w:val="21"/>
              </w:rPr>
            </w:pPr>
          </w:p>
          <w:p w14:paraId="258B8DBC">
            <w:pPr>
              <w:pStyle w:val="3"/>
              <w:widowControl w:val="0"/>
              <w:numPr>
                <w:numId w:val="0"/>
              </w:numPr>
              <w:jc w:val="both"/>
              <w:rPr>
                <w:rFonts w:hint="default" w:ascii="Times New Roman" w:hAnsi="Times New Roman" w:eastAsia="仿宋" w:cs="Times New Roman"/>
                <w:bCs/>
                <w:color w:val="auto"/>
                <w:szCs w:val="21"/>
              </w:rPr>
            </w:pPr>
          </w:p>
          <w:p w14:paraId="5FC954EF">
            <w:pPr>
              <w:pStyle w:val="3"/>
              <w:widowControl w:val="0"/>
              <w:numPr>
                <w:numId w:val="0"/>
              </w:numPr>
              <w:jc w:val="both"/>
              <w:rPr>
                <w:rFonts w:hint="default" w:ascii="Times New Roman" w:hAnsi="Times New Roman" w:eastAsia="仿宋" w:cs="Times New Roman"/>
                <w:bCs/>
                <w:color w:val="auto"/>
                <w:szCs w:val="21"/>
              </w:rPr>
            </w:pPr>
          </w:p>
          <w:p w14:paraId="75EA9234">
            <w:pPr>
              <w:pStyle w:val="3"/>
              <w:widowControl w:val="0"/>
              <w:numPr>
                <w:numId w:val="0"/>
              </w:numPr>
              <w:jc w:val="both"/>
              <w:rPr>
                <w:rFonts w:hint="default" w:ascii="Times New Roman" w:hAnsi="Times New Roman" w:eastAsia="仿宋" w:cs="Times New Roman"/>
                <w:bCs/>
                <w:color w:val="auto"/>
                <w:szCs w:val="21"/>
              </w:rPr>
            </w:pPr>
          </w:p>
          <w:p w14:paraId="383E0D14">
            <w:pPr>
              <w:pStyle w:val="3"/>
              <w:widowControl w:val="0"/>
              <w:numPr>
                <w:numId w:val="0"/>
              </w:numPr>
              <w:jc w:val="both"/>
              <w:rPr>
                <w:rFonts w:hint="default" w:ascii="Times New Roman" w:hAnsi="Times New Roman" w:eastAsia="仿宋" w:cs="Times New Roman"/>
                <w:bCs/>
                <w:color w:val="auto"/>
                <w:szCs w:val="21"/>
              </w:rPr>
            </w:pPr>
          </w:p>
          <w:p w14:paraId="6ED34DAF">
            <w:pPr>
              <w:pStyle w:val="3"/>
              <w:widowControl w:val="0"/>
              <w:numPr>
                <w:numId w:val="0"/>
              </w:numPr>
              <w:jc w:val="both"/>
              <w:rPr>
                <w:rFonts w:hint="default" w:ascii="Times New Roman" w:hAnsi="Times New Roman" w:eastAsia="仿宋" w:cs="Times New Roman"/>
                <w:bCs/>
                <w:color w:val="auto"/>
                <w:szCs w:val="21"/>
              </w:rPr>
            </w:pPr>
          </w:p>
          <w:p w14:paraId="038F0779">
            <w:pPr>
              <w:pStyle w:val="3"/>
              <w:widowControl w:val="0"/>
              <w:numPr>
                <w:numId w:val="0"/>
              </w:numPr>
              <w:jc w:val="both"/>
              <w:rPr>
                <w:rFonts w:hint="default" w:ascii="Times New Roman" w:hAnsi="Times New Roman" w:eastAsia="仿宋" w:cs="Times New Roman"/>
                <w:bCs/>
                <w:color w:val="auto"/>
                <w:szCs w:val="21"/>
              </w:rPr>
            </w:pPr>
          </w:p>
          <w:p w14:paraId="480BD780">
            <w:pPr>
              <w:pStyle w:val="3"/>
              <w:widowControl w:val="0"/>
              <w:numPr>
                <w:numId w:val="0"/>
              </w:numPr>
              <w:jc w:val="both"/>
              <w:rPr>
                <w:rFonts w:hint="default" w:ascii="Times New Roman" w:hAnsi="Times New Roman" w:eastAsia="仿宋" w:cs="Times New Roman"/>
                <w:bCs/>
                <w:color w:val="auto"/>
                <w:szCs w:val="21"/>
              </w:rPr>
            </w:pPr>
          </w:p>
          <w:p w14:paraId="64244D83">
            <w:pPr>
              <w:pStyle w:val="3"/>
              <w:widowControl w:val="0"/>
              <w:numPr>
                <w:numId w:val="0"/>
              </w:numPr>
              <w:jc w:val="both"/>
              <w:rPr>
                <w:rFonts w:hint="default" w:ascii="Times New Roman" w:hAnsi="Times New Roman" w:eastAsia="仿宋" w:cs="Times New Roman"/>
                <w:bCs/>
                <w:color w:val="auto"/>
                <w:szCs w:val="21"/>
              </w:rPr>
            </w:pPr>
          </w:p>
          <w:p w14:paraId="1B6EB20D">
            <w:pPr>
              <w:pStyle w:val="3"/>
              <w:widowControl w:val="0"/>
              <w:numPr>
                <w:numId w:val="0"/>
              </w:numPr>
              <w:jc w:val="both"/>
              <w:rPr>
                <w:rFonts w:hint="default" w:ascii="Times New Roman" w:hAnsi="Times New Roman" w:eastAsia="仿宋" w:cs="Times New Roman"/>
                <w:bCs/>
                <w:color w:val="auto"/>
                <w:szCs w:val="21"/>
              </w:rPr>
            </w:pPr>
          </w:p>
          <w:p w14:paraId="35FF4109">
            <w:pPr>
              <w:pStyle w:val="3"/>
              <w:widowControl w:val="0"/>
              <w:numPr>
                <w:numId w:val="0"/>
              </w:numPr>
              <w:jc w:val="both"/>
              <w:rPr>
                <w:rFonts w:hint="default" w:ascii="Times New Roman" w:hAnsi="Times New Roman" w:eastAsia="仿宋" w:cs="Times New Roman"/>
                <w:bCs/>
                <w:color w:val="auto"/>
                <w:szCs w:val="21"/>
              </w:rPr>
            </w:pPr>
          </w:p>
          <w:p w14:paraId="72FAE5C8">
            <w:pPr>
              <w:pStyle w:val="3"/>
              <w:widowControl w:val="0"/>
              <w:numPr>
                <w:numId w:val="0"/>
              </w:numPr>
              <w:jc w:val="both"/>
              <w:rPr>
                <w:rFonts w:hint="default" w:ascii="Times New Roman" w:hAnsi="Times New Roman" w:eastAsia="仿宋" w:cs="Times New Roman"/>
                <w:bCs/>
                <w:color w:val="auto"/>
                <w:szCs w:val="21"/>
              </w:rPr>
            </w:pPr>
          </w:p>
          <w:p w14:paraId="3DAACE7C">
            <w:pPr>
              <w:pStyle w:val="3"/>
              <w:widowControl w:val="0"/>
              <w:numPr>
                <w:numId w:val="0"/>
              </w:numPr>
              <w:jc w:val="both"/>
              <w:rPr>
                <w:rFonts w:hint="default" w:ascii="Times New Roman" w:hAnsi="Times New Roman" w:eastAsia="仿宋" w:cs="Times New Roman"/>
                <w:bCs/>
                <w:color w:val="auto"/>
                <w:szCs w:val="21"/>
              </w:rPr>
            </w:pPr>
          </w:p>
          <w:p w14:paraId="0A7170AC">
            <w:pPr>
              <w:pStyle w:val="3"/>
              <w:widowControl w:val="0"/>
              <w:numPr>
                <w:numId w:val="0"/>
              </w:numPr>
              <w:jc w:val="both"/>
              <w:rPr>
                <w:rFonts w:hint="default" w:ascii="Times New Roman" w:hAnsi="Times New Roman" w:eastAsia="仿宋" w:cs="Times New Roman"/>
                <w:bCs/>
                <w:color w:val="auto"/>
                <w:szCs w:val="21"/>
              </w:rPr>
            </w:pPr>
          </w:p>
          <w:p w14:paraId="74DA1B57">
            <w:pPr>
              <w:pStyle w:val="3"/>
              <w:widowControl w:val="0"/>
              <w:numPr>
                <w:numId w:val="0"/>
              </w:numPr>
              <w:jc w:val="both"/>
              <w:rPr>
                <w:rFonts w:hint="default" w:ascii="Times New Roman" w:hAnsi="Times New Roman" w:eastAsia="仿宋" w:cs="Times New Roman"/>
                <w:bCs/>
                <w:color w:val="auto"/>
                <w:szCs w:val="21"/>
              </w:rPr>
            </w:pPr>
          </w:p>
          <w:p w14:paraId="69257902">
            <w:pPr>
              <w:pStyle w:val="3"/>
              <w:widowControl w:val="0"/>
              <w:numPr>
                <w:numId w:val="0"/>
              </w:numPr>
              <w:jc w:val="both"/>
              <w:rPr>
                <w:rFonts w:hint="default" w:ascii="Times New Roman" w:hAnsi="Times New Roman" w:eastAsia="仿宋" w:cs="Times New Roman"/>
                <w:bCs/>
                <w:color w:val="auto"/>
                <w:szCs w:val="21"/>
              </w:rPr>
            </w:pPr>
          </w:p>
          <w:p w14:paraId="696529D3">
            <w:pPr>
              <w:pStyle w:val="3"/>
              <w:widowControl w:val="0"/>
              <w:numPr>
                <w:numId w:val="0"/>
              </w:numPr>
              <w:jc w:val="both"/>
              <w:rPr>
                <w:rFonts w:hint="default" w:ascii="Times New Roman" w:hAnsi="Times New Roman" w:eastAsia="仿宋" w:cs="Times New Roman"/>
                <w:bCs/>
                <w:color w:val="auto"/>
                <w:szCs w:val="21"/>
              </w:rPr>
            </w:pPr>
          </w:p>
          <w:p w14:paraId="6FE07F29">
            <w:pPr>
              <w:pStyle w:val="3"/>
              <w:widowControl w:val="0"/>
              <w:numPr>
                <w:numId w:val="0"/>
              </w:numPr>
              <w:jc w:val="both"/>
              <w:rPr>
                <w:rFonts w:hint="default" w:ascii="Times New Roman" w:hAnsi="Times New Roman" w:eastAsia="仿宋" w:cs="Times New Roman"/>
                <w:bCs/>
                <w:color w:val="auto"/>
                <w:szCs w:val="21"/>
              </w:rPr>
            </w:pPr>
          </w:p>
          <w:p w14:paraId="7E743620">
            <w:pPr>
              <w:pStyle w:val="3"/>
              <w:widowControl w:val="0"/>
              <w:numPr>
                <w:numId w:val="0"/>
              </w:numPr>
              <w:jc w:val="both"/>
              <w:rPr>
                <w:rFonts w:hint="default" w:ascii="Times New Roman" w:hAnsi="Times New Roman" w:eastAsia="仿宋" w:cs="Times New Roman"/>
                <w:bCs/>
                <w:color w:val="auto"/>
                <w:szCs w:val="21"/>
              </w:rPr>
            </w:pPr>
          </w:p>
          <w:p w14:paraId="6E8C2C8C">
            <w:pPr>
              <w:pStyle w:val="3"/>
              <w:widowControl w:val="0"/>
              <w:numPr>
                <w:numId w:val="0"/>
              </w:numPr>
              <w:jc w:val="both"/>
              <w:rPr>
                <w:rFonts w:hint="default" w:ascii="Times New Roman" w:hAnsi="Times New Roman" w:eastAsia="仿宋" w:cs="Times New Roman"/>
                <w:bCs/>
                <w:color w:val="auto"/>
                <w:szCs w:val="21"/>
              </w:rPr>
            </w:pPr>
          </w:p>
          <w:p w14:paraId="6CBDA09D">
            <w:pPr>
              <w:pStyle w:val="3"/>
              <w:widowControl w:val="0"/>
              <w:numPr>
                <w:numId w:val="0"/>
              </w:numPr>
              <w:jc w:val="both"/>
              <w:rPr>
                <w:rFonts w:hint="default" w:ascii="Times New Roman" w:hAnsi="Times New Roman" w:eastAsia="仿宋" w:cs="Times New Roman"/>
                <w:bCs/>
                <w:color w:val="auto"/>
                <w:szCs w:val="21"/>
              </w:rPr>
            </w:pPr>
          </w:p>
          <w:p w14:paraId="4BCCF71C">
            <w:pPr>
              <w:pStyle w:val="3"/>
              <w:widowControl w:val="0"/>
              <w:numPr>
                <w:numId w:val="0"/>
              </w:numPr>
              <w:jc w:val="both"/>
              <w:rPr>
                <w:rFonts w:hint="default" w:ascii="Times New Roman" w:hAnsi="Times New Roman" w:eastAsia="仿宋" w:cs="Times New Roman"/>
                <w:bCs/>
                <w:color w:val="auto"/>
                <w:szCs w:val="21"/>
              </w:rPr>
            </w:pPr>
          </w:p>
          <w:p w14:paraId="1129BA05">
            <w:pPr>
              <w:pStyle w:val="3"/>
              <w:widowControl w:val="0"/>
              <w:numPr>
                <w:numId w:val="0"/>
              </w:numPr>
              <w:jc w:val="both"/>
              <w:rPr>
                <w:rFonts w:hint="default" w:ascii="Times New Roman" w:hAnsi="Times New Roman" w:eastAsia="仿宋" w:cs="Times New Roman"/>
                <w:bCs/>
                <w:color w:val="auto"/>
                <w:szCs w:val="21"/>
              </w:rPr>
            </w:pPr>
          </w:p>
          <w:p w14:paraId="65FC8BAB">
            <w:pPr>
              <w:adjustRightInd w:val="0"/>
              <w:snapToGrid w:val="0"/>
              <w:spacing w:line="360" w:lineRule="exact"/>
              <w:ind w:firstLine="420" w:firstLineChars="200"/>
              <w:rPr>
                <w:rFonts w:hint="default" w:ascii="Times New Roman" w:hAnsi="Times New Roman" w:eastAsia="仿宋" w:cs="Times New Roman"/>
                <w:bCs/>
                <w:color w:val="auto"/>
                <w:szCs w:val="21"/>
              </w:rPr>
            </w:pPr>
          </w:p>
          <w:p w14:paraId="3F9F7FB8">
            <w:pPr>
              <w:adjustRightInd w:val="0"/>
              <w:snapToGrid w:val="0"/>
              <w:spacing w:line="360" w:lineRule="exact"/>
              <w:ind w:firstLine="420" w:firstLineChars="200"/>
              <w:rPr>
                <w:rFonts w:hint="default" w:ascii="Times New Roman" w:hAnsi="Times New Roman" w:eastAsia="仿宋" w:cs="Times New Roman"/>
                <w:bCs/>
                <w:color w:val="auto"/>
                <w:szCs w:val="21"/>
              </w:rPr>
            </w:pPr>
          </w:p>
          <w:p w14:paraId="75E4617B">
            <w:pPr>
              <w:adjustRightInd w:val="0"/>
              <w:snapToGrid w:val="0"/>
              <w:spacing w:line="360" w:lineRule="exact"/>
              <w:ind w:firstLine="420" w:firstLineChars="200"/>
              <w:rPr>
                <w:rFonts w:hint="default" w:ascii="Times New Roman" w:hAnsi="Times New Roman" w:eastAsia="仿宋" w:cs="Times New Roman"/>
                <w:bCs/>
                <w:color w:val="auto"/>
                <w:szCs w:val="21"/>
              </w:rPr>
            </w:pPr>
          </w:p>
          <w:p w14:paraId="2D6C6207">
            <w:pPr>
              <w:adjustRightInd w:val="0"/>
              <w:snapToGrid w:val="0"/>
              <w:spacing w:line="360" w:lineRule="exact"/>
              <w:rPr>
                <w:rFonts w:hint="default" w:ascii="Times New Roman" w:hAnsi="Times New Roman" w:eastAsia="仿宋" w:cs="Times New Roman"/>
                <w:bCs/>
                <w:color w:val="auto"/>
                <w:szCs w:val="21"/>
              </w:rPr>
            </w:pPr>
          </w:p>
          <w:p w14:paraId="67EC8479">
            <w:pPr>
              <w:adjustRightInd w:val="0"/>
              <w:snapToGrid w:val="0"/>
              <w:spacing w:line="360" w:lineRule="exact"/>
              <w:rPr>
                <w:rFonts w:hint="default" w:ascii="Times New Roman" w:hAnsi="Times New Roman" w:eastAsia="仿宋" w:cs="Times New Roman"/>
                <w:color w:val="auto"/>
                <w:kern w:val="0"/>
              </w:rPr>
            </w:pPr>
          </w:p>
        </w:tc>
      </w:tr>
    </w:tbl>
    <w:p w14:paraId="0605710C">
      <w:pPr>
        <w:rPr>
          <w:rFonts w:hint="default" w:ascii="Times New Roman" w:hAnsi="Times New Roman" w:eastAsia="仿宋"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41F9AB50">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0"/>
          <w:szCs w:val="30"/>
        </w:rPr>
        <w:t>三、区域环境质量现状、环境保护目标及评价标准</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8509"/>
      </w:tblGrid>
      <w:tr w14:paraId="405B9F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583" w:type="dxa"/>
            <w:tcBorders>
              <w:top w:val="single" w:color="auto" w:sz="4" w:space="0"/>
              <w:left w:val="single" w:color="auto" w:sz="4" w:space="0"/>
            </w:tcBorders>
            <w:noWrap w:val="0"/>
            <w:vAlign w:val="center"/>
          </w:tcPr>
          <w:p w14:paraId="2780D186">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区域</w:t>
            </w:r>
          </w:p>
          <w:p w14:paraId="195F04A1">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环境</w:t>
            </w:r>
          </w:p>
          <w:p w14:paraId="4B17ADFA">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质量</w:t>
            </w:r>
          </w:p>
          <w:p w14:paraId="539F9F83">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现状</w:t>
            </w:r>
          </w:p>
        </w:tc>
        <w:tc>
          <w:tcPr>
            <w:tcW w:w="8478" w:type="dxa"/>
            <w:tcBorders>
              <w:top w:val="single" w:color="auto" w:sz="4" w:space="0"/>
              <w:right w:val="single" w:color="auto" w:sz="4" w:space="0"/>
            </w:tcBorders>
            <w:noWrap w:val="0"/>
            <w:vAlign w:val="center"/>
          </w:tcPr>
          <w:p w14:paraId="4D1D8F71">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1、大气环境</w:t>
            </w:r>
          </w:p>
          <w:p w14:paraId="27AA80A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（1）区域达标判定</w:t>
            </w:r>
          </w:p>
          <w:p w14:paraId="5DFBF5C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根据《环境影响评价技术导则 大气环境》（HJ2.2-2018），项目所在区域达标情况判定优先采用国家或地方生态环境主管部门公开发布的环境质量报告或环境质量报告书中的数据或结论。</w:t>
            </w:r>
          </w:p>
          <w:p w14:paraId="7910DC4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本次评价选取202</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年作为评价基准年，</w:t>
            </w:r>
            <w:r>
              <w:rPr>
                <w:rFonts w:hint="default" w:ascii="Times New Roman" w:hAnsi="Times New Roman" w:eastAsia="仿宋" w:cs="Times New Roman"/>
                <w:color w:val="auto"/>
                <w:sz w:val="24"/>
                <w:szCs w:val="24"/>
                <w:lang w:val="en-US" w:eastAsia="zh-CN"/>
              </w:rPr>
              <w:t>根据</w:t>
            </w:r>
            <w:r>
              <w:rPr>
                <w:rFonts w:hint="default" w:ascii="Times New Roman" w:hAnsi="Times New Roman" w:eastAsia="仿宋" w:cs="Times New Roman"/>
                <w:color w:val="auto"/>
                <w:sz w:val="24"/>
                <w:szCs w:val="24"/>
              </w:rPr>
              <w:t>《202</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常州市生态环境状况公报》，常州市区大气基本污染物环境质量现状见表3-</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w:t>
            </w:r>
          </w:p>
          <w:p w14:paraId="45DBF6B5">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default" w:ascii="Times New Roman" w:hAnsi="Times New Roman" w:eastAsia="仿宋" w:cs="Times New Roman"/>
                <w:b/>
                <w:color w:val="auto"/>
                <w:szCs w:val="21"/>
                <w:lang w:val="en-US" w:eastAsia="zh-CN"/>
              </w:rPr>
              <w:t>1</w:t>
            </w:r>
            <w:r>
              <w:rPr>
                <w:rFonts w:hint="default" w:ascii="Times New Roman" w:hAnsi="Times New Roman" w:eastAsia="仿宋" w:cs="Times New Roman"/>
                <w:b/>
                <w:color w:val="auto"/>
                <w:szCs w:val="21"/>
              </w:rPr>
              <w:t xml:space="preserve"> </w:t>
            </w:r>
            <w:r>
              <w:rPr>
                <w:rFonts w:hint="eastAsia" w:eastAsia="仿宋" w:cs="Times New Roman"/>
                <w:b/>
                <w:color w:val="auto"/>
                <w:szCs w:val="21"/>
                <w:lang w:val="en-US" w:eastAsia="zh-CN"/>
              </w:rPr>
              <w:t xml:space="preserve"> </w:t>
            </w:r>
            <w:r>
              <w:rPr>
                <w:rFonts w:hint="default" w:ascii="Times New Roman" w:hAnsi="Times New Roman" w:eastAsia="仿宋" w:cs="Times New Roman"/>
                <w:b/>
                <w:color w:val="auto"/>
                <w:szCs w:val="21"/>
              </w:rPr>
              <w:t>常州市区大气基本污染物环境质量现状</w:t>
            </w:r>
          </w:p>
          <w:tbl>
            <w:tblPr>
              <w:tblStyle w:val="24"/>
              <w:tblW w:w="829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2507"/>
              <w:gridCol w:w="1881"/>
              <w:gridCol w:w="1163"/>
              <w:gridCol w:w="845"/>
              <w:gridCol w:w="1020"/>
            </w:tblGrid>
            <w:tr w14:paraId="45027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14:paraId="1C0893A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w:t>
                  </w:r>
                </w:p>
              </w:tc>
              <w:tc>
                <w:tcPr>
                  <w:tcW w:w="2551" w:type="dxa"/>
                  <w:noWrap w:val="0"/>
                  <w:vAlign w:val="center"/>
                </w:tcPr>
                <w:p w14:paraId="35F6AC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评价指标</w:t>
                  </w:r>
                </w:p>
              </w:tc>
              <w:tc>
                <w:tcPr>
                  <w:tcW w:w="1896" w:type="dxa"/>
                  <w:noWrap w:val="0"/>
                  <w:vAlign w:val="center"/>
                </w:tcPr>
                <w:p w14:paraId="63738B2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现状浓度</w:t>
                  </w:r>
                </w:p>
                <w:p w14:paraId="575F64E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lang w:eastAsia="zh-CN"/>
                    </w:rPr>
                    <w:t>（</w:t>
                  </w:r>
                  <w:r>
                    <w:rPr>
                      <w:rFonts w:hint="default" w:ascii="Times New Roman" w:hAnsi="Times New Roman" w:eastAsia="仿宋" w:cs="Times New Roman"/>
                      <w:b/>
                      <w:bCs/>
                      <w:color w:val="auto"/>
                    </w:rPr>
                    <w:t>μg/m</w:t>
                  </w:r>
                  <w:r>
                    <w:rPr>
                      <w:rFonts w:hint="default" w:ascii="Times New Roman" w:hAnsi="Times New Roman" w:eastAsia="仿宋" w:cs="Times New Roman"/>
                      <w:b/>
                      <w:bCs/>
                      <w:color w:val="auto"/>
                      <w:vertAlign w:val="superscript"/>
                    </w:rPr>
                    <w:t>3</w:t>
                  </w:r>
                  <w:r>
                    <w:rPr>
                      <w:rFonts w:hint="default" w:ascii="Times New Roman" w:hAnsi="Times New Roman" w:eastAsia="仿宋" w:cs="Times New Roman"/>
                      <w:b/>
                      <w:bCs/>
                      <w:color w:val="auto"/>
                      <w:lang w:eastAsia="zh-CN"/>
                    </w:rPr>
                    <w:t>）</w:t>
                  </w:r>
                </w:p>
              </w:tc>
              <w:tc>
                <w:tcPr>
                  <w:tcW w:w="1081" w:type="dxa"/>
                  <w:noWrap w:val="0"/>
                  <w:vAlign w:val="center"/>
                </w:tcPr>
                <w:p w14:paraId="5BA6A7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标准值</w:t>
                  </w:r>
                  <w:r>
                    <w:rPr>
                      <w:rFonts w:hint="default" w:ascii="Times New Roman" w:hAnsi="Times New Roman" w:eastAsia="仿宋" w:cs="Times New Roman"/>
                      <w:b/>
                      <w:bCs/>
                      <w:color w:val="auto"/>
                      <w:lang w:eastAsia="zh-CN"/>
                    </w:rPr>
                    <w:t>（</w:t>
                  </w:r>
                  <w:r>
                    <w:rPr>
                      <w:rFonts w:hint="default" w:ascii="Times New Roman" w:hAnsi="Times New Roman" w:eastAsia="仿宋" w:cs="Times New Roman"/>
                      <w:b/>
                      <w:bCs/>
                      <w:color w:val="auto"/>
                    </w:rPr>
                    <w:t>μg/m</w:t>
                  </w:r>
                  <w:r>
                    <w:rPr>
                      <w:rFonts w:hint="default" w:ascii="Times New Roman" w:hAnsi="Times New Roman" w:eastAsia="仿宋" w:cs="Times New Roman"/>
                      <w:b/>
                      <w:bCs/>
                      <w:color w:val="auto"/>
                      <w:vertAlign w:val="superscript"/>
                    </w:rPr>
                    <w:t>3</w:t>
                  </w:r>
                  <w:r>
                    <w:rPr>
                      <w:rFonts w:hint="default" w:ascii="Times New Roman" w:hAnsi="Times New Roman" w:eastAsia="仿宋" w:cs="Times New Roman"/>
                      <w:b/>
                      <w:bCs/>
                      <w:color w:val="auto"/>
                      <w:lang w:eastAsia="zh-CN"/>
                    </w:rPr>
                    <w:t>）</w:t>
                  </w:r>
                </w:p>
              </w:tc>
              <w:tc>
                <w:tcPr>
                  <w:tcW w:w="851" w:type="dxa"/>
                  <w:noWrap w:val="0"/>
                  <w:vAlign w:val="center"/>
                </w:tcPr>
                <w:p w14:paraId="758165C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达标率</w:t>
                  </w:r>
                </w:p>
                <w:p w14:paraId="41EBEF6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w:t>
                  </w:r>
                </w:p>
              </w:tc>
              <w:tc>
                <w:tcPr>
                  <w:tcW w:w="1033" w:type="dxa"/>
                  <w:noWrap w:val="0"/>
                  <w:vAlign w:val="center"/>
                </w:tcPr>
                <w:p w14:paraId="0E69D4C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达标</w:t>
                  </w:r>
                </w:p>
                <w:p w14:paraId="36D171E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情况</w:t>
                  </w:r>
                </w:p>
              </w:tc>
            </w:tr>
            <w:tr w14:paraId="497EEA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14:paraId="055FEC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SO</w:t>
                  </w:r>
                  <w:r>
                    <w:rPr>
                      <w:rFonts w:hint="default" w:ascii="Times New Roman" w:hAnsi="Times New Roman" w:eastAsia="仿宋" w:cs="Times New Roman"/>
                      <w:color w:val="auto"/>
                      <w:szCs w:val="21"/>
                      <w:vertAlign w:val="subscript"/>
                    </w:rPr>
                    <w:t>2</w:t>
                  </w:r>
                </w:p>
              </w:tc>
              <w:tc>
                <w:tcPr>
                  <w:tcW w:w="2551" w:type="dxa"/>
                  <w:noWrap w:val="0"/>
                  <w:vAlign w:val="center"/>
                </w:tcPr>
                <w:p w14:paraId="36D6C57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年平均质量浓度</w:t>
                  </w:r>
                </w:p>
              </w:tc>
              <w:tc>
                <w:tcPr>
                  <w:tcW w:w="1896" w:type="dxa"/>
                  <w:noWrap w:val="0"/>
                  <w:vAlign w:val="center"/>
                </w:tcPr>
                <w:p w14:paraId="418FFCD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8</w:t>
                  </w:r>
                </w:p>
              </w:tc>
              <w:tc>
                <w:tcPr>
                  <w:tcW w:w="1081" w:type="dxa"/>
                  <w:noWrap w:val="0"/>
                  <w:vAlign w:val="center"/>
                </w:tcPr>
                <w:p w14:paraId="24AE2C5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60</w:t>
                  </w:r>
                </w:p>
              </w:tc>
              <w:tc>
                <w:tcPr>
                  <w:tcW w:w="851" w:type="dxa"/>
                  <w:noWrap w:val="0"/>
                  <w:vAlign w:val="center"/>
                </w:tcPr>
                <w:p w14:paraId="1789196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restart"/>
                  <w:noWrap w:val="0"/>
                  <w:vAlign w:val="center"/>
                </w:tcPr>
                <w:p w14:paraId="06DD5D4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1D4CC1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0"/>
                  <w:vAlign w:val="center"/>
                </w:tcPr>
                <w:p w14:paraId="47298BB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2551" w:type="dxa"/>
                  <w:noWrap w:val="0"/>
                  <w:vAlign w:val="center"/>
                </w:tcPr>
                <w:p w14:paraId="2F86A4C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日平均质量浓度</w:t>
                  </w:r>
                </w:p>
              </w:tc>
              <w:tc>
                <w:tcPr>
                  <w:tcW w:w="1896" w:type="dxa"/>
                  <w:noWrap w:val="0"/>
                  <w:vAlign w:val="center"/>
                </w:tcPr>
                <w:p w14:paraId="5EDFA4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4~1</w:t>
                  </w:r>
                  <w:r>
                    <w:rPr>
                      <w:rFonts w:hint="default" w:ascii="Times New Roman" w:hAnsi="Times New Roman" w:eastAsia="仿宋" w:cs="Times New Roman"/>
                      <w:color w:val="auto"/>
                      <w:szCs w:val="21"/>
                      <w:lang w:val="en-US" w:eastAsia="zh-CN"/>
                    </w:rPr>
                    <w:t>7</w:t>
                  </w:r>
                </w:p>
              </w:tc>
              <w:tc>
                <w:tcPr>
                  <w:tcW w:w="1081" w:type="dxa"/>
                  <w:noWrap w:val="0"/>
                  <w:vAlign w:val="center"/>
                </w:tcPr>
                <w:p w14:paraId="1D7EEB9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851" w:type="dxa"/>
                  <w:noWrap w:val="0"/>
                  <w:vAlign w:val="center"/>
                </w:tcPr>
                <w:p w14:paraId="78A6A4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continue"/>
                  <w:noWrap w:val="0"/>
                  <w:vAlign w:val="center"/>
                </w:tcPr>
                <w:p w14:paraId="7B984D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r>
            <w:tr w14:paraId="0613E2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14:paraId="53F1959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NO</w:t>
                  </w:r>
                  <w:r>
                    <w:rPr>
                      <w:rFonts w:hint="default" w:ascii="Times New Roman" w:hAnsi="Times New Roman" w:eastAsia="仿宋" w:cs="Times New Roman"/>
                      <w:color w:val="auto"/>
                      <w:szCs w:val="21"/>
                      <w:vertAlign w:val="subscript"/>
                    </w:rPr>
                    <w:t>2</w:t>
                  </w:r>
                </w:p>
              </w:tc>
              <w:tc>
                <w:tcPr>
                  <w:tcW w:w="2551" w:type="dxa"/>
                  <w:noWrap w:val="0"/>
                  <w:vAlign w:val="center"/>
                </w:tcPr>
                <w:p w14:paraId="3180911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年平均质量浓度</w:t>
                  </w:r>
                </w:p>
              </w:tc>
              <w:tc>
                <w:tcPr>
                  <w:tcW w:w="1896" w:type="dxa"/>
                  <w:noWrap w:val="0"/>
                  <w:vAlign w:val="center"/>
                </w:tcPr>
                <w:p w14:paraId="14A6E03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30</w:t>
                  </w:r>
                </w:p>
              </w:tc>
              <w:tc>
                <w:tcPr>
                  <w:tcW w:w="1081" w:type="dxa"/>
                  <w:noWrap w:val="0"/>
                  <w:vAlign w:val="center"/>
                </w:tcPr>
                <w:p w14:paraId="342EB8D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w:t>
                  </w:r>
                </w:p>
              </w:tc>
              <w:tc>
                <w:tcPr>
                  <w:tcW w:w="851" w:type="dxa"/>
                  <w:noWrap w:val="0"/>
                  <w:vAlign w:val="center"/>
                </w:tcPr>
                <w:p w14:paraId="6ACFEFC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restart"/>
                  <w:noWrap w:val="0"/>
                  <w:vAlign w:val="center"/>
                </w:tcPr>
                <w:p w14:paraId="10C0D53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1C97F3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0"/>
                  <w:vAlign w:val="center"/>
                </w:tcPr>
                <w:p w14:paraId="31A3BC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2551" w:type="dxa"/>
                  <w:noWrap w:val="0"/>
                  <w:vAlign w:val="center"/>
                </w:tcPr>
                <w:p w14:paraId="120306E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日平均质量浓度</w:t>
                  </w:r>
                </w:p>
              </w:tc>
              <w:tc>
                <w:tcPr>
                  <w:tcW w:w="1896" w:type="dxa"/>
                  <w:noWrap w:val="0"/>
                  <w:vAlign w:val="center"/>
                </w:tcPr>
                <w:p w14:paraId="39B8C58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6~106</w:t>
                  </w:r>
                </w:p>
              </w:tc>
              <w:tc>
                <w:tcPr>
                  <w:tcW w:w="1081" w:type="dxa"/>
                  <w:noWrap w:val="0"/>
                  <w:vAlign w:val="center"/>
                </w:tcPr>
                <w:p w14:paraId="0DB0CDA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80</w:t>
                  </w:r>
                </w:p>
              </w:tc>
              <w:tc>
                <w:tcPr>
                  <w:tcW w:w="851" w:type="dxa"/>
                  <w:noWrap w:val="0"/>
                  <w:vAlign w:val="center"/>
                </w:tcPr>
                <w:p w14:paraId="4F425DE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98.1</w:t>
                  </w:r>
                </w:p>
              </w:tc>
              <w:tc>
                <w:tcPr>
                  <w:tcW w:w="1033" w:type="dxa"/>
                  <w:vMerge w:val="continue"/>
                  <w:noWrap w:val="0"/>
                  <w:vAlign w:val="center"/>
                </w:tcPr>
                <w:p w14:paraId="4472186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r>
            <w:tr w14:paraId="57059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14:paraId="7567ADB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w:t>
                  </w:r>
                </w:p>
              </w:tc>
              <w:tc>
                <w:tcPr>
                  <w:tcW w:w="2551" w:type="dxa"/>
                  <w:vMerge w:val="restart"/>
                  <w:noWrap w:val="0"/>
                  <w:vAlign w:val="center"/>
                </w:tcPr>
                <w:p w14:paraId="61B5B43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百分位数日平均质量浓度</w:t>
                  </w:r>
                </w:p>
              </w:tc>
              <w:tc>
                <w:tcPr>
                  <w:tcW w:w="1896" w:type="dxa"/>
                  <w:noWrap w:val="0"/>
                  <w:vAlign w:val="center"/>
                </w:tcPr>
                <w:p w14:paraId="73FACC7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w:t>
                  </w:r>
                  <w:r>
                    <w:rPr>
                      <w:rFonts w:hint="default" w:ascii="Times New Roman" w:hAnsi="Times New Roman" w:eastAsia="仿宋" w:cs="Times New Roman"/>
                      <w:color w:val="auto"/>
                      <w:szCs w:val="21"/>
                      <w:lang w:val="en-US" w:eastAsia="zh-CN"/>
                    </w:rPr>
                    <w:t>1</w:t>
                  </w:r>
                  <w:r>
                    <w:rPr>
                      <w:rFonts w:hint="default" w:ascii="Times New Roman" w:hAnsi="Times New Roman" w:eastAsia="仿宋" w:cs="Times New Roman"/>
                      <w:color w:val="auto"/>
                      <w:szCs w:val="21"/>
                    </w:rPr>
                    <w:t>00</w:t>
                  </w:r>
                </w:p>
                <w:p w14:paraId="1A890C1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（第95百分位数）</w:t>
                  </w:r>
                </w:p>
              </w:tc>
              <w:tc>
                <w:tcPr>
                  <w:tcW w:w="1081" w:type="dxa"/>
                  <w:vMerge w:val="restart"/>
                  <w:noWrap w:val="0"/>
                  <w:vAlign w:val="center"/>
                </w:tcPr>
                <w:p w14:paraId="3D80AAF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4000</w:t>
                  </w:r>
                </w:p>
              </w:tc>
              <w:tc>
                <w:tcPr>
                  <w:tcW w:w="851" w:type="dxa"/>
                  <w:vMerge w:val="restart"/>
                  <w:noWrap w:val="0"/>
                  <w:vAlign w:val="center"/>
                </w:tcPr>
                <w:p w14:paraId="0E5FADB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restart"/>
                  <w:noWrap w:val="0"/>
                  <w:vAlign w:val="center"/>
                </w:tcPr>
                <w:p w14:paraId="6EF84CD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49AA61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1" w:type="dxa"/>
                  <w:vMerge w:val="continue"/>
                  <w:noWrap w:val="0"/>
                  <w:vAlign w:val="center"/>
                </w:tcPr>
                <w:p w14:paraId="362623E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2551" w:type="dxa"/>
                  <w:vMerge w:val="continue"/>
                  <w:noWrap w:val="0"/>
                  <w:vAlign w:val="center"/>
                </w:tcPr>
                <w:p w14:paraId="71F00BD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1896" w:type="dxa"/>
                  <w:noWrap w:val="0"/>
                  <w:vAlign w:val="center"/>
                </w:tcPr>
                <w:p w14:paraId="379EF4A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400~1</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00</w:t>
                  </w:r>
                </w:p>
              </w:tc>
              <w:tc>
                <w:tcPr>
                  <w:tcW w:w="1081" w:type="dxa"/>
                  <w:vMerge w:val="continue"/>
                  <w:noWrap w:val="0"/>
                  <w:vAlign w:val="center"/>
                </w:tcPr>
                <w:p w14:paraId="27F73D3A">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851" w:type="dxa"/>
                  <w:vMerge w:val="continue"/>
                  <w:noWrap w:val="0"/>
                  <w:vAlign w:val="center"/>
                </w:tcPr>
                <w:p w14:paraId="75DCC7A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1033" w:type="dxa"/>
                  <w:vMerge w:val="continue"/>
                  <w:noWrap w:val="0"/>
                  <w:vAlign w:val="center"/>
                </w:tcPr>
                <w:p w14:paraId="3863D42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r>
            <w:tr w14:paraId="6E459F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noWrap w:val="0"/>
                  <w:vAlign w:val="center"/>
                </w:tcPr>
                <w:p w14:paraId="5785790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O</w:t>
                  </w:r>
                  <w:r>
                    <w:rPr>
                      <w:rFonts w:hint="default" w:ascii="Times New Roman" w:hAnsi="Times New Roman" w:eastAsia="仿宋" w:cs="Times New Roman"/>
                      <w:color w:val="auto"/>
                      <w:szCs w:val="21"/>
                      <w:vertAlign w:val="subscript"/>
                    </w:rPr>
                    <w:t>3</w:t>
                  </w:r>
                </w:p>
              </w:tc>
              <w:tc>
                <w:tcPr>
                  <w:tcW w:w="2551" w:type="dxa"/>
                  <w:noWrap w:val="0"/>
                  <w:vAlign w:val="center"/>
                </w:tcPr>
                <w:p w14:paraId="34EF2B1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pacing w:val="-6"/>
                      <w:szCs w:val="21"/>
                    </w:rPr>
                  </w:pPr>
                  <w:r>
                    <w:rPr>
                      <w:rFonts w:hint="default" w:ascii="Times New Roman" w:hAnsi="Times New Roman" w:eastAsia="仿宋" w:cs="Times New Roman"/>
                      <w:color w:val="auto"/>
                      <w:spacing w:val="-6"/>
                      <w:szCs w:val="21"/>
                    </w:rPr>
                    <w:t>百分位数8h平均质量浓度</w:t>
                  </w:r>
                </w:p>
              </w:tc>
              <w:tc>
                <w:tcPr>
                  <w:tcW w:w="1896" w:type="dxa"/>
                  <w:noWrap w:val="0"/>
                  <w:vAlign w:val="center"/>
                </w:tcPr>
                <w:p w14:paraId="4073B70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17</w:t>
                  </w:r>
                  <w:r>
                    <w:rPr>
                      <w:rFonts w:hint="default" w:ascii="Times New Roman" w:hAnsi="Times New Roman" w:eastAsia="仿宋" w:cs="Times New Roman"/>
                      <w:color w:val="auto"/>
                      <w:szCs w:val="21"/>
                      <w:lang w:val="en-US" w:eastAsia="zh-CN"/>
                    </w:rPr>
                    <w:t>4</w:t>
                  </w:r>
                </w:p>
                <w:p w14:paraId="31733AA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（第90百分位数）</w:t>
                  </w:r>
                </w:p>
              </w:tc>
              <w:tc>
                <w:tcPr>
                  <w:tcW w:w="1081" w:type="dxa"/>
                  <w:noWrap w:val="0"/>
                  <w:vAlign w:val="center"/>
                </w:tcPr>
                <w:p w14:paraId="5EDAA71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160</w:t>
                  </w:r>
                </w:p>
              </w:tc>
              <w:tc>
                <w:tcPr>
                  <w:tcW w:w="851" w:type="dxa"/>
                  <w:noWrap w:val="0"/>
                  <w:vAlign w:val="center"/>
                </w:tcPr>
                <w:p w14:paraId="4369F37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8</w:t>
                  </w:r>
                  <w:r>
                    <w:rPr>
                      <w:rFonts w:hint="default" w:ascii="Times New Roman" w:hAnsi="Times New Roman" w:eastAsia="仿宋" w:cs="Times New Roman"/>
                      <w:color w:val="auto"/>
                      <w:szCs w:val="21"/>
                      <w:lang w:val="en-US" w:eastAsia="zh-CN"/>
                    </w:rPr>
                    <w:t>5</w:t>
                  </w:r>
                  <w:r>
                    <w:rPr>
                      <w:rFonts w:hint="default" w:ascii="Times New Roman" w:hAnsi="Times New Roman" w:eastAsia="仿宋" w:cs="Times New Roman"/>
                      <w:color w:val="auto"/>
                      <w:szCs w:val="21"/>
                    </w:rPr>
                    <w:t>.5</w:t>
                  </w:r>
                </w:p>
              </w:tc>
              <w:tc>
                <w:tcPr>
                  <w:tcW w:w="1033" w:type="dxa"/>
                  <w:noWrap w:val="0"/>
                  <w:vAlign w:val="center"/>
                </w:tcPr>
                <w:p w14:paraId="585E4E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不达标</w:t>
                  </w:r>
                </w:p>
              </w:tc>
            </w:tr>
            <w:tr w14:paraId="3240C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14:paraId="2C989C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PM</w:t>
                  </w:r>
                  <w:r>
                    <w:rPr>
                      <w:rFonts w:hint="default" w:ascii="Times New Roman" w:hAnsi="Times New Roman" w:eastAsia="仿宋" w:cs="Times New Roman"/>
                      <w:color w:val="auto"/>
                      <w:szCs w:val="21"/>
                      <w:vertAlign w:val="subscript"/>
                    </w:rPr>
                    <w:t>10</w:t>
                  </w:r>
                </w:p>
              </w:tc>
              <w:tc>
                <w:tcPr>
                  <w:tcW w:w="2551" w:type="dxa"/>
                  <w:noWrap w:val="0"/>
                  <w:vAlign w:val="center"/>
                </w:tcPr>
                <w:p w14:paraId="2C5F3F1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年平均质量浓度</w:t>
                  </w:r>
                </w:p>
              </w:tc>
              <w:tc>
                <w:tcPr>
                  <w:tcW w:w="1896" w:type="dxa"/>
                  <w:noWrap w:val="0"/>
                  <w:vAlign w:val="center"/>
                </w:tcPr>
                <w:p w14:paraId="11588BE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5</w:t>
                  </w:r>
                  <w:r>
                    <w:rPr>
                      <w:rFonts w:hint="default" w:ascii="Times New Roman" w:hAnsi="Times New Roman" w:eastAsia="仿宋" w:cs="Times New Roman"/>
                      <w:color w:val="auto"/>
                      <w:szCs w:val="21"/>
                      <w:lang w:val="en-US" w:eastAsia="zh-CN"/>
                    </w:rPr>
                    <w:t>7</w:t>
                  </w:r>
                </w:p>
              </w:tc>
              <w:tc>
                <w:tcPr>
                  <w:tcW w:w="1081" w:type="dxa"/>
                  <w:noWrap w:val="0"/>
                  <w:vAlign w:val="center"/>
                </w:tcPr>
                <w:p w14:paraId="05CCA18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w:t>
                  </w:r>
                </w:p>
              </w:tc>
              <w:tc>
                <w:tcPr>
                  <w:tcW w:w="851" w:type="dxa"/>
                  <w:noWrap w:val="0"/>
                  <w:vAlign w:val="center"/>
                </w:tcPr>
                <w:p w14:paraId="1A4CFB1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restart"/>
                  <w:noWrap w:val="0"/>
                  <w:vAlign w:val="center"/>
                </w:tcPr>
                <w:p w14:paraId="4756C69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达标</w:t>
                  </w:r>
                </w:p>
              </w:tc>
            </w:tr>
            <w:tr w14:paraId="78490D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0"/>
                  <w:vAlign w:val="center"/>
                </w:tcPr>
                <w:p w14:paraId="1956214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2551" w:type="dxa"/>
                  <w:noWrap w:val="0"/>
                  <w:vAlign w:val="center"/>
                </w:tcPr>
                <w:p w14:paraId="2EAE3CD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日平均质量浓度</w:t>
                  </w:r>
                </w:p>
              </w:tc>
              <w:tc>
                <w:tcPr>
                  <w:tcW w:w="1896" w:type="dxa"/>
                  <w:noWrap w:val="0"/>
                  <w:vAlign w:val="center"/>
                </w:tcPr>
                <w:p w14:paraId="06C3A9F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12~188</w:t>
                  </w:r>
                </w:p>
              </w:tc>
              <w:tc>
                <w:tcPr>
                  <w:tcW w:w="1081" w:type="dxa"/>
                  <w:noWrap w:val="0"/>
                  <w:vAlign w:val="center"/>
                </w:tcPr>
                <w:p w14:paraId="7426048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150</w:t>
                  </w:r>
                </w:p>
              </w:tc>
              <w:tc>
                <w:tcPr>
                  <w:tcW w:w="851" w:type="dxa"/>
                  <w:noWrap w:val="0"/>
                  <w:vAlign w:val="center"/>
                </w:tcPr>
                <w:p w14:paraId="32F680E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98.</w:t>
                  </w:r>
                  <w:r>
                    <w:rPr>
                      <w:rFonts w:hint="default" w:ascii="Times New Roman" w:hAnsi="Times New Roman" w:eastAsia="仿宋" w:cs="Times New Roman"/>
                      <w:color w:val="auto"/>
                      <w:szCs w:val="21"/>
                      <w:lang w:val="en-US" w:eastAsia="zh-CN"/>
                    </w:rPr>
                    <w:t>8</w:t>
                  </w:r>
                </w:p>
              </w:tc>
              <w:tc>
                <w:tcPr>
                  <w:tcW w:w="1033" w:type="dxa"/>
                  <w:vMerge w:val="continue"/>
                  <w:noWrap w:val="0"/>
                  <w:vAlign w:val="center"/>
                </w:tcPr>
                <w:p w14:paraId="210400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r>
            <w:tr w14:paraId="41F2E9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restart"/>
                  <w:noWrap w:val="0"/>
                  <w:vAlign w:val="center"/>
                </w:tcPr>
                <w:p w14:paraId="1C58044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PM</w:t>
                  </w:r>
                  <w:r>
                    <w:rPr>
                      <w:rFonts w:hint="default" w:ascii="Times New Roman" w:hAnsi="Times New Roman" w:eastAsia="仿宋" w:cs="Times New Roman"/>
                      <w:color w:val="auto"/>
                      <w:szCs w:val="21"/>
                      <w:vertAlign w:val="subscript"/>
                    </w:rPr>
                    <w:t>2.5</w:t>
                  </w:r>
                </w:p>
              </w:tc>
              <w:tc>
                <w:tcPr>
                  <w:tcW w:w="2551" w:type="dxa"/>
                  <w:noWrap w:val="0"/>
                  <w:vAlign w:val="center"/>
                </w:tcPr>
                <w:p w14:paraId="7246EB0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年平均质量浓度</w:t>
                  </w:r>
                </w:p>
              </w:tc>
              <w:tc>
                <w:tcPr>
                  <w:tcW w:w="1896" w:type="dxa"/>
                  <w:noWrap w:val="0"/>
                  <w:vAlign w:val="center"/>
                </w:tcPr>
                <w:p w14:paraId="06CD61F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rPr>
                    <w:t>3</w:t>
                  </w:r>
                  <w:r>
                    <w:rPr>
                      <w:rFonts w:hint="default" w:ascii="Times New Roman" w:hAnsi="Times New Roman" w:eastAsia="仿宋" w:cs="Times New Roman"/>
                      <w:color w:val="auto"/>
                      <w:szCs w:val="21"/>
                      <w:lang w:val="en-US" w:eastAsia="zh-CN"/>
                    </w:rPr>
                    <w:t>4</w:t>
                  </w:r>
                </w:p>
              </w:tc>
              <w:tc>
                <w:tcPr>
                  <w:tcW w:w="1081" w:type="dxa"/>
                  <w:noWrap w:val="0"/>
                  <w:vAlign w:val="center"/>
                </w:tcPr>
                <w:p w14:paraId="5EC550F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35</w:t>
                  </w:r>
                </w:p>
              </w:tc>
              <w:tc>
                <w:tcPr>
                  <w:tcW w:w="851" w:type="dxa"/>
                  <w:noWrap w:val="0"/>
                  <w:vAlign w:val="center"/>
                </w:tcPr>
                <w:p w14:paraId="393633C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100</w:t>
                  </w:r>
                </w:p>
              </w:tc>
              <w:tc>
                <w:tcPr>
                  <w:tcW w:w="1033" w:type="dxa"/>
                  <w:vMerge w:val="restart"/>
                  <w:noWrap w:val="0"/>
                  <w:vAlign w:val="center"/>
                </w:tcPr>
                <w:p w14:paraId="192A81F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不达标</w:t>
                  </w:r>
                </w:p>
              </w:tc>
            </w:tr>
            <w:tr w14:paraId="7E2B0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81" w:type="dxa"/>
                  <w:vMerge w:val="continue"/>
                  <w:noWrap w:val="0"/>
                  <w:vAlign w:val="center"/>
                </w:tcPr>
                <w:p w14:paraId="6FE1485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c>
                <w:tcPr>
                  <w:tcW w:w="2551" w:type="dxa"/>
                  <w:noWrap w:val="0"/>
                  <w:vAlign w:val="center"/>
                </w:tcPr>
                <w:p w14:paraId="67DAC270">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日平均质量浓度</w:t>
                  </w:r>
                </w:p>
              </w:tc>
              <w:tc>
                <w:tcPr>
                  <w:tcW w:w="1896" w:type="dxa"/>
                  <w:noWrap w:val="0"/>
                  <w:vAlign w:val="center"/>
                </w:tcPr>
                <w:p w14:paraId="3295E7B5">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6~151</w:t>
                  </w:r>
                </w:p>
              </w:tc>
              <w:tc>
                <w:tcPr>
                  <w:tcW w:w="1081" w:type="dxa"/>
                  <w:noWrap w:val="0"/>
                  <w:vAlign w:val="center"/>
                </w:tcPr>
                <w:p w14:paraId="2EDE69A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75</w:t>
                  </w:r>
                </w:p>
              </w:tc>
              <w:tc>
                <w:tcPr>
                  <w:tcW w:w="851" w:type="dxa"/>
                  <w:noWrap w:val="0"/>
                  <w:vAlign w:val="center"/>
                </w:tcPr>
                <w:p w14:paraId="3DBB016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9</w:t>
                  </w:r>
                  <w:r>
                    <w:rPr>
                      <w:rFonts w:hint="default" w:ascii="Times New Roman" w:hAnsi="Times New Roman" w:eastAsia="仿宋" w:cs="Times New Roman"/>
                      <w:color w:val="auto"/>
                      <w:szCs w:val="21"/>
                      <w:lang w:val="en-US" w:eastAsia="zh-CN"/>
                    </w:rPr>
                    <w:t>3</w:t>
                  </w:r>
                  <w:r>
                    <w:rPr>
                      <w:rFonts w:hint="default" w:ascii="Times New Roman" w:hAnsi="Times New Roman" w:eastAsia="仿宋" w:cs="Times New Roman"/>
                      <w:color w:val="auto"/>
                      <w:szCs w:val="21"/>
                    </w:rPr>
                    <w:t>.6</w:t>
                  </w:r>
                </w:p>
              </w:tc>
              <w:tc>
                <w:tcPr>
                  <w:tcW w:w="1033" w:type="dxa"/>
                  <w:vMerge w:val="continue"/>
                  <w:noWrap w:val="0"/>
                  <w:vAlign w:val="center"/>
                </w:tcPr>
                <w:p w14:paraId="7EBC1E99">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Cs w:val="21"/>
                    </w:rPr>
                  </w:pPr>
                </w:p>
              </w:tc>
            </w:tr>
          </w:tbl>
          <w:p w14:paraId="0B754BAC">
            <w:pPr>
              <w:keepNext w:val="0"/>
              <w:keepLines w:val="0"/>
              <w:pageBreakBefore w:val="0"/>
              <w:widowControl w:val="0"/>
              <w:suppressLineNumbers w:val="0"/>
              <w:kinsoku/>
              <w:wordWrap/>
              <w:overflowPunct/>
              <w:topLinePunct w:val="0"/>
              <w:autoSpaceDE/>
              <w:autoSpaceDN/>
              <w:bidi w:val="0"/>
              <w:spacing w:before="0" w:beforeAutospacing="0" w:after="0" w:afterAutospacing="0" w:line="480" w:lineRule="exact"/>
              <w:ind w:left="0" w:right="0" w:firstLine="482" w:firstLineChars="200"/>
              <w:textAlignment w:val="auto"/>
              <w:rPr>
                <w:rFonts w:hint="default" w:ascii="Times New Roman" w:hAnsi="Times New Roman" w:eastAsia="仿宋" w:cs="Times New Roman"/>
                <w:b/>
                <w:bCs/>
                <w:sz w:val="24"/>
                <w:szCs w:val="24"/>
              </w:rPr>
            </w:pPr>
            <w:r>
              <w:rPr>
                <w:rFonts w:hint="default" w:ascii="Times New Roman" w:hAnsi="Times New Roman" w:eastAsia="仿宋" w:cs="Times New Roman"/>
                <w:b/>
                <w:bCs/>
                <w:sz w:val="24"/>
                <w:szCs w:val="24"/>
              </w:rPr>
              <w:t>综上，项目所在区O</w:t>
            </w:r>
            <w:r>
              <w:rPr>
                <w:rFonts w:hint="default" w:ascii="Times New Roman" w:hAnsi="Times New Roman" w:eastAsia="仿宋" w:cs="Times New Roman"/>
                <w:b/>
                <w:bCs/>
                <w:sz w:val="24"/>
                <w:szCs w:val="24"/>
                <w:vertAlign w:val="subscript"/>
              </w:rPr>
              <w:t>3</w:t>
            </w:r>
            <w:r>
              <w:rPr>
                <w:rFonts w:hint="default" w:ascii="Times New Roman" w:hAnsi="Times New Roman" w:eastAsia="仿宋" w:cs="Times New Roman"/>
                <w:b/>
                <w:bCs/>
                <w:sz w:val="24"/>
                <w:szCs w:val="24"/>
              </w:rPr>
              <w:t>、PM</w:t>
            </w:r>
            <w:r>
              <w:rPr>
                <w:rFonts w:hint="default" w:ascii="Times New Roman" w:hAnsi="Times New Roman" w:eastAsia="仿宋" w:cs="Times New Roman"/>
                <w:b/>
                <w:bCs/>
                <w:sz w:val="24"/>
                <w:szCs w:val="24"/>
                <w:vertAlign w:val="subscript"/>
              </w:rPr>
              <w:t>2.5</w:t>
            </w:r>
            <w:r>
              <w:rPr>
                <w:rFonts w:hint="default" w:ascii="Times New Roman" w:hAnsi="Times New Roman" w:eastAsia="仿宋" w:cs="Times New Roman"/>
                <w:b/>
                <w:bCs/>
                <w:sz w:val="24"/>
                <w:szCs w:val="24"/>
              </w:rPr>
              <w:t>超标，因此判定为非达标区。</w:t>
            </w:r>
          </w:p>
          <w:p w14:paraId="760B2F8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w:t>
            </w:r>
            <w:r>
              <w:rPr>
                <w:rFonts w:hint="eastAsia" w:eastAsia="仿宋" w:cs="Times New Roman"/>
                <w:sz w:val="24"/>
                <w:szCs w:val="24"/>
                <w:lang w:val="en-US" w:eastAsia="zh-CN"/>
              </w:rPr>
              <w:t>2</w:t>
            </w:r>
            <w:r>
              <w:rPr>
                <w:rFonts w:hint="default" w:ascii="Times New Roman" w:hAnsi="Times New Roman" w:eastAsia="仿宋" w:cs="Times New Roman"/>
                <w:sz w:val="24"/>
                <w:szCs w:val="24"/>
                <w:lang w:val="en-US" w:eastAsia="zh-CN"/>
              </w:rPr>
              <w:t>）其他污染物环境质量现状评价</w:t>
            </w:r>
          </w:p>
          <w:p w14:paraId="027E28D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highlight w:val="none"/>
              </w:rPr>
            </w:pPr>
            <w:r>
              <w:rPr>
                <w:rFonts w:hint="default" w:ascii="Times New Roman" w:hAnsi="Times New Roman" w:eastAsia="仿宋" w:cs="Times New Roman"/>
                <w:sz w:val="24"/>
                <w:szCs w:val="24"/>
                <w:lang w:val="en-US" w:eastAsia="zh-CN"/>
              </w:rPr>
              <w:t>本项目大气环境质量布设</w:t>
            </w:r>
            <w:r>
              <w:rPr>
                <w:rFonts w:hint="eastAsia" w:ascii="Times New Roman" w:hAnsi="Times New Roman" w:eastAsia="仿宋" w:cs="Times New Roman"/>
                <w:sz w:val="24"/>
                <w:szCs w:val="24"/>
                <w:lang w:val="en-US" w:eastAsia="zh-CN"/>
              </w:rPr>
              <w:t>1</w:t>
            </w:r>
            <w:r>
              <w:rPr>
                <w:rFonts w:hint="default" w:ascii="Times New Roman" w:hAnsi="Times New Roman" w:eastAsia="仿宋" w:cs="Times New Roman"/>
                <w:sz w:val="24"/>
                <w:szCs w:val="24"/>
                <w:lang w:val="en-US" w:eastAsia="zh-CN"/>
              </w:rPr>
              <w:t>个</w:t>
            </w:r>
            <w:r>
              <w:rPr>
                <w:rFonts w:hint="eastAsia" w:ascii="Times New Roman" w:hAnsi="Times New Roman" w:eastAsia="仿宋" w:cs="Times New Roman"/>
                <w:sz w:val="24"/>
                <w:szCs w:val="24"/>
                <w:lang w:val="en-US" w:eastAsia="zh-CN"/>
              </w:rPr>
              <w:t>引用</w:t>
            </w:r>
            <w:r>
              <w:rPr>
                <w:rFonts w:hint="default" w:ascii="Times New Roman" w:hAnsi="Times New Roman" w:eastAsia="仿宋" w:cs="Times New Roman"/>
                <w:sz w:val="24"/>
                <w:szCs w:val="24"/>
                <w:lang w:val="en-US" w:eastAsia="zh-CN"/>
              </w:rPr>
              <w:t>点位G</w:t>
            </w:r>
            <w:r>
              <w:rPr>
                <w:rFonts w:hint="eastAsia" w:ascii="Times New Roman" w:hAnsi="Times New Roman" w:eastAsia="仿宋" w:cs="Times New Roman"/>
                <w:sz w:val="24"/>
                <w:szCs w:val="24"/>
                <w:lang w:val="en-US" w:eastAsia="zh-CN"/>
              </w:rPr>
              <w:t>1，</w:t>
            </w:r>
            <w:r>
              <w:rPr>
                <w:rFonts w:hint="eastAsia" w:ascii="Times New Roman" w:hAnsi="Times New Roman" w:eastAsia="仿宋" w:cs="Times New Roman"/>
                <w:sz w:val="24"/>
                <w:lang w:val="en-US" w:eastAsia="zh-CN"/>
              </w:rPr>
              <w:t>G1</w:t>
            </w:r>
            <w:r>
              <w:rPr>
                <w:rFonts w:hint="default" w:ascii="Times New Roman" w:hAnsi="Times New Roman" w:eastAsia="仿宋" w:cs="Times New Roman"/>
                <w:sz w:val="24"/>
              </w:rPr>
              <w:t>点位位于</w:t>
            </w:r>
            <w:r>
              <w:rPr>
                <w:rFonts w:hint="eastAsia" w:ascii="Times New Roman" w:hAnsi="Times New Roman" w:eastAsia="仿宋" w:cs="Times New Roman"/>
                <w:sz w:val="24"/>
                <w:lang w:val="en-US" w:eastAsia="zh-CN"/>
              </w:rPr>
              <w:t>项目东北侧1570m处</w:t>
            </w:r>
            <w:r>
              <w:rPr>
                <w:rFonts w:hint="default" w:ascii="Times New Roman" w:hAnsi="Times New Roman" w:eastAsia="仿宋" w:cs="Times New Roman"/>
                <w:sz w:val="24"/>
              </w:rPr>
              <w:t>，</w:t>
            </w:r>
            <w:r>
              <w:rPr>
                <w:rFonts w:hint="eastAsia" w:ascii="Times New Roman" w:hAnsi="Times New Roman" w:eastAsia="仿宋" w:cs="Times New Roman"/>
                <w:sz w:val="24"/>
                <w:lang w:val="en-US" w:eastAsia="zh-CN"/>
              </w:rPr>
              <w:t>引用</w:t>
            </w:r>
            <w:r>
              <w:rPr>
                <w:rFonts w:hint="default" w:ascii="Times New Roman" w:hAnsi="Times New Roman" w:eastAsia="仿宋" w:cs="Times New Roman"/>
                <w:sz w:val="24"/>
              </w:rPr>
              <w:t>《</w:t>
            </w:r>
            <w:r>
              <w:rPr>
                <w:rFonts w:hint="default" w:ascii="Times New Roman" w:hAnsi="Times New Roman" w:eastAsia="仿宋" w:cs="Times New Roman"/>
                <w:sz w:val="24"/>
                <w:szCs w:val="28"/>
              </w:rPr>
              <w:t>江苏</w:t>
            </w:r>
            <w:r>
              <w:rPr>
                <w:rFonts w:hint="eastAsia" w:ascii="Times New Roman" w:hAnsi="Times New Roman" w:eastAsia="仿宋" w:cs="Times New Roman"/>
                <w:sz w:val="24"/>
                <w:szCs w:val="28"/>
                <w:lang w:val="en-US" w:eastAsia="zh-CN"/>
              </w:rPr>
              <w:t>云融机械科技</w:t>
            </w:r>
            <w:r>
              <w:rPr>
                <w:rFonts w:hint="default" w:ascii="Times New Roman" w:hAnsi="Times New Roman" w:eastAsia="仿宋" w:cs="Times New Roman"/>
                <w:sz w:val="24"/>
                <w:szCs w:val="28"/>
              </w:rPr>
              <w:t>有限公司</w:t>
            </w:r>
            <w:r>
              <w:rPr>
                <w:rFonts w:hint="default" w:ascii="Times New Roman" w:hAnsi="Times New Roman" w:eastAsia="仿宋" w:cs="Times New Roman"/>
                <w:sz w:val="24"/>
              </w:rPr>
              <w:t>》中江苏</w:t>
            </w:r>
            <w:r>
              <w:rPr>
                <w:rFonts w:hint="eastAsia" w:ascii="Times New Roman" w:hAnsi="Times New Roman" w:eastAsia="仿宋" w:cs="Times New Roman"/>
                <w:sz w:val="24"/>
                <w:lang w:val="en-US" w:eastAsia="zh-CN"/>
              </w:rPr>
              <w:t>久诚</w:t>
            </w:r>
            <w:r>
              <w:rPr>
                <w:rFonts w:hint="default" w:ascii="Times New Roman" w:hAnsi="Times New Roman" w:eastAsia="仿宋" w:cs="Times New Roman"/>
                <w:sz w:val="24"/>
              </w:rPr>
              <w:t>检验检测有限公司对</w:t>
            </w:r>
            <w:r>
              <w:rPr>
                <w:rFonts w:hint="eastAsia" w:ascii="Times New Roman" w:hAnsi="Times New Roman" w:eastAsia="仿宋" w:cs="Times New Roman"/>
                <w:sz w:val="24"/>
                <w:lang w:val="en-US" w:eastAsia="zh-CN"/>
              </w:rPr>
              <w:t>“长汀路以北，锦华路以东交叉口”</w:t>
            </w:r>
            <w:r>
              <w:rPr>
                <w:rFonts w:hint="default" w:ascii="Times New Roman" w:hAnsi="Times New Roman" w:eastAsia="仿宋" w:cs="Times New Roman"/>
                <w:sz w:val="24"/>
              </w:rPr>
              <w:t>的监测数据</w:t>
            </w:r>
            <w:r>
              <w:rPr>
                <w:rFonts w:hint="eastAsia" w:ascii="Times New Roman" w:hAnsi="Times New Roman" w:eastAsia="仿宋" w:cs="Times New Roman"/>
                <w:sz w:val="24"/>
                <w:lang w:eastAsia="zh-CN"/>
              </w:rPr>
              <w:t>，</w:t>
            </w:r>
            <w:r>
              <w:rPr>
                <w:rFonts w:hint="default" w:ascii="Times New Roman" w:hAnsi="Times New Roman" w:eastAsia="仿宋" w:cs="Times New Roman"/>
                <w:sz w:val="24"/>
              </w:rPr>
              <w:t>监测时间为20</w:t>
            </w:r>
            <w:r>
              <w:rPr>
                <w:rFonts w:hint="eastAsia" w:ascii="Times New Roman" w:hAnsi="Times New Roman" w:eastAsia="仿宋" w:cs="Times New Roman"/>
                <w:sz w:val="24"/>
                <w:lang w:val="en-US" w:eastAsia="zh-CN"/>
              </w:rPr>
              <w:t>22</w:t>
            </w:r>
            <w:r>
              <w:rPr>
                <w:rFonts w:hint="default" w:ascii="Times New Roman" w:hAnsi="Times New Roman" w:eastAsia="仿宋" w:cs="Times New Roman"/>
                <w:sz w:val="24"/>
              </w:rPr>
              <w:t>年</w:t>
            </w:r>
            <w:r>
              <w:rPr>
                <w:rFonts w:hint="eastAsia" w:ascii="Times New Roman" w:hAnsi="Times New Roman" w:eastAsia="仿宋" w:cs="Times New Roman"/>
                <w:sz w:val="24"/>
                <w:lang w:val="en-US" w:eastAsia="zh-CN"/>
              </w:rPr>
              <w:t>7</w:t>
            </w:r>
            <w:r>
              <w:rPr>
                <w:rFonts w:hint="default" w:ascii="Times New Roman" w:hAnsi="Times New Roman" w:eastAsia="仿宋" w:cs="Times New Roman"/>
                <w:sz w:val="24"/>
              </w:rPr>
              <w:t>月</w:t>
            </w:r>
            <w:r>
              <w:rPr>
                <w:rFonts w:hint="eastAsia" w:ascii="Times New Roman" w:hAnsi="Times New Roman" w:eastAsia="仿宋" w:cs="Times New Roman"/>
                <w:sz w:val="24"/>
                <w:lang w:val="en-US" w:eastAsia="zh-CN"/>
              </w:rPr>
              <w:t>20</w:t>
            </w:r>
            <w:r>
              <w:rPr>
                <w:rFonts w:hint="default" w:ascii="Times New Roman" w:hAnsi="Times New Roman" w:eastAsia="仿宋" w:cs="Times New Roman"/>
                <w:sz w:val="24"/>
              </w:rPr>
              <w:t>日至20</w:t>
            </w:r>
            <w:r>
              <w:rPr>
                <w:rFonts w:hint="eastAsia" w:ascii="Times New Roman" w:hAnsi="Times New Roman" w:eastAsia="仿宋" w:cs="Times New Roman"/>
                <w:sz w:val="24"/>
                <w:lang w:val="en-US" w:eastAsia="zh-CN"/>
              </w:rPr>
              <w:t>22</w:t>
            </w:r>
            <w:r>
              <w:rPr>
                <w:rFonts w:hint="default" w:ascii="Times New Roman" w:hAnsi="Times New Roman" w:eastAsia="仿宋" w:cs="Times New Roman"/>
                <w:sz w:val="24"/>
              </w:rPr>
              <w:t>年</w:t>
            </w:r>
            <w:r>
              <w:rPr>
                <w:rFonts w:hint="eastAsia" w:ascii="Times New Roman" w:hAnsi="Times New Roman" w:eastAsia="仿宋" w:cs="Times New Roman"/>
                <w:sz w:val="24"/>
                <w:lang w:val="en-US" w:eastAsia="zh-CN"/>
              </w:rPr>
              <w:t>7</w:t>
            </w:r>
            <w:r>
              <w:rPr>
                <w:rFonts w:hint="default" w:ascii="Times New Roman" w:hAnsi="Times New Roman" w:eastAsia="仿宋" w:cs="Times New Roman"/>
                <w:sz w:val="24"/>
              </w:rPr>
              <w:t>月</w:t>
            </w:r>
            <w:r>
              <w:rPr>
                <w:rFonts w:hint="eastAsia" w:ascii="Times New Roman" w:hAnsi="Times New Roman" w:eastAsia="仿宋" w:cs="Times New Roman"/>
                <w:sz w:val="24"/>
                <w:lang w:val="en-US" w:eastAsia="zh-CN"/>
              </w:rPr>
              <w:t>22</w:t>
            </w:r>
            <w:r>
              <w:rPr>
                <w:rFonts w:hint="default" w:ascii="Times New Roman" w:hAnsi="Times New Roman" w:eastAsia="仿宋" w:cs="Times New Roman"/>
                <w:sz w:val="24"/>
              </w:rPr>
              <w:t>日</w:t>
            </w:r>
            <w:r>
              <w:rPr>
                <w:rFonts w:hint="eastAsia" w:ascii="Times New Roman" w:hAnsi="Times New Roman" w:eastAsia="仿宋" w:cs="Times New Roman"/>
                <w:sz w:val="24"/>
                <w:lang w:val="en-US" w:eastAsia="zh-CN"/>
              </w:rPr>
              <w:t>，报告编号：JCH20220516</w:t>
            </w:r>
            <w:r>
              <w:rPr>
                <w:rFonts w:hint="eastAsia" w:ascii="Times New Roman" w:hAnsi="Times New Roman" w:eastAsia="仿宋" w:cs="Times New Roman"/>
                <w:sz w:val="24"/>
                <w:szCs w:val="24"/>
                <w:lang w:val="en-US" w:eastAsia="zh-CN"/>
              </w:rPr>
              <w:t>，</w:t>
            </w:r>
            <w:r>
              <w:rPr>
                <w:rFonts w:hint="default" w:ascii="Times New Roman" w:hAnsi="Times New Roman" w:eastAsia="仿宋" w:cs="Times New Roman"/>
                <w:sz w:val="24"/>
                <w:szCs w:val="24"/>
                <w:lang w:val="en-US" w:eastAsia="zh-CN"/>
              </w:rPr>
              <w:t>数据汇总见表3-2。</w:t>
            </w:r>
          </w:p>
          <w:p w14:paraId="7ED3277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7055873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577E92F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729F760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299B721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p>
          <w:p w14:paraId="5227BA5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表3-2  引用数据统计结果汇总</w:t>
            </w:r>
          </w:p>
          <w:tbl>
            <w:tblPr>
              <w:tblStyle w:val="2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885"/>
              <w:gridCol w:w="1415"/>
              <w:gridCol w:w="1153"/>
              <w:gridCol w:w="743"/>
              <w:gridCol w:w="890"/>
              <w:gridCol w:w="1531"/>
            </w:tblGrid>
            <w:tr w14:paraId="0F79D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676" w:type="dxa"/>
                  <w:vMerge w:val="restart"/>
                  <w:noWrap w:val="0"/>
                  <w:vAlign w:val="center"/>
                </w:tcPr>
                <w:p w14:paraId="62507F5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w:t>
                  </w:r>
                </w:p>
                <w:p w14:paraId="17FA1BE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编号</w:t>
                  </w:r>
                </w:p>
              </w:tc>
              <w:tc>
                <w:tcPr>
                  <w:tcW w:w="1885" w:type="dxa"/>
                  <w:vMerge w:val="restart"/>
                  <w:noWrap w:val="0"/>
                  <w:vAlign w:val="center"/>
                </w:tcPr>
                <w:p w14:paraId="37D103A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测点名称</w:t>
                  </w:r>
                </w:p>
              </w:tc>
              <w:tc>
                <w:tcPr>
                  <w:tcW w:w="1415" w:type="dxa"/>
                  <w:vMerge w:val="restart"/>
                  <w:noWrap w:val="0"/>
                  <w:vAlign w:val="center"/>
                </w:tcPr>
                <w:p w14:paraId="06BD190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w:t>
                  </w:r>
                </w:p>
                <w:p w14:paraId="553229A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名称</w:t>
                  </w:r>
                </w:p>
              </w:tc>
              <w:tc>
                <w:tcPr>
                  <w:tcW w:w="4317" w:type="dxa"/>
                  <w:gridSpan w:val="4"/>
                  <w:noWrap w:val="0"/>
                  <w:vAlign w:val="center"/>
                </w:tcPr>
                <w:p w14:paraId="55F0EEB5">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rPr>
                    <w:t>小时浓度</w:t>
                  </w:r>
                  <w:r>
                    <w:rPr>
                      <w:rFonts w:hint="default" w:ascii="Times New Roman" w:hAnsi="Times New Roman" w:eastAsia="仿宋" w:cs="Times New Roman"/>
                      <w:b/>
                      <w:color w:val="auto"/>
                      <w:sz w:val="21"/>
                      <w:szCs w:val="21"/>
                      <w:lang w:val="en-US" w:eastAsia="zh-CN"/>
                    </w:rPr>
                    <w:t>/</w:t>
                  </w:r>
                  <w:r>
                    <w:rPr>
                      <w:rFonts w:hint="default" w:ascii="Times New Roman" w:hAnsi="Times New Roman" w:eastAsia="仿宋" w:cs="Times New Roman"/>
                      <w:b/>
                      <w:color w:val="auto"/>
                      <w:sz w:val="21"/>
                      <w:szCs w:val="21"/>
                    </w:rPr>
                    <w:t>(mg/m</w:t>
                  </w:r>
                  <w:r>
                    <w:rPr>
                      <w:rFonts w:hint="default" w:ascii="Times New Roman" w:hAnsi="Times New Roman" w:eastAsia="仿宋" w:cs="Times New Roman"/>
                      <w:b/>
                      <w:color w:val="auto"/>
                      <w:sz w:val="21"/>
                      <w:szCs w:val="21"/>
                      <w:vertAlign w:val="superscript"/>
                    </w:rPr>
                    <w:t>3</w:t>
                  </w:r>
                  <w:r>
                    <w:rPr>
                      <w:rFonts w:hint="default" w:ascii="Times New Roman" w:hAnsi="Times New Roman" w:eastAsia="仿宋" w:cs="Times New Roman"/>
                      <w:b/>
                      <w:color w:val="auto"/>
                      <w:sz w:val="21"/>
                      <w:szCs w:val="21"/>
                    </w:rPr>
                    <w:t>)</w:t>
                  </w:r>
                </w:p>
              </w:tc>
            </w:tr>
            <w:tr w14:paraId="1EAB59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99" w:hRule="atLeast"/>
                <w:jc w:val="center"/>
              </w:trPr>
              <w:tc>
                <w:tcPr>
                  <w:tcW w:w="676" w:type="dxa"/>
                  <w:vMerge w:val="continue"/>
                  <w:noWrap w:val="0"/>
                  <w:vAlign w:val="center"/>
                </w:tcPr>
                <w:p w14:paraId="6336017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885" w:type="dxa"/>
                  <w:vMerge w:val="continue"/>
                  <w:noWrap w:val="0"/>
                  <w:vAlign w:val="center"/>
                </w:tcPr>
                <w:p w14:paraId="1BAD4300">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415" w:type="dxa"/>
                  <w:vMerge w:val="continue"/>
                  <w:noWrap w:val="0"/>
                  <w:vAlign w:val="center"/>
                </w:tcPr>
                <w:p w14:paraId="0273296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p>
              </w:tc>
              <w:tc>
                <w:tcPr>
                  <w:tcW w:w="1153" w:type="dxa"/>
                  <w:noWrap w:val="0"/>
                  <w:vAlign w:val="center"/>
                </w:tcPr>
                <w:p w14:paraId="52F8CB4E">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浓度范围</w:t>
                  </w:r>
                </w:p>
              </w:tc>
              <w:tc>
                <w:tcPr>
                  <w:tcW w:w="743" w:type="dxa"/>
                  <w:noWrap w:val="0"/>
                  <w:vAlign w:val="center"/>
                </w:tcPr>
                <w:p w14:paraId="31AB8539">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w:t>
                  </w:r>
                </w:p>
              </w:tc>
              <w:tc>
                <w:tcPr>
                  <w:tcW w:w="890" w:type="dxa"/>
                  <w:noWrap w:val="0"/>
                  <w:vAlign w:val="center"/>
                </w:tcPr>
                <w:p w14:paraId="2B5EB836">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超标率</w:t>
                  </w:r>
                </w:p>
              </w:tc>
              <w:tc>
                <w:tcPr>
                  <w:tcW w:w="1531" w:type="dxa"/>
                  <w:noWrap w:val="0"/>
                  <w:vAlign w:val="center"/>
                </w:tcPr>
                <w:p w14:paraId="75C7B42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最大超标倍数</w:t>
                  </w:r>
                </w:p>
              </w:tc>
            </w:tr>
            <w:tr w14:paraId="7B865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6" w:type="dxa"/>
                  <w:noWrap w:val="0"/>
                  <w:vAlign w:val="center"/>
                </w:tcPr>
                <w:p w14:paraId="2A6B612C">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rPr>
                  </w:pPr>
                  <w:r>
                    <w:rPr>
                      <w:rFonts w:hint="default" w:ascii="Times New Roman" w:hAnsi="Times New Roman" w:eastAsia="仿宋" w:cs="Times New Roman"/>
                      <w:b w:val="0"/>
                      <w:bCs/>
                      <w:color w:val="auto"/>
                      <w:sz w:val="21"/>
                      <w:szCs w:val="21"/>
                    </w:rPr>
                    <w:t>G1</w:t>
                  </w:r>
                </w:p>
              </w:tc>
              <w:tc>
                <w:tcPr>
                  <w:tcW w:w="1885" w:type="dxa"/>
                  <w:noWrap w:val="0"/>
                  <w:vAlign w:val="center"/>
                </w:tcPr>
                <w:p w14:paraId="615F6563">
                  <w:pPr>
                    <w:spacing w:line="240" w:lineRule="auto"/>
                    <w:jc w:val="center"/>
                    <w:rPr>
                      <w:rFonts w:hint="default" w:ascii="Times New Roman" w:hAnsi="Times New Roman" w:eastAsia="仿宋" w:cs="Times New Roman"/>
                      <w:b w:val="0"/>
                      <w:bCs/>
                      <w:color w:val="auto"/>
                      <w:sz w:val="21"/>
                      <w:szCs w:val="21"/>
                      <w:lang w:val="en-US"/>
                    </w:rPr>
                  </w:pPr>
                  <w:r>
                    <w:rPr>
                      <w:rFonts w:hint="eastAsia" w:ascii="Times New Roman" w:hAnsi="Times New Roman" w:eastAsia="仿宋" w:cs="Times New Roman"/>
                      <w:szCs w:val="21"/>
                      <w:lang w:val="en-US" w:eastAsia="zh-CN"/>
                    </w:rPr>
                    <w:t>长汀路以北，锦华路以东交叉口</w:t>
                  </w:r>
                </w:p>
              </w:tc>
              <w:tc>
                <w:tcPr>
                  <w:tcW w:w="1415" w:type="dxa"/>
                  <w:noWrap w:val="0"/>
                  <w:vAlign w:val="center"/>
                </w:tcPr>
                <w:p w14:paraId="77E2FB33">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default" w:ascii="Times New Roman" w:hAnsi="Times New Roman" w:eastAsia="仿宋" w:cs="Times New Roman"/>
                      <w:b w:val="0"/>
                      <w:bCs/>
                      <w:color w:val="auto"/>
                      <w:sz w:val="21"/>
                      <w:szCs w:val="21"/>
                    </w:rPr>
                    <w:t>非甲烷总烃</w:t>
                  </w:r>
                </w:p>
              </w:tc>
              <w:tc>
                <w:tcPr>
                  <w:tcW w:w="1153" w:type="dxa"/>
                  <w:noWrap w:val="0"/>
                  <w:vAlign w:val="center"/>
                </w:tcPr>
                <w:p w14:paraId="6FAF0918">
                  <w:pPr>
                    <w:keepNext w:val="0"/>
                    <w:keepLines w:val="0"/>
                    <w:suppressLineNumbers w:val="0"/>
                    <w:spacing w:before="0" w:beforeAutospacing="0" w:after="0" w:afterAutospacing="0" w:line="240" w:lineRule="auto"/>
                    <w:ind w:left="0" w:right="0"/>
                    <w:jc w:val="center"/>
                    <w:rPr>
                      <w:rFonts w:hint="default"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0.5</w:t>
                  </w:r>
                  <w:r>
                    <w:rPr>
                      <w:rFonts w:hint="eastAsia" w:cs="Times New Roman"/>
                      <w:b w:val="0"/>
                      <w:bCs/>
                      <w:color w:val="auto"/>
                      <w:sz w:val="21"/>
                      <w:szCs w:val="21"/>
                      <w:lang w:val="en-US" w:eastAsia="zh-CN"/>
                    </w:rPr>
                    <w:t>3</w:t>
                  </w:r>
                  <w:r>
                    <w:rPr>
                      <w:rFonts w:hint="eastAsia" w:ascii="Times New Roman" w:hAnsi="Times New Roman" w:cs="Times New Roman"/>
                      <w:b w:val="0"/>
                      <w:bCs/>
                      <w:color w:val="auto"/>
                      <w:sz w:val="21"/>
                      <w:szCs w:val="21"/>
                      <w:lang w:val="en-US" w:eastAsia="zh-CN"/>
                    </w:rPr>
                    <w:t>~0.6</w:t>
                  </w:r>
                  <w:r>
                    <w:rPr>
                      <w:rFonts w:hint="eastAsia" w:cs="Times New Roman"/>
                      <w:b w:val="0"/>
                      <w:bCs/>
                      <w:color w:val="auto"/>
                      <w:sz w:val="21"/>
                      <w:szCs w:val="21"/>
                      <w:lang w:val="en-US" w:eastAsia="zh-CN"/>
                    </w:rPr>
                    <w:t>2</w:t>
                  </w:r>
                </w:p>
              </w:tc>
              <w:tc>
                <w:tcPr>
                  <w:tcW w:w="743" w:type="dxa"/>
                  <w:noWrap w:val="0"/>
                  <w:vAlign w:val="center"/>
                </w:tcPr>
                <w:p w14:paraId="04F8D5CE">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2</w:t>
                  </w:r>
                </w:p>
              </w:tc>
              <w:tc>
                <w:tcPr>
                  <w:tcW w:w="890" w:type="dxa"/>
                  <w:noWrap w:val="0"/>
                  <w:vAlign w:val="center"/>
                </w:tcPr>
                <w:p w14:paraId="75BBA571">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c>
                <w:tcPr>
                  <w:tcW w:w="1531" w:type="dxa"/>
                  <w:noWrap w:val="0"/>
                  <w:vAlign w:val="center"/>
                </w:tcPr>
                <w:p w14:paraId="0190EA4B">
                  <w:pPr>
                    <w:keepNext w:val="0"/>
                    <w:keepLines w:val="0"/>
                    <w:suppressLineNumbers w:val="0"/>
                    <w:spacing w:before="0" w:beforeAutospacing="0" w:after="0" w:afterAutospacing="0" w:line="240" w:lineRule="auto"/>
                    <w:ind w:left="0" w:right="0"/>
                    <w:jc w:val="center"/>
                    <w:rPr>
                      <w:rFonts w:hint="eastAsia" w:ascii="Times New Roman" w:hAnsi="Times New Roman" w:eastAsia="仿宋" w:cs="Times New Roman"/>
                      <w:b w:val="0"/>
                      <w:bCs/>
                      <w:color w:val="auto"/>
                      <w:sz w:val="21"/>
                      <w:szCs w:val="21"/>
                      <w:lang w:val="en-US" w:eastAsia="zh-CN"/>
                    </w:rPr>
                  </w:pPr>
                  <w:r>
                    <w:rPr>
                      <w:rFonts w:hint="eastAsia" w:ascii="Times New Roman" w:hAnsi="Times New Roman" w:cs="Times New Roman"/>
                      <w:b w:val="0"/>
                      <w:bCs/>
                      <w:color w:val="auto"/>
                      <w:sz w:val="21"/>
                      <w:szCs w:val="21"/>
                      <w:lang w:val="en-US" w:eastAsia="zh-CN"/>
                    </w:rPr>
                    <w:t>0</w:t>
                  </w:r>
                </w:p>
              </w:tc>
            </w:tr>
          </w:tbl>
          <w:p w14:paraId="0896EC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引用数据代表性说明：根据项目所处位置，利用</w:t>
            </w:r>
            <w:r>
              <w:rPr>
                <w:rFonts w:hint="default" w:ascii="Times New Roman" w:hAnsi="Times New Roman" w:eastAsia="仿宋" w:cs="Times New Roman"/>
                <w:color w:val="auto"/>
                <w:sz w:val="24"/>
                <w:szCs w:val="24"/>
                <w:lang w:val="en-US" w:eastAsia="zh-CN"/>
              </w:rPr>
              <w:t>引用</w:t>
            </w:r>
            <w:r>
              <w:rPr>
                <w:rFonts w:hint="default" w:ascii="Times New Roman" w:hAnsi="Times New Roman" w:eastAsia="仿宋" w:cs="Times New Roman"/>
                <w:color w:val="auto"/>
                <w:sz w:val="24"/>
                <w:szCs w:val="24"/>
              </w:rPr>
              <w:t>数据进行现状评价，上述</w:t>
            </w:r>
            <w:r>
              <w:rPr>
                <w:rFonts w:hint="default" w:ascii="Times New Roman" w:hAnsi="Times New Roman" w:eastAsia="仿宋" w:cs="Times New Roman"/>
                <w:color w:val="auto"/>
                <w:sz w:val="24"/>
                <w:szCs w:val="24"/>
                <w:lang w:val="en-US" w:eastAsia="zh-CN"/>
              </w:rPr>
              <w:t>引用</w:t>
            </w:r>
            <w:r>
              <w:rPr>
                <w:rFonts w:hint="default" w:ascii="Times New Roman" w:hAnsi="Times New Roman" w:eastAsia="仿宋" w:cs="Times New Roman"/>
                <w:color w:val="auto"/>
                <w:sz w:val="24"/>
                <w:szCs w:val="24"/>
              </w:rPr>
              <w:t>点位能充分代表大气环境现状。</w:t>
            </w:r>
          </w:p>
          <w:p w14:paraId="44E8DE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引用数据时效性说明：本项目</w:t>
            </w:r>
            <w:r>
              <w:rPr>
                <w:rFonts w:hint="eastAsia" w:ascii="Times New Roman" w:hAnsi="Times New Roman" w:eastAsia="仿宋" w:cs="Times New Roman"/>
                <w:color w:val="auto"/>
                <w:sz w:val="24"/>
                <w:szCs w:val="24"/>
                <w:lang w:val="en-US" w:eastAsia="zh-CN"/>
              </w:rPr>
              <w:t>非甲烷总烃</w:t>
            </w:r>
            <w:r>
              <w:rPr>
                <w:rFonts w:hint="default" w:ascii="Times New Roman" w:hAnsi="Times New Roman" w:eastAsia="仿宋" w:cs="Times New Roman"/>
                <w:color w:val="auto"/>
                <w:sz w:val="24"/>
                <w:szCs w:val="24"/>
              </w:rPr>
              <w:t>引用江苏</w:t>
            </w:r>
            <w:r>
              <w:rPr>
                <w:rFonts w:hint="eastAsia" w:ascii="Times New Roman" w:hAnsi="Times New Roman" w:eastAsia="仿宋" w:cs="Times New Roman"/>
                <w:color w:val="auto"/>
                <w:sz w:val="24"/>
                <w:szCs w:val="24"/>
                <w:lang w:val="en-US" w:eastAsia="zh-CN"/>
              </w:rPr>
              <w:t>久诚检验检</w:t>
            </w:r>
            <w:r>
              <w:rPr>
                <w:rFonts w:hint="default" w:ascii="Times New Roman" w:hAnsi="Times New Roman" w:eastAsia="仿宋" w:cs="Times New Roman"/>
                <w:color w:val="auto"/>
                <w:sz w:val="24"/>
                <w:szCs w:val="24"/>
              </w:rPr>
              <w:t>测有限公司《</w:t>
            </w:r>
            <w:r>
              <w:rPr>
                <w:rFonts w:hint="default" w:ascii="Times New Roman" w:hAnsi="Times New Roman" w:eastAsia="仿宋" w:cs="Times New Roman"/>
                <w:sz w:val="24"/>
                <w:szCs w:val="28"/>
              </w:rPr>
              <w:t>江苏</w:t>
            </w:r>
            <w:r>
              <w:rPr>
                <w:rFonts w:hint="eastAsia" w:ascii="Times New Roman" w:hAnsi="Times New Roman" w:eastAsia="仿宋" w:cs="Times New Roman"/>
                <w:sz w:val="24"/>
                <w:szCs w:val="28"/>
                <w:lang w:val="en-US" w:eastAsia="zh-CN"/>
              </w:rPr>
              <w:t>云融机械科技</w:t>
            </w:r>
            <w:r>
              <w:rPr>
                <w:rFonts w:hint="default" w:ascii="Times New Roman" w:hAnsi="Times New Roman" w:eastAsia="仿宋" w:cs="Times New Roman"/>
                <w:sz w:val="24"/>
                <w:szCs w:val="28"/>
              </w:rPr>
              <w:t>有限公司</w:t>
            </w:r>
            <w:r>
              <w:rPr>
                <w:rFonts w:hint="default" w:ascii="Times New Roman" w:hAnsi="Times New Roman" w:eastAsia="仿宋" w:cs="Times New Roman"/>
                <w:color w:val="auto"/>
                <w:sz w:val="24"/>
                <w:szCs w:val="24"/>
              </w:rPr>
              <w:t>》中的现状检测数据，</w:t>
            </w:r>
            <w:r>
              <w:rPr>
                <w:rFonts w:hint="default" w:ascii="Times New Roman" w:hAnsi="Times New Roman" w:eastAsia="仿宋" w:cs="Times New Roman"/>
                <w:color w:val="auto"/>
                <w:sz w:val="24"/>
                <w:szCs w:val="24"/>
                <w:lang w:val="en-US" w:eastAsia="zh-CN"/>
              </w:rPr>
              <w:t>引用</w:t>
            </w:r>
            <w:r>
              <w:rPr>
                <w:rFonts w:hint="default" w:ascii="Times New Roman" w:hAnsi="Times New Roman" w:eastAsia="仿宋" w:cs="Times New Roman"/>
                <w:color w:val="auto"/>
                <w:sz w:val="24"/>
                <w:szCs w:val="24"/>
              </w:rPr>
              <w:t>点位位于本项目评价范围内，监测时间为20</w:t>
            </w:r>
            <w:r>
              <w:rPr>
                <w:rFonts w:hint="eastAsia" w:ascii="Times New Roman" w:hAnsi="Times New Roman" w:eastAsia="仿宋" w:cs="Times New Roman"/>
                <w:color w:val="auto"/>
                <w:sz w:val="24"/>
                <w:szCs w:val="24"/>
                <w:lang w:val="en-US" w:eastAsia="zh-CN"/>
              </w:rPr>
              <w:t>22</w:t>
            </w:r>
            <w:r>
              <w:rPr>
                <w:rFonts w:hint="default" w:ascii="Times New Roman" w:hAnsi="Times New Roman" w:eastAsia="仿宋" w:cs="Times New Roman"/>
                <w:color w:val="auto"/>
                <w:sz w:val="24"/>
                <w:szCs w:val="24"/>
              </w:rPr>
              <w:t>年</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rPr>
              <w:t>月</w:t>
            </w:r>
            <w:r>
              <w:rPr>
                <w:rFonts w:hint="eastAsia" w:ascii="Times New Roman" w:hAnsi="Times New Roman" w:eastAsia="仿宋" w:cs="Times New Roman"/>
                <w:color w:val="auto"/>
                <w:sz w:val="24"/>
                <w:szCs w:val="24"/>
                <w:lang w:val="en-US" w:eastAsia="zh-CN"/>
              </w:rPr>
              <w:t>20</w:t>
            </w:r>
            <w:r>
              <w:rPr>
                <w:rFonts w:hint="default" w:ascii="Times New Roman" w:hAnsi="Times New Roman" w:eastAsia="仿宋" w:cs="Times New Roman"/>
                <w:color w:val="auto"/>
                <w:sz w:val="24"/>
                <w:szCs w:val="24"/>
              </w:rPr>
              <w:t>日至20</w:t>
            </w:r>
            <w:r>
              <w:rPr>
                <w:rFonts w:hint="eastAsia" w:ascii="Times New Roman" w:hAnsi="Times New Roman" w:eastAsia="仿宋" w:cs="Times New Roman"/>
                <w:color w:val="auto"/>
                <w:sz w:val="24"/>
                <w:szCs w:val="24"/>
                <w:lang w:val="en-US" w:eastAsia="zh-CN"/>
              </w:rPr>
              <w:t>22</w:t>
            </w:r>
            <w:r>
              <w:rPr>
                <w:rFonts w:hint="default" w:ascii="Times New Roman" w:hAnsi="Times New Roman" w:eastAsia="仿宋" w:cs="Times New Roman"/>
                <w:color w:val="auto"/>
                <w:sz w:val="24"/>
                <w:szCs w:val="24"/>
              </w:rPr>
              <w:t>年</w:t>
            </w:r>
            <w:r>
              <w:rPr>
                <w:rFonts w:hint="eastAsia"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rPr>
              <w:t>月</w:t>
            </w:r>
            <w:r>
              <w:rPr>
                <w:rFonts w:hint="eastAsia" w:ascii="Times New Roman" w:hAnsi="Times New Roman" w:eastAsia="仿宋" w:cs="Times New Roman"/>
                <w:color w:val="auto"/>
                <w:sz w:val="24"/>
                <w:szCs w:val="24"/>
                <w:lang w:val="en-US" w:eastAsia="zh-CN"/>
              </w:rPr>
              <w:t>22</w:t>
            </w:r>
            <w:r>
              <w:rPr>
                <w:rFonts w:hint="default" w:ascii="Times New Roman" w:hAnsi="Times New Roman" w:eastAsia="仿宋" w:cs="Times New Roman"/>
                <w:color w:val="auto"/>
                <w:sz w:val="24"/>
                <w:szCs w:val="24"/>
              </w:rPr>
              <w:t>日，根据现场踏勘以及区域调查，项目评价区域未增加大型污染企业，从监测期间截止至今，未明显增加环境本底贡献值，因此引用数据有效。</w:t>
            </w:r>
          </w:p>
          <w:p w14:paraId="14F66342">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从表中数据可以看出，引用因子非甲烷总烃在引用点未出现超标现象。引用数据基本满足项目所在地区的环境功能区划要求，通过大气现状评价分析得出，建设项目所在区域环境空气质量基本满足环境功能区划要求，建设项目所在地周围大气环境质量较好。</w:t>
            </w:r>
          </w:p>
          <w:p w14:paraId="5DF66F0F">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w:t>
            </w:r>
            <w:r>
              <w:rPr>
                <w:rFonts w:hint="eastAsia" w:eastAsia="仿宋" w:cs="Times New Roman"/>
                <w:color w:val="auto"/>
                <w:kern w:val="0"/>
                <w:sz w:val="24"/>
                <w:szCs w:val="24"/>
                <w:lang w:val="en-US" w:eastAsia="zh-CN"/>
              </w:rPr>
              <w:t>3</w:t>
            </w:r>
            <w:r>
              <w:rPr>
                <w:rFonts w:hint="default" w:ascii="Times New Roman" w:hAnsi="Times New Roman" w:eastAsia="仿宋" w:cs="Times New Roman"/>
                <w:color w:val="auto"/>
                <w:kern w:val="0"/>
                <w:sz w:val="24"/>
                <w:szCs w:val="24"/>
              </w:rPr>
              <w:t>）区域大气污染整治方案</w:t>
            </w:r>
          </w:p>
          <w:p w14:paraId="67E365F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常州市目前尚未制定大气环境质量限期达标规划，为持续改善全市环境空气质量，常州市人民政府将“深入打好蓝天保卫战”纳入《关于印发&lt;常州市生态文明建设十大专项行动方案&gt;的通知》（常政办发[2022]32号）、《常州市生态文明建设规划（2021-2030年）》（常政发[2022]134号）、《市政府关于印发&lt;2023年常州市生态文明建设工作方案&gt;的通知》（常政发[2023]23号）。</w:t>
            </w:r>
          </w:p>
          <w:p w14:paraId="4A49FA6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摘录“常政发[2022]134号”中“深入打好蓝天保卫攻坚战”如下：</w:t>
            </w:r>
          </w:p>
          <w:p w14:paraId="539EF49A">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①</w:t>
            </w:r>
            <w:r>
              <w:rPr>
                <w:rFonts w:hint="default" w:ascii="Times New Roman" w:hAnsi="Times New Roman" w:eastAsia="仿宋" w:cs="Times New Roman"/>
                <w:sz w:val="24"/>
                <w:szCs w:val="24"/>
                <w:lang w:val="en-US" w:eastAsia="zh-CN"/>
              </w:rPr>
              <w:t>着力打好重污染天气消除攻坚战</w:t>
            </w:r>
          </w:p>
          <w:p w14:paraId="6D82E66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强化PM</w:t>
            </w:r>
            <w:r>
              <w:rPr>
                <w:rFonts w:hint="default" w:ascii="Times New Roman" w:hAnsi="Times New Roman" w:eastAsia="仿宋" w:cs="Times New Roman"/>
                <w:sz w:val="24"/>
                <w:szCs w:val="24"/>
                <w:vertAlign w:val="subscript"/>
                <w:lang w:val="en-US" w:eastAsia="zh-CN"/>
              </w:rPr>
              <w:t>2.5</w:t>
            </w:r>
            <w:r>
              <w:rPr>
                <w:rFonts w:hint="default" w:ascii="Times New Roman" w:hAnsi="Times New Roman" w:eastAsia="仿宋" w:cs="Times New Roman"/>
                <w:sz w:val="24"/>
                <w:szCs w:val="24"/>
                <w:lang w:val="en-US" w:eastAsia="zh-CN"/>
              </w:rPr>
              <w:t>和O</w:t>
            </w:r>
            <w:r>
              <w:rPr>
                <w:rFonts w:hint="default" w:ascii="Times New Roman" w:hAnsi="Times New Roman" w:eastAsia="仿宋" w:cs="Times New Roman"/>
                <w:sz w:val="24"/>
                <w:szCs w:val="24"/>
                <w:vertAlign w:val="subscript"/>
                <w:lang w:val="en-US" w:eastAsia="zh-CN"/>
              </w:rPr>
              <w:t>3</w:t>
            </w:r>
            <w:r>
              <w:rPr>
                <w:rFonts w:hint="default" w:ascii="Times New Roman" w:hAnsi="Times New Roman" w:eastAsia="仿宋" w:cs="Times New Roman"/>
                <w:sz w:val="24"/>
                <w:szCs w:val="24"/>
                <w:lang w:val="en-US" w:eastAsia="zh-CN"/>
              </w:rPr>
              <w:t>精细化协同管控。加强氮氧化物与挥发性有机物等前提物的协同减排防控，建立动态化、精细化污染源排放清单，制定污染物减排目标。深入研究PM</w:t>
            </w:r>
            <w:r>
              <w:rPr>
                <w:rFonts w:hint="default" w:ascii="Times New Roman" w:hAnsi="Times New Roman" w:eastAsia="仿宋" w:cs="Times New Roman"/>
                <w:sz w:val="24"/>
                <w:szCs w:val="24"/>
                <w:vertAlign w:val="subscript"/>
                <w:lang w:val="en-US" w:eastAsia="zh-CN"/>
              </w:rPr>
              <w:t>2.5</w:t>
            </w:r>
            <w:r>
              <w:rPr>
                <w:rFonts w:hint="default" w:ascii="Times New Roman" w:hAnsi="Times New Roman" w:eastAsia="仿宋" w:cs="Times New Roman"/>
                <w:sz w:val="24"/>
                <w:szCs w:val="24"/>
                <w:lang w:val="en-US" w:eastAsia="zh-CN"/>
              </w:rPr>
              <w:t>和O</w:t>
            </w:r>
            <w:r>
              <w:rPr>
                <w:rFonts w:hint="default" w:ascii="Times New Roman" w:hAnsi="Times New Roman" w:eastAsia="仿宋" w:cs="Times New Roman"/>
                <w:sz w:val="24"/>
                <w:szCs w:val="24"/>
                <w:vertAlign w:val="subscript"/>
                <w:lang w:val="en-US" w:eastAsia="zh-CN"/>
              </w:rPr>
              <w:t>3</w:t>
            </w:r>
            <w:r>
              <w:rPr>
                <w:rFonts w:hint="default" w:ascii="Times New Roman" w:hAnsi="Times New Roman" w:eastAsia="仿宋" w:cs="Times New Roman"/>
                <w:sz w:val="24"/>
                <w:szCs w:val="24"/>
                <w:lang w:val="en-US" w:eastAsia="zh-CN"/>
              </w:rPr>
              <w:t>污染区域传输规律和季节性特征，持续推进PM</w:t>
            </w:r>
            <w:r>
              <w:rPr>
                <w:rFonts w:hint="default" w:ascii="Times New Roman" w:hAnsi="Times New Roman" w:eastAsia="仿宋" w:cs="Times New Roman"/>
                <w:sz w:val="24"/>
                <w:szCs w:val="24"/>
                <w:vertAlign w:val="subscript"/>
                <w:lang w:val="en-US" w:eastAsia="zh-CN"/>
              </w:rPr>
              <w:t>2.5</w:t>
            </w:r>
            <w:r>
              <w:rPr>
                <w:rFonts w:hint="default" w:ascii="Times New Roman" w:hAnsi="Times New Roman" w:eastAsia="仿宋" w:cs="Times New Roman"/>
                <w:sz w:val="24"/>
                <w:szCs w:val="24"/>
                <w:lang w:val="en-US" w:eastAsia="zh-CN"/>
              </w:rPr>
              <w:t>和O</w:t>
            </w:r>
            <w:r>
              <w:rPr>
                <w:rFonts w:hint="default" w:ascii="Times New Roman" w:hAnsi="Times New Roman" w:eastAsia="仿宋" w:cs="Times New Roman"/>
                <w:sz w:val="24"/>
                <w:szCs w:val="24"/>
                <w:vertAlign w:val="subscript"/>
                <w:lang w:val="en-US" w:eastAsia="zh-CN"/>
              </w:rPr>
              <w:t>3</w:t>
            </w:r>
            <w:r>
              <w:rPr>
                <w:rFonts w:hint="default" w:ascii="Times New Roman" w:hAnsi="Times New Roman" w:eastAsia="仿宋" w:cs="Times New Roman"/>
                <w:sz w:val="24"/>
                <w:szCs w:val="24"/>
                <w:lang w:val="en-US" w:eastAsia="zh-CN"/>
              </w:rPr>
              <w:t>源解析工作，开展系统协同治理科技攻关，制定年度春夏季、秋冬季阶段性空气质量改善目标，编制臭氧污染专项治理方案和秋冬大气污染综合治理攻坚行动方案。各辖市区按照区域污染源排放特征及大气污染特征科学施策，武进区、天宁区、经开区等区域加快氮氧化物排放重点源的转型升级，溧阳市、金坛区和经开区加强O</w:t>
            </w:r>
            <w:r>
              <w:rPr>
                <w:rFonts w:hint="default" w:ascii="Times New Roman" w:hAnsi="Times New Roman" w:eastAsia="仿宋" w:cs="Times New Roman"/>
                <w:sz w:val="24"/>
                <w:szCs w:val="24"/>
                <w:vertAlign w:val="subscript"/>
                <w:lang w:val="en-US" w:eastAsia="zh-CN"/>
              </w:rPr>
              <w:t>3</w:t>
            </w:r>
            <w:r>
              <w:rPr>
                <w:rFonts w:hint="default" w:ascii="Times New Roman" w:hAnsi="Times New Roman" w:eastAsia="仿宋" w:cs="Times New Roman"/>
                <w:sz w:val="24"/>
                <w:szCs w:val="24"/>
                <w:lang w:val="en-US" w:eastAsia="zh-CN"/>
              </w:rPr>
              <w:t>分区分时分类差异化精细化协同管控。推动全市PM</w:t>
            </w:r>
            <w:r>
              <w:rPr>
                <w:rFonts w:hint="default" w:ascii="Times New Roman" w:hAnsi="Times New Roman" w:eastAsia="仿宋" w:cs="Times New Roman"/>
                <w:sz w:val="24"/>
                <w:szCs w:val="24"/>
                <w:vertAlign w:val="subscript"/>
                <w:lang w:val="en-US" w:eastAsia="zh-CN"/>
              </w:rPr>
              <w:t>2.5</w:t>
            </w:r>
            <w:r>
              <w:rPr>
                <w:rFonts w:hint="default" w:ascii="Times New Roman" w:hAnsi="Times New Roman" w:eastAsia="仿宋" w:cs="Times New Roman"/>
                <w:sz w:val="24"/>
                <w:szCs w:val="24"/>
                <w:lang w:val="en-US" w:eastAsia="zh-CN"/>
              </w:rPr>
              <w:t>浓度持续下降，有效遏制O</w:t>
            </w:r>
            <w:r>
              <w:rPr>
                <w:rFonts w:hint="default" w:ascii="Times New Roman" w:hAnsi="Times New Roman" w:eastAsia="仿宋" w:cs="Times New Roman"/>
                <w:sz w:val="24"/>
                <w:szCs w:val="24"/>
                <w:vertAlign w:val="subscript"/>
                <w:lang w:val="en-US" w:eastAsia="zh-CN"/>
              </w:rPr>
              <w:t>3</w:t>
            </w:r>
            <w:r>
              <w:rPr>
                <w:rFonts w:hint="default" w:ascii="Times New Roman" w:hAnsi="Times New Roman" w:eastAsia="仿宋" w:cs="Times New Roman"/>
                <w:sz w:val="24"/>
                <w:szCs w:val="24"/>
                <w:lang w:val="en-US" w:eastAsia="zh-CN"/>
              </w:rPr>
              <w:t>浓度增长趋势，基本消除重污染天气。</w:t>
            </w:r>
          </w:p>
          <w:p w14:paraId="1C52657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②</w:t>
            </w:r>
            <w:r>
              <w:rPr>
                <w:rFonts w:hint="default" w:ascii="Times New Roman" w:hAnsi="Times New Roman" w:eastAsia="仿宋" w:cs="Times New Roman"/>
                <w:sz w:val="24"/>
                <w:szCs w:val="24"/>
                <w:lang w:val="en-US" w:eastAsia="zh-CN"/>
              </w:rPr>
              <w:t xml:space="preserve">着力打好臭氧污染防治攻坚战 </w:t>
            </w:r>
          </w:p>
          <w:p w14:paraId="5E93677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严格控制新增VOCs排放量，执行VOCs含量限值强制性标准。推进化工、喷涂、铸造、包装印刷、工业涂装等重点行业深度治理，建立完善源头、过程和末端的VOCs全过程控制体系，实施VOCs排放总量控制。开展原油、成品油、有机化学品等涉VOCs物质储罐排查，逐步取消制药、农药、化工、工业涂装、包装印刷等企业非必要的VOCs废气排放系统旁路。优先推行生产环节使用低VOCs 原辅材料的源头替代，完成低挥发性有机物等原辅料源头替代项目100个以上。深化汽修行业VOCs治理，推广低VOCs含量产品在汽修行业的应用，色漆鼓励使用水性涂料，中涂、底漆使用高固分涂料。加强无组织排放管控，强化VOCs物料全环节的无组织排放控制。</w:t>
            </w:r>
          </w:p>
          <w:p w14:paraId="5B7FAA89">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 xml:space="preserve">③深化工业园区、企业集群综合治理 </w:t>
            </w:r>
          </w:p>
          <w:p w14:paraId="3DF0433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实施工业园区（集中区）污染物排放限值限量管理，持续深化全市工业园区的VOCs治理工作，减少园区VOCs排放总量，建立并推进“嗅辨师”制度，推进“无异味”园区全覆盖，到2025年，园区VOCs排放总量较2020年削减20%。完善园区统一的LDAR管理系统，建成重点园区LDAR智慧监管平台。开展企业集群排查整治。根据产业结构特征因地制宜建设大气“绿岛”项目，实现“集约建设，共享治污”。</w:t>
            </w:r>
          </w:p>
          <w:p w14:paraId="172D924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④</w:t>
            </w:r>
            <w:r>
              <w:rPr>
                <w:rFonts w:hint="default" w:ascii="Times New Roman" w:hAnsi="Times New Roman" w:eastAsia="仿宋" w:cs="Times New Roman"/>
                <w:sz w:val="24"/>
                <w:szCs w:val="24"/>
                <w:lang w:val="en-US" w:eastAsia="zh-CN"/>
              </w:rPr>
              <w:t xml:space="preserve">推进固定源深度治理 </w:t>
            </w:r>
          </w:p>
          <w:p w14:paraId="21441D66">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持续推进钢铁、水泥、电力企业超低排放改造，研究开展非电非钢行业超低排放改造，推进建材、有色、化工等工业窑炉重点行业大气污染深度治理，完成全市工业炉窑排查、整治、建档工作，石化、水泥、玻璃等重点涉工业炉窑企业，完成超低排放改造或深度治理、清洁能源替代。推动一批铸造企业率先完成超低排放改造（深度治理）。严格控制水泥、垃圾焚烧发电、建材等行业物料（含废渣）运输、装卸、储存、转移和工艺过程的无组织排放。</w:t>
            </w:r>
          </w:p>
          <w:p w14:paraId="585C46D5">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rPr>
              <w:t>⑤ </w:t>
            </w:r>
            <w:r>
              <w:rPr>
                <w:rFonts w:hint="default" w:ascii="Times New Roman" w:hAnsi="Times New Roman" w:eastAsia="仿宋" w:cs="Times New Roman"/>
                <w:sz w:val="24"/>
                <w:szCs w:val="24"/>
                <w:lang w:val="en-US" w:eastAsia="zh-CN"/>
              </w:rPr>
              <w:t>加强城市面源污染治理</w:t>
            </w:r>
          </w:p>
          <w:p w14:paraId="19C176DB">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深入推进餐饮油烟和住宅油烟专项治理，核算餐饮业排放量并建立排放清单，持续加强餐饮油烟监管和餐饮业执法检查，开展规模以上餐饮企业污染物排放自动监测试点，因地制宜建设油烟净化处理“绿岛”项目。</w:t>
            </w:r>
          </w:p>
          <w:p w14:paraId="52717E1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全面推行绿色施工，实施扬尘精细化管控，探索将绿色施工纳入企业资质评价、信用评价，重点区域道路、水务等线性工程进行分段施工。实施渣土车硬覆盖与全密闭运输，2022年起设区市建成区渣土运输必须全面使用新型渣土车。推行港口码头仓库料场封闭管理，全面完成抑尘设施建设和物料输送系统封闭改造，鼓励有条件的码头堆场实施全封闭改造。</w:t>
            </w:r>
          </w:p>
          <w:p w14:paraId="6F2D766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提高道路保洁水平，持续提高道路保洁机械化清扫率和冲洗率，加强重污染天气应对，加强道路洒水、雾炮等抑尘作业，增加机械化作业频次，建成区机扫率达到95%以上，郊区（园区）达到90%以上。加严降尘量控制指标，2025年主城区平均降尘量不得高于2.8吨/（月•平方公里），其他区（园区）不得高于3.2吨/（月•平方公里）。</w:t>
            </w:r>
          </w:p>
          <w:p w14:paraId="291AB78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⑥加强其他涉气污染物控制</w:t>
            </w:r>
          </w:p>
          <w:p w14:paraId="7A5FF043">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加强恶臭、有毒有害大气污染物防控，探索建立化工园区“嗅辩+监测”的异味溯源机制，重点开展武进区、天宁区、经开区等区域印染、地板等行业的大气环境深度治理，对异味等重点排放企业、危险废物产生量大的企业开展专项审核。鼓励开展恶臭投诉重点企业和园区的恶臭电子鼻监测、排查溯源及综合治理。探索建立大气氨规范化排放清单，推动大气氨排放控制，推进养殖业、种植业大气氨减排，开展大型规模化养殖场大气氨排放总量控制，力争到2025年大型规模化养殖场大气氨排放总量削减5%。</w:t>
            </w:r>
          </w:p>
          <w:p w14:paraId="694EBD3F">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⑦加强重点区域联防联控</w:t>
            </w:r>
          </w:p>
          <w:p w14:paraId="65953FC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加强区域联防联控，优化调整大气污染防治重点区域范围，坚持属地管理与区域共治相结合，积极响应长三角区域联防联控要求，落实重大活动、区域污染应急管控等区域联防工作，做好重大活动空气质量保障。积极参与完善武澄沙区域大气污染联防联控机制，推进夏季联合上风向城市开展臭氧污染联防联控。加强污染天气应急响应，落实“一行一策”污染应对、细化应急减排清单、加强技术手段监管，基于环境绩效推动重点行业企业错峰生产，对重点区域、重点领域内工业企业采取更精准、更科学的差异化应急减排措施。探索轻、中度污染天气应急响应的应对机制。</w:t>
            </w:r>
          </w:p>
          <w:p w14:paraId="4F5C803C">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采取以上措施后，常州市环境空气质量将得到持续改善。</w:t>
            </w:r>
          </w:p>
          <w:p w14:paraId="1FCF8AEC">
            <w:pPr>
              <w:pStyle w:val="1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2、地表水环境质量</w:t>
            </w:r>
          </w:p>
          <w:p w14:paraId="4465D412">
            <w:pPr>
              <w:pStyle w:val="1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bookmarkStart w:id="2" w:name="_Toc178588521"/>
            <w:bookmarkStart w:id="3" w:name="_Toc271019109"/>
            <w:bookmarkStart w:id="4" w:name="_Toc152581403"/>
            <w:bookmarkStart w:id="5" w:name="_Toc233792960"/>
            <w:bookmarkStart w:id="6" w:name="_Toc235343726"/>
            <w:bookmarkStart w:id="7" w:name="_Toc178588693"/>
            <w:bookmarkStart w:id="8" w:name="_Toc234835726"/>
            <w:bookmarkStart w:id="9" w:name="_Toc178588239"/>
            <w:bookmarkStart w:id="10" w:name="_Toc216926467"/>
            <w:bookmarkStart w:id="11" w:name="_Toc232928908"/>
            <w:r>
              <w:rPr>
                <w:rFonts w:hint="default" w:ascii="Times New Roman" w:hAnsi="Times New Roman" w:eastAsia="仿宋" w:cs="Times New Roman"/>
                <w:color w:val="auto"/>
                <w:sz w:val="24"/>
                <w:szCs w:val="24"/>
              </w:rPr>
              <w:t>（1）区域水环境公报</w:t>
            </w:r>
          </w:p>
          <w:p w14:paraId="68E9B1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根据《202</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常州市生态环境状况公报》，</w:t>
            </w:r>
            <w:r>
              <w:rPr>
                <w:rFonts w:hint="default" w:ascii="Times New Roman" w:hAnsi="Times New Roman" w:eastAsia="仿宋" w:cs="Times New Roman"/>
                <w:color w:val="auto"/>
                <w:sz w:val="24"/>
                <w:szCs w:val="24"/>
                <w:lang w:val="en-US" w:eastAsia="zh-CN"/>
              </w:rPr>
              <w:t>2023年</w:t>
            </w:r>
            <w:r>
              <w:rPr>
                <w:rFonts w:hint="default" w:ascii="Times New Roman" w:hAnsi="Times New Roman" w:eastAsia="仿宋" w:cs="Times New Roman"/>
                <w:color w:val="auto"/>
                <w:sz w:val="24"/>
                <w:szCs w:val="24"/>
              </w:rPr>
              <w:t>常州市纳入“十四五”国家地表水环境质量考核的20个断面中，年均水质达到或好于《地表水环境质量标准》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GB3838-2002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Ⅲ类标准的断面比例为8</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.0%，无劣V类断面。纳入江苏省“十四五”水环境质量目标考核51个断面，年均水质达到或好于Ⅲ类的比例为9</w:t>
            </w:r>
            <w:r>
              <w:rPr>
                <w:rFonts w:hint="default"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%，无劣V类断面。</w:t>
            </w:r>
            <w:r>
              <w:rPr>
                <w:rFonts w:hint="default" w:ascii="Times New Roman" w:hAnsi="Times New Roman" w:eastAsia="仿宋" w:cs="Times New Roman"/>
                <w:color w:val="auto"/>
                <w:sz w:val="24"/>
                <w:szCs w:val="24"/>
                <w:lang w:val="en-US" w:eastAsia="zh-CN"/>
              </w:rPr>
              <w:t>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7CED608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718B1C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持续打好长江保护修复攻坚战，到2025年长江干流水质稳定达到Ⅱ类；持续打好太湖流域综合整治攻坚战，坚决守住“确保饮用水安全，确保不发生大面积湖泛”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污水处理提质增效达标区”；着力打好海洋生态环境综合治理攻坚战，推进重点河口海湾综合治理，深入开展“美丽海湾”建设；强化陆域水域污染协同治理，到2025年，全面完成骨干河道和重点湖泊排污口排查整治。</w:t>
            </w:r>
          </w:p>
          <w:p w14:paraId="696CE897">
            <w:pPr>
              <w:pStyle w:val="1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（2）地表水环境质量现状引用结果及评价</w:t>
            </w:r>
          </w:p>
          <w:bookmarkEnd w:id="2"/>
          <w:bookmarkEnd w:id="3"/>
          <w:bookmarkEnd w:id="4"/>
          <w:bookmarkEnd w:id="5"/>
          <w:bookmarkEnd w:id="6"/>
          <w:bookmarkEnd w:id="7"/>
          <w:bookmarkEnd w:id="8"/>
          <w:bookmarkEnd w:id="9"/>
          <w:bookmarkEnd w:id="10"/>
          <w:bookmarkEnd w:id="11"/>
          <w:p w14:paraId="058E443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24"/>
              </w:rPr>
              <w:t>根据《江苏省地表水（环境）功能区划（2021-2030年）》，新京杭运河水环境功能为</w:t>
            </w:r>
            <w:r>
              <w:rPr>
                <w:rFonts w:hint="default" w:ascii="Times New Roman" w:hAnsi="Times New Roman" w:eastAsia="仿宋" w:cs="Times New Roman"/>
                <w:color w:val="auto"/>
                <w:sz w:val="24"/>
                <w:szCs w:val="32"/>
              </w:rPr>
              <w:t>Ⅲ类。</w:t>
            </w:r>
          </w:p>
          <w:p w14:paraId="1D335AFD">
            <w:pPr>
              <w:pStyle w:val="1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次地表水环境质量现状评价布设2个引用断面，引用江苏久诚检验检测有限公司2022年4月3日~4月5日历史监测数据，W1、W2分别位于京杭运河滨湖污水处理厂排口上游500m处和京杭运河滨湖污水处理厂排口下游1000m处，报告编号为：JCH20220131。</w:t>
            </w:r>
          </w:p>
          <w:p w14:paraId="570B6C0F">
            <w:pPr>
              <w:pStyle w:val="13"/>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color w:val="auto"/>
                <w:sz w:val="24"/>
                <w:szCs w:val="24"/>
              </w:rPr>
              <w:t>地表水环境质量现状监测断面具体位置见表3-</w:t>
            </w:r>
            <w:r>
              <w:rPr>
                <w:rFonts w:hint="eastAsia"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，监测结果汇总见表3-</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w:t>
            </w:r>
          </w:p>
          <w:p w14:paraId="678F246B">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eastAsia" w:eastAsia="仿宋" w:cs="Times New Roman"/>
                <w:b/>
                <w:color w:val="auto"/>
                <w:szCs w:val="21"/>
                <w:lang w:val="en-US" w:eastAsia="zh-CN"/>
              </w:rPr>
              <w:t>3</w:t>
            </w:r>
            <w:r>
              <w:rPr>
                <w:rFonts w:hint="default" w:ascii="Times New Roman" w:hAnsi="Times New Roman" w:eastAsia="仿宋" w:cs="Times New Roman"/>
                <w:b/>
                <w:color w:val="auto"/>
                <w:szCs w:val="21"/>
              </w:rPr>
              <w:t xml:space="preserve">  地表水环境质量现状监测断面</w:t>
            </w:r>
          </w:p>
          <w:tbl>
            <w:tblPr>
              <w:tblStyle w:val="24"/>
              <w:tblW w:w="0" w:type="auto"/>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013"/>
              <w:gridCol w:w="987"/>
              <w:gridCol w:w="3036"/>
              <w:gridCol w:w="914"/>
              <w:gridCol w:w="1346"/>
              <w:gridCol w:w="966"/>
            </w:tblGrid>
            <w:tr w14:paraId="7DFE3003">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tcBorders>
                    <w:top w:val="single" w:color="auto" w:sz="12" w:space="0"/>
                  </w:tcBorders>
                  <w:noWrap w:val="0"/>
                  <w:vAlign w:val="center"/>
                </w:tcPr>
                <w:p w14:paraId="3161A937">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河流名称</w:t>
                  </w:r>
                </w:p>
              </w:tc>
              <w:tc>
                <w:tcPr>
                  <w:tcW w:w="987" w:type="dxa"/>
                  <w:tcBorders>
                    <w:top w:val="single" w:color="auto" w:sz="12" w:space="0"/>
                  </w:tcBorders>
                  <w:noWrap w:val="0"/>
                  <w:vAlign w:val="center"/>
                </w:tcPr>
                <w:p w14:paraId="523C80F1">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引用断面</w:t>
                  </w:r>
                </w:p>
              </w:tc>
              <w:tc>
                <w:tcPr>
                  <w:tcW w:w="3036" w:type="dxa"/>
                  <w:tcBorders>
                    <w:top w:val="single" w:color="auto" w:sz="12" w:space="0"/>
                  </w:tcBorders>
                  <w:noWrap w:val="0"/>
                  <w:vAlign w:val="center"/>
                </w:tcPr>
                <w:p w14:paraId="7E71D8C2">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断面位置</w:t>
                  </w:r>
                </w:p>
              </w:tc>
              <w:tc>
                <w:tcPr>
                  <w:tcW w:w="914" w:type="dxa"/>
                  <w:tcBorders>
                    <w:top w:val="single" w:color="auto" w:sz="12" w:space="0"/>
                  </w:tcBorders>
                  <w:noWrap w:val="0"/>
                  <w:vAlign w:val="center"/>
                </w:tcPr>
                <w:p w14:paraId="7B142228">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断面位置</w:t>
                  </w:r>
                </w:p>
              </w:tc>
              <w:tc>
                <w:tcPr>
                  <w:tcW w:w="1346" w:type="dxa"/>
                  <w:tcBorders>
                    <w:top w:val="single" w:color="auto" w:sz="12" w:space="0"/>
                  </w:tcBorders>
                  <w:noWrap w:val="0"/>
                  <w:vAlign w:val="center"/>
                </w:tcPr>
                <w:p w14:paraId="45CDB82F">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引用因子</w:t>
                  </w:r>
                </w:p>
              </w:tc>
              <w:tc>
                <w:tcPr>
                  <w:tcW w:w="966" w:type="dxa"/>
                  <w:tcBorders>
                    <w:top w:val="single" w:color="auto" w:sz="12" w:space="0"/>
                  </w:tcBorders>
                  <w:noWrap w:val="0"/>
                  <w:vAlign w:val="center"/>
                </w:tcPr>
                <w:p w14:paraId="56B55C66">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环境功能</w:t>
                  </w:r>
                </w:p>
              </w:tc>
            </w:tr>
            <w:tr w14:paraId="4D786F0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vMerge w:val="restart"/>
                  <w:noWrap w:val="0"/>
                  <w:vAlign w:val="center"/>
                </w:tcPr>
                <w:p w14:paraId="11FA2241">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新京杭</w:t>
                  </w:r>
                </w:p>
                <w:p w14:paraId="2E34E093">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运河</w:t>
                  </w:r>
                </w:p>
              </w:tc>
              <w:tc>
                <w:tcPr>
                  <w:tcW w:w="987" w:type="dxa"/>
                  <w:noWrap w:val="0"/>
                  <w:vAlign w:val="center"/>
                </w:tcPr>
                <w:p w14:paraId="7C442A78">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W1</w:t>
                  </w:r>
                </w:p>
              </w:tc>
              <w:tc>
                <w:tcPr>
                  <w:tcW w:w="3036" w:type="dxa"/>
                  <w:noWrap w:val="0"/>
                  <w:vAlign w:val="center"/>
                </w:tcPr>
                <w:p w14:paraId="340CD71D">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滨湖污水处理厂排口上游500m</w:t>
                  </w:r>
                </w:p>
              </w:tc>
              <w:tc>
                <w:tcPr>
                  <w:tcW w:w="914" w:type="dxa"/>
                  <w:vMerge w:val="restart"/>
                  <w:noWrap w:val="0"/>
                  <w:vAlign w:val="center"/>
                </w:tcPr>
                <w:p w14:paraId="6F02E8A9">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河道</w:t>
                  </w:r>
                </w:p>
                <w:p w14:paraId="28A6175F">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中央</w:t>
                  </w:r>
                </w:p>
              </w:tc>
              <w:tc>
                <w:tcPr>
                  <w:tcW w:w="1346" w:type="dxa"/>
                  <w:vMerge w:val="restart"/>
                  <w:noWrap w:val="0"/>
                  <w:vAlign w:val="center"/>
                </w:tcPr>
                <w:p w14:paraId="717F5809">
                  <w:pPr>
                    <w:spacing w:line="320" w:lineRule="exact"/>
                    <w:jc w:val="center"/>
                    <w:rPr>
                      <w:rFonts w:hint="default" w:ascii="Times New Roman" w:hAnsi="Times New Roman" w:eastAsia="仿宋" w:cs="Times New Roman"/>
                      <w:color w:val="auto"/>
                      <w:szCs w:val="21"/>
                    </w:rPr>
                  </w:pPr>
                  <w:bookmarkStart w:id="12" w:name="_Toc420308855"/>
                  <w:r>
                    <w:rPr>
                      <w:rFonts w:hint="default" w:ascii="Times New Roman" w:hAnsi="Times New Roman" w:eastAsia="仿宋" w:cs="Times New Roman"/>
                      <w:color w:val="auto"/>
                      <w:szCs w:val="21"/>
                    </w:rPr>
                    <w:t>pH、</w:t>
                  </w:r>
                  <w:bookmarkEnd w:id="12"/>
                  <w:r>
                    <w:rPr>
                      <w:rFonts w:hint="default" w:ascii="Times New Roman" w:hAnsi="Times New Roman" w:eastAsia="仿宋" w:cs="Times New Roman"/>
                      <w:color w:val="auto"/>
                      <w:szCs w:val="21"/>
                    </w:rPr>
                    <w:t>COD、氨氮、总磷</w:t>
                  </w:r>
                </w:p>
              </w:tc>
              <w:tc>
                <w:tcPr>
                  <w:tcW w:w="966" w:type="dxa"/>
                  <w:vMerge w:val="restart"/>
                  <w:noWrap w:val="0"/>
                  <w:vAlign w:val="center"/>
                </w:tcPr>
                <w:p w14:paraId="7920E529">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Ⅲ类</w:t>
                  </w:r>
                </w:p>
              </w:tc>
            </w:tr>
            <w:tr w14:paraId="3DFF608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1013" w:type="dxa"/>
                  <w:vMerge w:val="continue"/>
                  <w:tcBorders>
                    <w:bottom w:val="single" w:color="auto" w:sz="12" w:space="0"/>
                  </w:tcBorders>
                  <w:noWrap w:val="0"/>
                  <w:vAlign w:val="center"/>
                </w:tcPr>
                <w:p w14:paraId="5A04CA28">
                  <w:pPr>
                    <w:widowControl/>
                    <w:spacing w:line="320" w:lineRule="exact"/>
                    <w:jc w:val="left"/>
                    <w:rPr>
                      <w:rFonts w:hint="default" w:ascii="Times New Roman" w:hAnsi="Times New Roman" w:eastAsia="仿宋" w:cs="Times New Roman"/>
                      <w:color w:val="auto"/>
                      <w:szCs w:val="21"/>
                    </w:rPr>
                  </w:pPr>
                </w:p>
              </w:tc>
              <w:tc>
                <w:tcPr>
                  <w:tcW w:w="987" w:type="dxa"/>
                  <w:tcBorders>
                    <w:bottom w:val="single" w:color="auto" w:sz="12" w:space="0"/>
                  </w:tcBorders>
                  <w:noWrap w:val="0"/>
                  <w:vAlign w:val="center"/>
                </w:tcPr>
                <w:p w14:paraId="60EDA79B">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W2</w:t>
                  </w:r>
                </w:p>
              </w:tc>
              <w:tc>
                <w:tcPr>
                  <w:tcW w:w="3036" w:type="dxa"/>
                  <w:tcBorders>
                    <w:bottom w:val="single" w:color="auto" w:sz="12" w:space="0"/>
                  </w:tcBorders>
                  <w:noWrap w:val="0"/>
                  <w:vAlign w:val="center"/>
                </w:tcPr>
                <w:p w14:paraId="01D0E186">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滨湖污水处理厂排口下游1000m</w:t>
                  </w:r>
                </w:p>
              </w:tc>
              <w:tc>
                <w:tcPr>
                  <w:tcW w:w="914" w:type="dxa"/>
                  <w:vMerge w:val="continue"/>
                  <w:tcBorders>
                    <w:bottom w:val="single" w:color="auto" w:sz="12" w:space="0"/>
                  </w:tcBorders>
                  <w:noWrap w:val="0"/>
                  <w:vAlign w:val="center"/>
                </w:tcPr>
                <w:p w14:paraId="40DD028B">
                  <w:pPr>
                    <w:widowControl/>
                    <w:spacing w:line="320" w:lineRule="exact"/>
                    <w:jc w:val="left"/>
                    <w:rPr>
                      <w:rFonts w:hint="default" w:ascii="Times New Roman" w:hAnsi="Times New Roman" w:eastAsia="仿宋" w:cs="Times New Roman"/>
                      <w:color w:val="auto"/>
                      <w:szCs w:val="21"/>
                    </w:rPr>
                  </w:pPr>
                </w:p>
              </w:tc>
              <w:tc>
                <w:tcPr>
                  <w:tcW w:w="1346" w:type="dxa"/>
                  <w:vMerge w:val="continue"/>
                  <w:tcBorders>
                    <w:bottom w:val="single" w:color="auto" w:sz="12" w:space="0"/>
                  </w:tcBorders>
                  <w:noWrap w:val="0"/>
                  <w:vAlign w:val="center"/>
                </w:tcPr>
                <w:p w14:paraId="5483B94F">
                  <w:pPr>
                    <w:widowControl/>
                    <w:spacing w:line="320" w:lineRule="exact"/>
                    <w:jc w:val="left"/>
                    <w:rPr>
                      <w:rFonts w:hint="default" w:ascii="Times New Roman" w:hAnsi="Times New Roman" w:eastAsia="仿宋" w:cs="Times New Roman"/>
                      <w:color w:val="auto"/>
                      <w:szCs w:val="21"/>
                    </w:rPr>
                  </w:pPr>
                </w:p>
              </w:tc>
              <w:tc>
                <w:tcPr>
                  <w:tcW w:w="966" w:type="dxa"/>
                  <w:vMerge w:val="continue"/>
                  <w:tcBorders>
                    <w:bottom w:val="single" w:color="auto" w:sz="12" w:space="0"/>
                  </w:tcBorders>
                  <w:noWrap w:val="0"/>
                  <w:vAlign w:val="center"/>
                </w:tcPr>
                <w:p w14:paraId="380C6B01">
                  <w:pPr>
                    <w:widowControl/>
                    <w:spacing w:line="320" w:lineRule="exact"/>
                    <w:jc w:val="left"/>
                    <w:rPr>
                      <w:rFonts w:hint="default" w:ascii="Times New Roman" w:hAnsi="Times New Roman" w:eastAsia="仿宋" w:cs="Times New Roman"/>
                      <w:color w:val="auto"/>
                      <w:szCs w:val="21"/>
                    </w:rPr>
                  </w:pPr>
                </w:p>
              </w:tc>
            </w:tr>
          </w:tbl>
          <w:p w14:paraId="3F1784FE">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eastAsia" w:eastAsia="仿宋" w:cs="Times New Roman"/>
                <w:b/>
                <w:color w:val="auto"/>
                <w:szCs w:val="21"/>
                <w:lang w:val="en-US" w:eastAsia="zh-CN"/>
              </w:rPr>
              <w:t>4</w:t>
            </w:r>
            <w:r>
              <w:rPr>
                <w:rFonts w:hint="default" w:ascii="Times New Roman" w:hAnsi="Times New Roman" w:eastAsia="仿宋" w:cs="Times New Roman"/>
                <w:b/>
                <w:color w:val="auto"/>
                <w:szCs w:val="21"/>
              </w:rPr>
              <w:t xml:space="preserve">  地表水质量引用结果汇总表 （mg/L）</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783"/>
              <w:gridCol w:w="1085"/>
              <w:gridCol w:w="1672"/>
              <w:gridCol w:w="1458"/>
              <w:gridCol w:w="1443"/>
            </w:tblGrid>
            <w:tr w14:paraId="02FE98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noWrap w:val="0"/>
                  <w:vAlign w:val="center"/>
                </w:tcPr>
                <w:p w14:paraId="3123DCA8">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断面</w:t>
                  </w:r>
                </w:p>
              </w:tc>
              <w:tc>
                <w:tcPr>
                  <w:tcW w:w="1075" w:type="pct"/>
                  <w:noWrap w:val="0"/>
                  <w:vAlign w:val="center"/>
                </w:tcPr>
                <w:p w14:paraId="01EA0598">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项目</w:t>
                  </w:r>
                </w:p>
              </w:tc>
              <w:tc>
                <w:tcPr>
                  <w:tcW w:w="654" w:type="pct"/>
                  <w:noWrap w:val="0"/>
                  <w:vAlign w:val="center"/>
                </w:tcPr>
                <w:p w14:paraId="735E0CC4">
                  <w:pPr>
                    <w:pStyle w:val="51"/>
                    <w:widowControl w:val="0"/>
                    <w:pBdr>
                      <w:bottom w:val="none" w:color="auto" w:sz="0" w:space="0"/>
                    </w:pBdr>
                    <w:spacing w:before="0" w:after="0" w:line="320" w:lineRule="exact"/>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pH</w:t>
                  </w:r>
                </w:p>
              </w:tc>
              <w:tc>
                <w:tcPr>
                  <w:tcW w:w="1008" w:type="pct"/>
                  <w:noWrap w:val="0"/>
                  <w:vAlign w:val="center"/>
                </w:tcPr>
                <w:p w14:paraId="0FD3F278">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化学需氧量</w:t>
                  </w:r>
                </w:p>
              </w:tc>
              <w:tc>
                <w:tcPr>
                  <w:tcW w:w="879" w:type="pct"/>
                  <w:noWrap w:val="0"/>
                  <w:vAlign w:val="center"/>
                </w:tcPr>
                <w:p w14:paraId="696175A5">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氨氮</w:t>
                  </w:r>
                </w:p>
              </w:tc>
              <w:tc>
                <w:tcPr>
                  <w:tcW w:w="870" w:type="pct"/>
                  <w:noWrap w:val="0"/>
                  <w:vAlign w:val="center"/>
                </w:tcPr>
                <w:p w14:paraId="24F8A15C">
                  <w:pPr>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总磷</w:t>
                  </w:r>
                </w:p>
              </w:tc>
            </w:tr>
            <w:tr w14:paraId="1AA79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restart"/>
                  <w:noWrap w:val="0"/>
                  <w:vAlign w:val="center"/>
                </w:tcPr>
                <w:p w14:paraId="26705F30">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W1</w:t>
                  </w:r>
                </w:p>
              </w:tc>
              <w:tc>
                <w:tcPr>
                  <w:tcW w:w="1075" w:type="pct"/>
                  <w:noWrap w:val="0"/>
                  <w:vAlign w:val="center"/>
                </w:tcPr>
                <w:p w14:paraId="14628BE9">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浓度范围mg/L</w:t>
                  </w:r>
                </w:p>
              </w:tc>
              <w:tc>
                <w:tcPr>
                  <w:tcW w:w="654" w:type="pct"/>
                  <w:noWrap w:val="0"/>
                  <w:vAlign w:val="center"/>
                </w:tcPr>
                <w:p w14:paraId="6628F060">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7.0~7.1</w:t>
                  </w:r>
                </w:p>
              </w:tc>
              <w:tc>
                <w:tcPr>
                  <w:tcW w:w="1008" w:type="pct"/>
                  <w:noWrap w:val="0"/>
                  <w:vAlign w:val="center"/>
                </w:tcPr>
                <w:p w14:paraId="7B15D883">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12~14</w:t>
                  </w:r>
                </w:p>
              </w:tc>
              <w:tc>
                <w:tcPr>
                  <w:tcW w:w="879" w:type="pct"/>
                  <w:noWrap w:val="0"/>
                  <w:vAlign w:val="center"/>
                </w:tcPr>
                <w:p w14:paraId="58796705">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0.522~0.565</w:t>
                  </w:r>
                </w:p>
              </w:tc>
              <w:tc>
                <w:tcPr>
                  <w:tcW w:w="870" w:type="pct"/>
                  <w:noWrap w:val="0"/>
                  <w:vAlign w:val="center"/>
                </w:tcPr>
                <w:p w14:paraId="62833752">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0.11~0.13</w:t>
                  </w:r>
                </w:p>
              </w:tc>
            </w:tr>
            <w:tr w14:paraId="6EACA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0B76493D">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47581E97">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标注指数</w:t>
                  </w:r>
                </w:p>
              </w:tc>
              <w:tc>
                <w:tcPr>
                  <w:tcW w:w="654" w:type="pct"/>
                  <w:noWrap w:val="0"/>
                  <w:vAlign w:val="center"/>
                </w:tcPr>
                <w:p w14:paraId="0E0BA8CD">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0~0.05</w:t>
                  </w:r>
                </w:p>
              </w:tc>
              <w:tc>
                <w:tcPr>
                  <w:tcW w:w="1008" w:type="pct"/>
                  <w:noWrap w:val="0"/>
                  <w:vAlign w:val="center"/>
                </w:tcPr>
                <w:p w14:paraId="2917EF33">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0.6~0.7</w:t>
                  </w:r>
                </w:p>
              </w:tc>
              <w:tc>
                <w:tcPr>
                  <w:tcW w:w="879" w:type="pct"/>
                  <w:noWrap w:val="0"/>
                  <w:vAlign w:val="center"/>
                </w:tcPr>
                <w:p w14:paraId="40A76B9C">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0.522~0.565</w:t>
                  </w:r>
                </w:p>
              </w:tc>
              <w:tc>
                <w:tcPr>
                  <w:tcW w:w="870" w:type="pct"/>
                  <w:noWrap w:val="0"/>
                  <w:vAlign w:val="center"/>
                </w:tcPr>
                <w:p w14:paraId="5C605BE3">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0.55~0.65</w:t>
                  </w:r>
                </w:p>
              </w:tc>
            </w:tr>
            <w:tr w14:paraId="465FAE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23FC6F24">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22C1F9E0">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超标率％</w:t>
                  </w:r>
                </w:p>
              </w:tc>
              <w:tc>
                <w:tcPr>
                  <w:tcW w:w="654" w:type="pct"/>
                  <w:noWrap w:val="0"/>
                  <w:vAlign w:val="center"/>
                </w:tcPr>
                <w:p w14:paraId="12F0C20E">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008" w:type="pct"/>
                  <w:noWrap w:val="0"/>
                  <w:vAlign w:val="center"/>
                </w:tcPr>
                <w:p w14:paraId="4B667F31">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9" w:type="pct"/>
                  <w:noWrap w:val="0"/>
                  <w:vAlign w:val="center"/>
                </w:tcPr>
                <w:p w14:paraId="1D602F77">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0" w:type="pct"/>
                  <w:noWrap w:val="0"/>
                  <w:vAlign w:val="center"/>
                </w:tcPr>
                <w:p w14:paraId="546A2BD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r>
            <w:tr w14:paraId="37B37A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46ABFA49">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7C6F7C3B">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最大超标倍数</w:t>
                  </w:r>
                </w:p>
              </w:tc>
              <w:tc>
                <w:tcPr>
                  <w:tcW w:w="654" w:type="pct"/>
                  <w:noWrap w:val="0"/>
                  <w:vAlign w:val="center"/>
                </w:tcPr>
                <w:p w14:paraId="1993D1E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008" w:type="pct"/>
                  <w:noWrap w:val="0"/>
                  <w:vAlign w:val="center"/>
                </w:tcPr>
                <w:p w14:paraId="509269D3">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9" w:type="pct"/>
                  <w:noWrap w:val="0"/>
                  <w:vAlign w:val="center"/>
                </w:tcPr>
                <w:p w14:paraId="4F3D868F">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0" w:type="pct"/>
                  <w:noWrap w:val="0"/>
                  <w:vAlign w:val="center"/>
                </w:tcPr>
                <w:p w14:paraId="03F44642">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r>
            <w:tr w14:paraId="10E2FB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restart"/>
                  <w:noWrap w:val="0"/>
                  <w:vAlign w:val="center"/>
                </w:tcPr>
                <w:p w14:paraId="166AA4C9">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W2</w:t>
                  </w:r>
                </w:p>
              </w:tc>
              <w:tc>
                <w:tcPr>
                  <w:tcW w:w="1075" w:type="pct"/>
                  <w:noWrap w:val="0"/>
                  <w:vAlign w:val="center"/>
                </w:tcPr>
                <w:p w14:paraId="72569153">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浓度范围mg/L</w:t>
                  </w:r>
                </w:p>
              </w:tc>
              <w:tc>
                <w:tcPr>
                  <w:tcW w:w="654" w:type="pct"/>
                  <w:noWrap w:val="0"/>
                  <w:vAlign w:val="center"/>
                </w:tcPr>
                <w:p w14:paraId="553D83B0">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7.1~7.2</w:t>
                  </w:r>
                </w:p>
              </w:tc>
              <w:tc>
                <w:tcPr>
                  <w:tcW w:w="1008" w:type="pct"/>
                  <w:noWrap w:val="0"/>
                  <w:vAlign w:val="center"/>
                </w:tcPr>
                <w:p w14:paraId="3C0A04FB">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17~19</w:t>
                  </w:r>
                </w:p>
              </w:tc>
              <w:tc>
                <w:tcPr>
                  <w:tcW w:w="879" w:type="pct"/>
                  <w:noWrap w:val="0"/>
                  <w:vAlign w:val="center"/>
                </w:tcPr>
                <w:p w14:paraId="01E657C6">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0.650~0.685</w:t>
                  </w:r>
                </w:p>
              </w:tc>
              <w:tc>
                <w:tcPr>
                  <w:tcW w:w="870" w:type="pct"/>
                  <w:noWrap w:val="0"/>
                  <w:vAlign w:val="center"/>
                </w:tcPr>
                <w:p w14:paraId="16D5338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0.14~0.16</w:t>
                  </w:r>
                </w:p>
              </w:tc>
            </w:tr>
            <w:tr w14:paraId="5E2486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0DBFD5DD">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4C5C8779">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标准指数</w:t>
                  </w:r>
                </w:p>
              </w:tc>
              <w:tc>
                <w:tcPr>
                  <w:tcW w:w="654" w:type="pct"/>
                  <w:noWrap w:val="0"/>
                  <w:vAlign w:val="center"/>
                </w:tcPr>
                <w:p w14:paraId="28A6E7BB">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0.05~0.1</w:t>
                  </w:r>
                </w:p>
              </w:tc>
              <w:tc>
                <w:tcPr>
                  <w:tcW w:w="1008" w:type="pct"/>
                  <w:noWrap w:val="0"/>
                  <w:vAlign w:val="center"/>
                </w:tcPr>
                <w:p w14:paraId="658CF8C5">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0.85~0.95</w:t>
                  </w:r>
                </w:p>
              </w:tc>
              <w:tc>
                <w:tcPr>
                  <w:tcW w:w="879" w:type="pct"/>
                  <w:noWrap w:val="0"/>
                  <w:vAlign w:val="center"/>
                </w:tcPr>
                <w:p w14:paraId="3EB04740">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0.65~0.685</w:t>
                  </w:r>
                </w:p>
              </w:tc>
              <w:tc>
                <w:tcPr>
                  <w:tcW w:w="870" w:type="pct"/>
                  <w:noWrap w:val="0"/>
                  <w:vAlign w:val="center"/>
                </w:tcPr>
                <w:p w14:paraId="46012011">
                  <w:pPr>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0.7~0.8</w:t>
                  </w:r>
                </w:p>
              </w:tc>
            </w:tr>
            <w:tr w14:paraId="2A5A4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6827D19C">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400FE3AC">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超标率％</w:t>
                  </w:r>
                </w:p>
              </w:tc>
              <w:tc>
                <w:tcPr>
                  <w:tcW w:w="654" w:type="pct"/>
                  <w:noWrap w:val="0"/>
                  <w:vAlign w:val="center"/>
                </w:tcPr>
                <w:p w14:paraId="7FFA796F">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008" w:type="pct"/>
                  <w:noWrap w:val="0"/>
                  <w:vAlign w:val="center"/>
                </w:tcPr>
                <w:p w14:paraId="17C283C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9" w:type="pct"/>
                  <w:noWrap w:val="0"/>
                  <w:vAlign w:val="center"/>
                </w:tcPr>
                <w:p w14:paraId="25022672">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0" w:type="pct"/>
                  <w:noWrap w:val="0"/>
                  <w:vAlign w:val="center"/>
                </w:tcPr>
                <w:p w14:paraId="32E517D8">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r>
            <w:tr w14:paraId="23CA8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14" w:type="pct"/>
                  <w:vMerge w:val="continue"/>
                  <w:noWrap w:val="0"/>
                  <w:vAlign w:val="center"/>
                </w:tcPr>
                <w:p w14:paraId="1C26A74F">
                  <w:pPr>
                    <w:spacing w:line="320" w:lineRule="exact"/>
                    <w:jc w:val="center"/>
                    <w:rPr>
                      <w:rFonts w:hint="default" w:ascii="Times New Roman" w:hAnsi="Times New Roman" w:eastAsia="仿宋" w:cs="Times New Roman"/>
                      <w:color w:val="auto"/>
                      <w:szCs w:val="21"/>
                    </w:rPr>
                  </w:pPr>
                </w:p>
              </w:tc>
              <w:tc>
                <w:tcPr>
                  <w:tcW w:w="1075" w:type="pct"/>
                  <w:noWrap w:val="0"/>
                  <w:vAlign w:val="center"/>
                </w:tcPr>
                <w:p w14:paraId="2C62C20D">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最大超标倍数</w:t>
                  </w:r>
                </w:p>
              </w:tc>
              <w:tc>
                <w:tcPr>
                  <w:tcW w:w="654" w:type="pct"/>
                  <w:noWrap w:val="0"/>
                  <w:vAlign w:val="center"/>
                </w:tcPr>
                <w:p w14:paraId="1B372F42">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1008" w:type="pct"/>
                  <w:noWrap w:val="0"/>
                  <w:vAlign w:val="center"/>
                </w:tcPr>
                <w:p w14:paraId="2469FA71">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9" w:type="pct"/>
                  <w:noWrap w:val="0"/>
                  <w:vAlign w:val="center"/>
                </w:tcPr>
                <w:p w14:paraId="1E744D69">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c>
                <w:tcPr>
                  <w:tcW w:w="870" w:type="pct"/>
                  <w:noWrap w:val="0"/>
                  <w:vAlign w:val="center"/>
                </w:tcPr>
                <w:p w14:paraId="1DB3B07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w:t>
                  </w:r>
                </w:p>
              </w:tc>
            </w:tr>
            <w:tr w14:paraId="5A0B0A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9" w:type="pct"/>
                  <w:gridSpan w:val="2"/>
                  <w:noWrap w:val="0"/>
                  <w:vAlign w:val="center"/>
                </w:tcPr>
                <w:p w14:paraId="213B50C8">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地表水</w:t>
                  </w:r>
                  <w:r>
                    <w:rPr>
                      <w:rFonts w:hint="default" w:ascii="Times New Roman" w:hAnsi="Times New Roman" w:eastAsia="仿宋" w:cs="Times New Roman"/>
                      <w:color w:val="auto"/>
                    </w:rPr>
                    <w:t>Ⅲ</w:t>
                  </w:r>
                  <w:r>
                    <w:rPr>
                      <w:rFonts w:hint="default" w:ascii="Times New Roman" w:hAnsi="Times New Roman" w:eastAsia="仿宋" w:cs="Times New Roman"/>
                      <w:color w:val="auto"/>
                      <w:szCs w:val="21"/>
                    </w:rPr>
                    <w:t>类标准</w:t>
                  </w:r>
                </w:p>
              </w:tc>
              <w:tc>
                <w:tcPr>
                  <w:tcW w:w="654" w:type="pct"/>
                  <w:noWrap w:val="0"/>
                  <w:vAlign w:val="center"/>
                </w:tcPr>
                <w:p w14:paraId="799202FF">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6</w:t>
                  </w:r>
                  <w:r>
                    <w:rPr>
                      <w:rFonts w:hint="default" w:ascii="Times New Roman" w:hAnsi="Times New Roman" w:eastAsia="仿宋" w:cs="Times New Roman"/>
                      <w:color w:val="auto"/>
                      <w:szCs w:val="21"/>
                      <w:lang w:val="en-US" w:eastAsia="zh-CN"/>
                    </w:rPr>
                    <w:t>~</w:t>
                  </w:r>
                  <w:r>
                    <w:rPr>
                      <w:rFonts w:hint="default" w:ascii="Times New Roman" w:hAnsi="Times New Roman" w:eastAsia="仿宋" w:cs="Times New Roman"/>
                      <w:color w:val="auto"/>
                      <w:szCs w:val="21"/>
                    </w:rPr>
                    <w:t>9</w:t>
                  </w:r>
                </w:p>
              </w:tc>
              <w:tc>
                <w:tcPr>
                  <w:tcW w:w="1008" w:type="pct"/>
                  <w:noWrap w:val="0"/>
                  <w:vAlign w:val="center"/>
                </w:tcPr>
                <w:p w14:paraId="2531369D">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p>
              </w:tc>
              <w:tc>
                <w:tcPr>
                  <w:tcW w:w="879" w:type="pct"/>
                  <w:noWrap w:val="0"/>
                  <w:vAlign w:val="center"/>
                </w:tcPr>
                <w:p w14:paraId="33E9B26A">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1.0</w:t>
                  </w:r>
                </w:p>
              </w:tc>
              <w:tc>
                <w:tcPr>
                  <w:tcW w:w="870" w:type="pct"/>
                  <w:noWrap w:val="0"/>
                  <w:vAlign w:val="center"/>
                </w:tcPr>
                <w:p w14:paraId="656C78C4">
                  <w:pPr>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0.2</w:t>
                  </w:r>
                </w:p>
              </w:tc>
            </w:tr>
          </w:tbl>
          <w:p w14:paraId="34B8D5C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由表3-</w:t>
            </w:r>
            <w:r>
              <w:rPr>
                <w:rFonts w:hint="eastAsia" w:eastAsia="仿宋" w:cs="Times New Roman"/>
                <w:color w:val="auto"/>
                <w:sz w:val="24"/>
                <w:szCs w:val="24"/>
                <w:lang w:val="en-US" w:eastAsia="zh-CN"/>
              </w:rPr>
              <w:t>4</w:t>
            </w:r>
            <w:r>
              <w:rPr>
                <w:rFonts w:hint="default" w:ascii="Times New Roman" w:hAnsi="Times New Roman" w:eastAsia="仿宋" w:cs="Times New Roman"/>
                <w:color w:val="auto"/>
                <w:sz w:val="24"/>
                <w:szCs w:val="24"/>
              </w:rPr>
              <w:t>可知，地表水水质现状评价结果表明，新京杭运河W1、W2断面的各引用项目均能达到《地表水环境质量标准》（GB3838-2002）中Ⅲ类地表水标准限值，符合《江苏省地表水（环境）功能区划（2021</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rPr>
              <w:t>2030年）》功能区水质目标。</w:t>
            </w:r>
          </w:p>
          <w:p w14:paraId="366FACF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（3）引用数据有效性分析</w:t>
            </w:r>
          </w:p>
          <w:p w14:paraId="23890952">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①江苏久诚检验检测有限公司2022年4月3日~5日对新京杭运河滨湖污水处理厂排口上游500m处和新京杭运河滨湖污水处理厂排口下游1000m处进行监测，引用时间不超过3年，水环境引用时间有效；</w:t>
            </w:r>
          </w:p>
          <w:p w14:paraId="6BB7CFE4">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②项目所在区域污染源未发生重大变化，可引用3年内地表水的监测数据；</w:t>
            </w:r>
          </w:p>
          <w:p w14:paraId="21E5854D">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③引用点位在项目纳污河道评价范围内，则地表水环境引用点位有效。</w:t>
            </w:r>
          </w:p>
          <w:p w14:paraId="16D2C88F">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3、声环境质量</w:t>
            </w:r>
          </w:p>
          <w:p w14:paraId="5E10536E">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声环境质量标准</w:t>
            </w:r>
          </w:p>
          <w:p w14:paraId="1FCFBDC8">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属于3类声环境功能区，执行《声环境质量标准》（GB3096-2008）表1中3类标准</w:t>
            </w:r>
            <w:r>
              <w:rPr>
                <w:rFonts w:hint="default" w:ascii="Times New Roman" w:hAnsi="Times New Roman" w:eastAsia="仿宋" w:cs="Times New Roman"/>
                <w:color w:val="auto"/>
                <w:sz w:val="24"/>
                <w:szCs w:val="24"/>
              </w:rPr>
              <w:t>。</w:t>
            </w:r>
          </w:p>
          <w:p w14:paraId="7138383D">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rPr>
              <w:t>表3-</w:t>
            </w:r>
            <w:r>
              <w:rPr>
                <w:rFonts w:hint="eastAsia" w:eastAsia="仿宋" w:cs="Times New Roman"/>
                <w:b/>
                <w:color w:val="auto"/>
                <w:szCs w:val="21"/>
                <w:lang w:val="en-US" w:eastAsia="zh-CN"/>
              </w:rPr>
              <w:t>5</w:t>
            </w:r>
            <w:r>
              <w:rPr>
                <w:rFonts w:hint="default" w:ascii="Times New Roman" w:hAnsi="Times New Roman" w:eastAsia="仿宋" w:cs="Times New Roman"/>
                <w:b/>
                <w:color w:val="auto"/>
                <w:szCs w:val="21"/>
              </w:rPr>
              <w:t xml:space="preserve">  </w:t>
            </w:r>
            <w:r>
              <w:rPr>
                <w:rFonts w:hint="default" w:ascii="Times New Roman" w:hAnsi="Times New Roman" w:eastAsia="仿宋" w:cs="Times New Roman"/>
                <w:b/>
                <w:color w:val="auto"/>
                <w:szCs w:val="21"/>
                <w:lang w:val="en-US" w:eastAsia="zh-CN"/>
              </w:rPr>
              <w:t>声环境质量标准   单位：dB（A）</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74"/>
              <w:gridCol w:w="3012"/>
              <w:gridCol w:w="2504"/>
            </w:tblGrid>
            <w:tr w14:paraId="519B2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3" w:type="pct"/>
                  <w:tcBorders>
                    <w:tl2br w:val="nil"/>
                    <w:tr2bl w:val="nil"/>
                  </w:tcBorders>
                  <w:noWrap w:val="0"/>
                  <w:vAlign w:val="center"/>
                </w:tcPr>
                <w:p w14:paraId="67D631F7">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声环境功能区类别</w:t>
                  </w:r>
                </w:p>
              </w:tc>
              <w:tc>
                <w:tcPr>
                  <w:tcW w:w="1816" w:type="pct"/>
                  <w:tcBorders>
                    <w:tl2br w:val="nil"/>
                    <w:tr2bl w:val="nil"/>
                  </w:tcBorders>
                  <w:noWrap w:val="0"/>
                  <w:vAlign w:val="center"/>
                </w:tcPr>
                <w:p w14:paraId="27AA0E87">
                  <w:pPr>
                    <w:jc w:val="center"/>
                    <w:rPr>
                      <w:rFonts w:hint="default" w:ascii="Times New Roman" w:hAnsi="Times New Roman" w:eastAsia="仿宋" w:cs="Times New Roman"/>
                      <w:b/>
                      <w:bCs/>
                      <w:color w:val="auto"/>
                      <w:szCs w:val="21"/>
                      <w:lang w:eastAsia="zh-CN"/>
                    </w:rPr>
                  </w:pPr>
                  <w:r>
                    <w:rPr>
                      <w:rFonts w:hint="default" w:ascii="Times New Roman" w:hAnsi="Times New Roman" w:eastAsia="仿宋" w:cs="Times New Roman"/>
                      <w:b/>
                      <w:bCs/>
                      <w:color w:val="auto"/>
                      <w:szCs w:val="21"/>
                      <w:lang w:val="en-US" w:eastAsia="zh-CN"/>
                    </w:rPr>
                    <w:t>昼间</w:t>
                  </w:r>
                </w:p>
              </w:tc>
              <w:tc>
                <w:tcPr>
                  <w:tcW w:w="1510" w:type="pct"/>
                  <w:tcBorders>
                    <w:tl2br w:val="nil"/>
                    <w:tr2bl w:val="nil"/>
                  </w:tcBorders>
                  <w:noWrap w:val="0"/>
                  <w:vAlign w:val="center"/>
                </w:tcPr>
                <w:p w14:paraId="5FAC12ED">
                  <w:pPr>
                    <w:jc w:val="center"/>
                    <w:rPr>
                      <w:rFonts w:hint="default" w:ascii="Times New Roman" w:hAnsi="Times New Roman" w:eastAsia="仿宋" w:cs="Times New Roman"/>
                      <w:b/>
                      <w:bCs/>
                      <w:color w:val="auto"/>
                      <w:szCs w:val="21"/>
                      <w:lang w:val="en-US" w:eastAsia="zh-CN"/>
                    </w:rPr>
                  </w:pPr>
                  <w:r>
                    <w:rPr>
                      <w:rFonts w:hint="default" w:ascii="Times New Roman" w:hAnsi="Times New Roman" w:eastAsia="仿宋" w:cs="Times New Roman"/>
                      <w:b/>
                      <w:bCs/>
                      <w:color w:val="auto"/>
                      <w:szCs w:val="21"/>
                      <w:lang w:val="en-US" w:eastAsia="zh-CN"/>
                    </w:rPr>
                    <w:t>夜间</w:t>
                  </w:r>
                </w:p>
              </w:tc>
            </w:tr>
            <w:tr w14:paraId="7B3B59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673" w:type="pct"/>
                  <w:tcBorders>
                    <w:tl2br w:val="nil"/>
                    <w:tr2bl w:val="nil"/>
                  </w:tcBorders>
                  <w:noWrap w:val="0"/>
                  <w:vAlign w:val="center"/>
                </w:tcPr>
                <w:p w14:paraId="703DC60F">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3类</w:t>
                  </w:r>
                </w:p>
              </w:tc>
              <w:tc>
                <w:tcPr>
                  <w:tcW w:w="1816" w:type="pct"/>
                  <w:tcBorders>
                    <w:tl2br w:val="nil"/>
                    <w:tr2bl w:val="nil"/>
                  </w:tcBorders>
                  <w:noWrap w:val="0"/>
                  <w:vAlign w:val="center"/>
                </w:tcPr>
                <w:p w14:paraId="57006679">
                  <w:pPr>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65</w:t>
                  </w:r>
                </w:p>
              </w:tc>
              <w:tc>
                <w:tcPr>
                  <w:tcW w:w="1510" w:type="pct"/>
                  <w:tcBorders>
                    <w:tl2br w:val="nil"/>
                    <w:tr2bl w:val="nil"/>
                  </w:tcBorders>
                  <w:noWrap w:val="0"/>
                  <w:vAlign w:val="center"/>
                </w:tcPr>
                <w:p w14:paraId="3A3B33B0">
                  <w:pPr>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w:t>
                  </w:r>
                </w:p>
              </w:tc>
            </w:tr>
          </w:tbl>
          <w:p w14:paraId="21849C0A">
            <w:pPr>
              <w:spacing w:line="240" w:lineRule="auto"/>
              <w:jc w:val="left"/>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注：本项目夜间不生产。</w:t>
            </w:r>
          </w:p>
          <w:p w14:paraId="339EC59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lang w:val="en-US" w:eastAsia="zh-CN"/>
              </w:rPr>
              <w:t>声环境质量现状</w:t>
            </w:r>
          </w:p>
          <w:p w14:paraId="0BD29CB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根据《建设项目环境影响报告表编制技术指南（污染影响类）（试行）》：厂界外周边50米范围内存在声环境保护目标的建设项目，应监测保护目标声环境质量现状并评价达标情况。由于本项目厂界外50m范围内无环境敏感点，因此本项目不进行声环境质量现状调查。</w:t>
            </w:r>
          </w:p>
          <w:p w14:paraId="4B5D8BA2">
            <w:pPr>
              <w:keepNext w:val="0"/>
              <w:keepLines w:val="0"/>
              <w:pageBreakBefore w:val="0"/>
              <w:widowControl w:val="0"/>
              <w:numPr>
                <w:ilvl w:val="0"/>
                <w:numId w:val="14"/>
              </w:numPr>
              <w:kinsoku/>
              <w:wordWrap/>
              <w:overflowPunct/>
              <w:topLinePunct w:val="0"/>
              <w:autoSpaceDE/>
              <w:autoSpaceDN/>
              <w:bidi w:val="0"/>
              <w:adjustRightInd/>
              <w:snapToGrid/>
              <w:spacing w:line="48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生态环境</w:t>
            </w:r>
          </w:p>
          <w:p w14:paraId="581080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本项目购置坤鼎常州创新产业基地</w:t>
            </w:r>
            <w:r>
              <w:rPr>
                <w:rFonts w:hint="default" w:ascii="Times New Roman" w:hAns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rPr>
              <w:t>幢闲置厂房进行生产，不涉及新增用地，故不进行生态环境现状调查。</w:t>
            </w:r>
          </w:p>
          <w:p w14:paraId="545AC0AD">
            <w:pPr>
              <w:keepNext w:val="0"/>
              <w:keepLines w:val="0"/>
              <w:pageBreakBefore w:val="0"/>
              <w:widowControl w:val="0"/>
              <w:numPr>
                <w:ilvl w:val="0"/>
                <w:numId w:val="14"/>
              </w:numPr>
              <w:kinsoku/>
              <w:wordWrap/>
              <w:overflowPunct/>
              <w:topLinePunct w:val="0"/>
              <w:autoSpaceDE/>
              <w:autoSpaceDN/>
              <w:bidi w:val="0"/>
              <w:adjustRightInd/>
              <w:snapToGrid/>
              <w:spacing w:line="48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电磁辐射</w:t>
            </w:r>
          </w:p>
          <w:p w14:paraId="42457C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default" w:ascii="Times New Roman" w:hAnsi="Times New Roman" w:eastAsia="仿宋" w:cs="Times New Roman"/>
                <w:color w:val="auto"/>
                <w:sz w:val="24"/>
                <w:szCs w:val="24"/>
                <w:lang w:val="en-US" w:eastAsia="zh-CN"/>
              </w:rPr>
              <w:t>生产</w:t>
            </w:r>
            <w:r>
              <w:rPr>
                <w:rFonts w:hint="default" w:ascii="Times New Roman" w:hAnsi="Times New Roman" w:eastAsia="仿宋" w:cs="Times New Roman"/>
                <w:color w:val="auto"/>
                <w:sz w:val="24"/>
                <w:szCs w:val="24"/>
              </w:rPr>
              <w:t>过程中不使用含放射性同位素和伴有电磁辐射的设施，故不进行电磁辐射现状监测与评价。</w:t>
            </w:r>
          </w:p>
          <w:p w14:paraId="0367C484">
            <w:pPr>
              <w:keepNext w:val="0"/>
              <w:keepLines w:val="0"/>
              <w:pageBreakBefore w:val="0"/>
              <w:widowControl w:val="0"/>
              <w:numPr>
                <w:ilvl w:val="0"/>
                <w:numId w:val="14"/>
              </w:numPr>
              <w:kinsoku/>
              <w:wordWrap/>
              <w:overflowPunct/>
              <w:topLinePunct w:val="0"/>
              <w:autoSpaceDE/>
              <w:autoSpaceDN/>
              <w:bidi w:val="0"/>
              <w:adjustRightInd/>
              <w:snapToGrid/>
              <w:spacing w:line="480" w:lineRule="exact"/>
              <w:jc w:val="lef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地下水、土壤环境质量</w:t>
            </w:r>
          </w:p>
          <w:p w14:paraId="1451DE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本项目购置坤鼎常州创新产业基地</w:t>
            </w:r>
            <w:r>
              <w:rPr>
                <w:rFonts w:hint="default" w:ascii="Times New Roman" w:hAnsi="Times New Roman" w:eastAsia="仿宋" w:cs="Times New Roman"/>
                <w:color w:val="auto"/>
                <w:sz w:val="24"/>
                <w:szCs w:val="24"/>
                <w:lang w:val="en-US" w:eastAsia="zh-CN"/>
              </w:rPr>
              <w:t>9</w:t>
            </w:r>
            <w:r>
              <w:rPr>
                <w:rFonts w:hint="default" w:ascii="Times New Roman" w:hAnsi="Times New Roman" w:eastAsia="仿宋" w:cs="Times New Roman"/>
                <w:color w:val="auto"/>
                <w:sz w:val="24"/>
                <w:szCs w:val="24"/>
              </w:rPr>
              <w:t>幢闲置厂房进行生产，厂房</w:t>
            </w:r>
            <w:r>
              <w:rPr>
                <w:rFonts w:hint="default" w:ascii="Times New Roman" w:hAnsi="Times New Roman" w:eastAsia="仿宋" w:cs="Times New Roman"/>
                <w:color w:val="auto"/>
                <w:sz w:val="24"/>
                <w:szCs w:val="24"/>
                <w:lang w:val="en-US" w:eastAsia="zh-CN"/>
              </w:rPr>
              <w:t>地面</w:t>
            </w:r>
            <w:r>
              <w:rPr>
                <w:rFonts w:hint="default" w:ascii="Times New Roman" w:hAnsi="Times New Roman" w:eastAsia="仿宋" w:cs="Times New Roman"/>
                <w:color w:val="auto"/>
                <w:sz w:val="24"/>
                <w:szCs w:val="24"/>
              </w:rPr>
              <w:t>已进行了防腐、防渗措施，</w:t>
            </w:r>
            <w:r>
              <w:rPr>
                <w:rFonts w:hint="default" w:ascii="Times New Roman" w:hAnsi="Times New Roman" w:eastAsia="仿宋" w:cs="Times New Roman"/>
                <w:color w:val="auto"/>
                <w:sz w:val="24"/>
                <w:szCs w:val="24"/>
                <w:lang w:val="en-US" w:eastAsia="zh-CN"/>
              </w:rPr>
              <w:t>生产</w:t>
            </w:r>
            <w:r>
              <w:rPr>
                <w:rFonts w:hint="default" w:ascii="Times New Roman" w:hAnsi="Times New Roman" w:eastAsia="仿宋" w:cs="Times New Roman"/>
                <w:color w:val="auto"/>
                <w:sz w:val="24"/>
                <w:szCs w:val="24"/>
              </w:rPr>
              <w:t>过程中基本不会对地下水、土壤造成污染；同时根据《建设项目环境影响报告表编制技术指南（污染影响类）（试行）》原则上不开展地下水、土壤环境质量现状调查。</w:t>
            </w:r>
          </w:p>
          <w:p w14:paraId="513A0D14">
            <w:pPr>
              <w:pStyle w:val="2"/>
              <w:rPr>
                <w:rFonts w:hint="default" w:ascii="Times New Roman" w:hAnsi="Times New Roman" w:eastAsia="仿宋" w:cs="Times New Roman"/>
                <w:color w:val="auto"/>
                <w:sz w:val="24"/>
                <w:szCs w:val="24"/>
                <w:lang w:val="en-US" w:eastAsia="zh-CN"/>
              </w:rPr>
            </w:pPr>
          </w:p>
          <w:p w14:paraId="35A1B6C1">
            <w:pPr>
              <w:pStyle w:val="3"/>
              <w:widowControl w:val="0"/>
              <w:numPr>
                <w:ilvl w:val="0"/>
                <w:numId w:val="0"/>
              </w:numPr>
              <w:jc w:val="both"/>
              <w:rPr>
                <w:rFonts w:hint="default" w:ascii="Times New Roman" w:hAnsi="Times New Roman" w:eastAsia="仿宋" w:cs="Times New Roman"/>
                <w:color w:val="auto"/>
                <w:sz w:val="24"/>
                <w:szCs w:val="24"/>
                <w:lang w:val="en-US" w:eastAsia="zh-CN"/>
              </w:rPr>
            </w:pPr>
          </w:p>
          <w:p w14:paraId="5196E047">
            <w:pPr>
              <w:pStyle w:val="3"/>
              <w:widowControl w:val="0"/>
              <w:numPr>
                <w:ilvl w:val="0"/>
                <w:numId w:val="0"/>
              </w:numPr>
              <w:jc w:val="both"/>
              <w:rPr>
                <w:rFonts w:hint="default" w:ascii="Times New Roman" w:hAnsi="Times New Roman" w:eastAsia="仿宋" w:cs="Times New Roman"/>
                <w:color w:val="auto"/>
                <w:sz w:val="24"/>
                <w:szCs w:val="24"/>
                <w:lang w:val="en-US" w:eastAsia="zh-CN"/>
              </w:rPr>
            </w:pPr>
          </w:p>
          <w:p w14:paraId="05D7807E">
            <w:pPr>
              <w:pStyle w:val="3"/>
              <w:widowControl w:val="0"/>
              <w:numPr>
                <w:ilvl w:val="0"/>
                <w:numId w:val="0"/>
              </w:numPr>
              <w:jc w:val="both"/>
              <w:rPr>
                <w:rFonts w:hint="default" w:ascii="Times New Roman" w:hAnsi="Times New Roman" w:eastAsia="仿宋" w:cs="Times New Roman"/>
                <w:color w:val="auto"/>
                <w:sz w:val="24"/>
                <w:szCs w:val="24"/>
                <w:lang w:val="en-US" w:eastAsia="zh-CN"/>
              </w:rPr>
            </w:pPr>
          </w:p>
          <w:p w14:paraId="78633DAB">
            <w:pPr>
              <w:pStyle w:val="3"/>
              <w:widowControl w:val="0"/>
              <w:numPr>
                <w:ilvl w:val="0"/>
                <w:numId w:val="0"/>
              </w:numPr>
              <w:jc w:val="both"/>
              <w:rPr>
                <w:rFonts w:hint="default" w:ascii="Times New Roman" w:hAnsi="Times New Roman" w:eastAsia="仿宋" w:cs="Times New Roman"/>
                <w:lang w:val="en-US" w:eastAsia="zh-CN"/>
              </w:rPr>
            </w:pPr>
          </w:p>
          <w:p w14:paraId="0B6A2DDB">
            <w:pPr>
              <w:pStyle w:val="3"/>
              <w:widowControl w:val="0"/>
              <w:numPr>
                <w:ilvl w:val="0"/>
                <w:numId w:val="0"/>
              </w:numPr>
              <w:jc w:val="both"/>
              <w:rPr>
                <w:rFonts w:hint="default" w:ascii="Times New Roman" w:hAnsi="Times New Roman" w:eastAsia="仿宋" w:cs="Times New Roman"/>
                <w:lang w:val="en-US" w:eastAsia="zh-CN"/>
              </w:rPr>
            </w:pPr>
          </w:p>
          <w:p w14:paraId="4C46D0A6">
            <w:pPr>
              <w:pStyle w:val="3"/>
              <w:widowControl w:val="0"/>
              <w:numPr>
                <w:ilvl w:val="0"/>
                <w:numId w:val="0"/>
              </w:numPr>
              <w:jc w:val="both"/>
              <w:rPr>
                <w:rFonts w:hint="default" w:ascii="Times New Roman" w:hAnsi="Times New Roman" w:eastAsia="仿宋" w:cs="Times New Roman"/>
                <w:lang w:val="en-US" w:eastAsia="zh-CN"/>
              </w:rPr>
            </w:pPr>
          </w:p>
          <w:p w14:paraId="1A3EB9A3">
            <w:pPr>
              <w:pStyle w:val="3"/>
              <w:widowControl w:val="0"/>
              <w:numPr>
                <w:ilvl w:val="0"/>
                <w:numId w:val="0"/>
              </w:numPr>
              <w:jc w:val="both"/>
              <w:rPr>
                <w:rFonts w:hint="default" w:ascii="Times New Roman" w:hAnsi="Times New Roman" w:eastAsia="仿宋" w:cs="Times New Roman"/>
                <w:lang w:val="en-US" w:eastAsia="zh-CN"/>
              </w:rPr>
            </w:pPr>
          </w:p>
          <w:p w14:paraId="69B6BD7D">
            <w:pPr>
              <w:pStyle w:val="2"/>
              <w:rPr>
                <w:rFonts w:hint="default" w:ascii="Times New Roman" w:hAnsi="Times New Roman" w:eastAsia="仿宋" w:cs="Times New Roman"/>
                <w:color w:val="auto"/>
                <w:szCs w:val="21"/>
              </w:rPr>
            </w:pPr>
          </w:p>
          <w:p w14:paraId="3CE00A8D">
            <w:pPr>
              <w:pStyle w:val="3"/>
              <w:widowControl w:val="0"/>
              <w:numPr>
                <w:ilvl w:val="0"/>
                <w:numId w:val="0"/>
              </w:numPr>
              <w:jc w:val="both"/>
              <w:rPr>
                <w:rFonts w:hint="default" w:ascii="Times New Roman" w:hAnsi="Times New Roman" w:eastAsia="仿宋" w:cs="Times New Roman"/>
                <w:color w:val="auto"/>
                <w:szCs w:val="21"/>
              </w:rPr>
            </w:pPr>
          </w:p>
          <w:p w14:paraId="11CD7EEE">
            <w:pPr>
              <w:pStyle w:val="3"/>
              <w:widowControl w:val="0"/>
              <w:numPr>
                <w:ilvl w:val="0"/>
                <w:numId w:val="0"/>
              </w:numPr>
              <w:jc w:val="both"/>
              <w:rPr>
                <w:rFonts w:hint="default" w:ascii="Times New Roman" w:hAnsi="Times New Roman" w:eastAsia="仿宋" w:cs="Times New Roman"/>
                <w:color w:val="auto"/>
                <w:szCs w:val="21"/>
              </w:rPr>
            </w:pPr>
          </w:p>
          <w:p w14:paraId="25A23C51">
            <w:pPr>
              <w:pStyle w:val="3"/>
              <w:widowControl w:val="0"/>
              <w:numPr>
                <w:ilvl w:val="0"/>
                <w:numId w:val="0"/>
              </w:numPr>
              <w:jc w:val="both"/>
              <w:rPr>
                <w:rFonts w:hint="default" w:ascii="Times New Roman" w:hAnsi="Times New Roman" w:eastAsia="仿宋" w:cs="Times New Roman"/>
                <w:color w:val="auto"/>
                <w:szCs w:val="21"/>
              </w:rPr>
            </w:pPr>
          </w:p>
          <w:p w14:paraId="6025CAB7">
            <w:pPr>
              <w:pStyle w:val="3"/>
              <w:widowControl w:val="0"/>
              <w:numPr>
                <w:ilvl w:val="0"/>
                <w:numId w:val="0"/>
              </w:numPr>
              <w:jc w:val="both"/>
              <w:rPr>
                <w:rFonts w:hint="default" w:ascii="Times New Roman" w:hAnsi="Times New Roman" w:eastAsia="仿宋" w:cs="Times New Roman"/>
                <w:color w:val="auto"/>
                <w:szCs w:val="21"/>
              </w:rPr>
            </w:pPr>
          </w:p>
          <w:p w14:paraId="7191085C">
            <w:pPr>
              <w:pStyle w:val="3"/>
              <w:widowControl w:val="0"/>
              <w:numPr>
                <w:ilvl w:val="0"/>
                <w:numId w:val="0"/>
              </w:numPr>
              <w:jc w:val="both"/>
              <w:rPr>
                <w:rFonts w:hint="default" w:ascii="Times New Roman" w:hAnsi="Times New Roman" w:eastAsia="仿宋" w:cs="Times New Roman"/>
                <w:color w:val="auto"/>
                <w:szCs w:val="21"/>
              </w:rPr>
            </w:pPr>
          </w:p>
          <w:p w14:paraId="07E86A84">
            <w:pPr>
              <w:pStyle w:val="3"/>
              <w:widowControl w:val="0"/>
              <w:numPr>
                <w:ilvl w:val="0"/>
                <w:numId w:val="0"/>
              </w:numPr>
              <w:jc w:val="both"/>
              <w:rPr>
                <w:rFonts w:hint="default" w:ascii="Times New Roman" w:hAnsi="Times New Roman" w:eastAsia="仿宋" w:cs="Times New Roman"/>
                <w:color w:val="auto"/>
                <w:szCs w:val="21"/>
              </w:rPr>
            </w:pPr>
          </w:p>
          <w:p w14:paraId="45BCC476">
            <w:pPr>
              <w:pStyle w:val="3"/>
              <w:widowControl w:val="0"/>
              <w:numPr>
                <w:ilvl w:val="0"/>
                <w:numId w:val="0"/>
              </w:numPr>
              <w:jc w:val="both"/>
              <w:rPr>
                <w:rFonts w:hint="default" w:ascii="Times New Roman" w:hAnsi="Times New Roman" w:eastAsia="仿宋" w:cs="Times New Roman"/>
                <w:color w:val="auto"/>
                <w:szCs w:val="21"/>
              </w:rPr>
            </w:pPr>
          </w:p>
          <w:p w14:paraId="0E74AD32">
            <w:pPr>
              <w:pStyle w:val="3"/>
              <w:widowControl w:val="0"/>
              <w:numPr>
                <w:ilvl w:val="0"/>
                <w:numId w:val="0"/>
              </w:numPr>
              <w:jc w:val="both"/>
              <w:rPr>
                <w:rFonts w:hint="default" w:ascii="Times New Roman" w:hAnsi="Times New Roman" w:eastAsia="仿宋" w:cs="Times New Roman"/>
                <w:color w:val="auto"/>
                <w:szCs w:val="21"/>
              </w:rPr>
            </w:pPr>
          </w:p>
          <w:p w14:paraId="440E2B58">
            <w:pPr>
              <w:pStyle w:val="3"/>
              <w:widowControl w:val="0"/>
              <w:numPr>
                <w:ilvl w:val="0"/>
                <w:numId w:val="0"/>
              </w:numPr>
              <w:jc w:val="both"/>
              <w:rPr>
                <w:rFonts w:hint="default" w:ascii="Times New Roman" w:hAnsi="Times New Roman" w:eastAsia="仿宋" w:cs="Times New Roman"/>
                <w:color w:val="auto"/>
                <w:szCs w:val="21"/>
              </w:rPr>
            </w:pPr>
          </w:p>
          <w:p w14:paraId="236EEBB4">
            <w:pPr>
              <w:pStyle w:val="3"/>
              <w:widowControl w:val="0"/>
              <w:numPr>
                <w:ilvl w:val="0"/>
                <w:numId w:val="0"/>
              </w:numPr>
              <w:jc w:val="both"/>
              <w:rPr>
                <w:rFonts w:hint="default" w:ascii="Times New Roman" w:hAnsi="Times New Roman" w:eastAsia="仿宋" w:cs="Times New Roman"/>
                <w:color w:val="auto"/>
                <w:szCs w:val="21"/>
              </w:rPr>
            </w:pPr>
          </w:p>
          <w:p w14:paraId="5948F254">
            <w:pPr>
              <w:pStyle w:val="3"/>
              <w:widowControl w:val="0"/>
              <w:numPr>
                <w:ilvl w:val="0"/>
                <w:numId w:val="0"/>
              </w:numPr>
              <w:jc w:val="both"/>
              <w:rPr>
                <w:rFonts w:hint="default" w:ascii="Times New Roman" w:hAnsi="Times New Roman" w:eastAsia="仿宋" w:cs="Times New Roman"/>
                <w:color w:val="auto"/>
                <w:szCs w:val="21"/>
              </w:rPr>
            </w:pPr>
          </w:p>
          <w:p w14:paraId="6539D5A9">
            <w:pPr>
              <w:pStyle w:val="3"/>
              <w:widowControl w:val="0"/>
              <w:numPr>
                <w:ilvl w:val="0"/>
                <w:numId w:val="0"/>
              </w:numPr>
              <w:jc w:val="both"/>
              <w:rPr>
                <w:rFonts w:hint="default" w:ascii="Times New Roman" w:hAnsi="Times New Roman" w:eastAsia="仿宋" w:cs="Times New Roman"/>
                <w:color w:val="auto"/>
                <w:szCs w:val="21"/>
              </w:rPr>
            </w:pPr>
          </w:p>
          <w:p w14:paraId="2008637A">
            <w:pPr>
              <w:pStyle w:val="3"/>
              <w:widowControl w:val="0"/>
              <w:numPr>
                <w:ilvl w:val="0"/>
                <w:numId w:val="0"/>
              </w:numPr>
              <w:jc w:val="both"/>
              <w:rPr>
                <w:rFonts w:hint="default" w:ascii="Times New Roman" w:hAnsi="Times New Roman" w:eastAsia="仿宋" w:cs="Times New Roman"/>
                <w:color w:val="auto"/>
                <w:szCs w:val="21"/>
              </w:rPr>
            </w:pPr>
          </w:p>
          <w:p w14:paraId="79A39447">
            <w:pPr>
              <w:pStyle w:val="3"/>
              <w:widowControl w:val="0"/>
              <w:numPr>
                <w:ilvl w:val="0"/>
                <w:numId w:val="0"/>
              </w:numPr>
              <w:jc w:val="both"/>
              <w:rPr>
                <w:rFonts w:hint="default" w:ascii="Times New Roman" w:hAnsi="Times New Roman" w:eastAsia="仿宋" w:cs="Times New Roman"/>
                <w:color w:val="auto"/>
                <w:szCs w:val="21"/>
              </w:rPr>
            </w:pPr>
          </w:p>
          <w:p w14:paraId="7141AA7D">
            <w:pPr>
              <w:pStyle w:val="3"/>
              <w:widowControl w:val="0"/>
              <w:numPr>
                <w:ilvl w:val="0"/>
                <w:numId w:val="0"/>
              </w:numPr>
              <w:jc w:val="both"/>
              <w:rPr>
                <w:rFonts w:hint="default" w:ascii="Times New Roman" w:hAnsi="Times New Roman" w:eastAsia="仿宋" w:cs="Times New Roman"/>
                <w:color w:val="auto"/>
                <w:szCs w:val="21"/>
              </w:rPr>
            </w:pPr>
          </w:p>
          <w:p w14:paraId="7573386E">
            <w:pPr>
              <w:pStyle w:val="3"/>
              <w:widowControl w:val="0"/>
              <w:numPr>
                <w:ilvl w:val="0"/>
                <w:numId w:val="0"/>
              </w:numPr>
              <w:jc w:val="both"/>
              <w:rPr>
                <w:rFonts w:hint="default" w:ascii="Times New Roman" w:hAnsi="Times New Roman" w:eastAsia="仿宋" w:cs="Times New Roman"/>
                <w:color w:val="auto"/>
                <w:szCs w:val="21"/>
              </w:rPr>
            </w:pPr>
          </w:p>
          <w:p w14:paraId="6CF1362F">
            <w:pPr>
              <w:pStyle w:val="3"/>
              <w:widowControl w:val="0"/>
              <w:numPr>
                <w:ilvl w:val="0"/>
                <w:numId w:val="0"/>
              </w:numPr>
              <w:jc w:val="both"/>
              <w:rPr>
                <w:rFonts w:hint="default" w:ascii="Times New Roman" w:hAnsi="Times New Roman" w:eastAsia="仿宋" w:cs="Times New Roman"/>
                <w:color w:val="auto"/>
                <w:szCs w:val="21"/>
              </w:rPr>
            </w:pPr>
          </w:p>
          <w:p w14:paraId="6DBE2FA1">
            <w:pPr>
              <w:pStyle w:val="3"/>
              <w:widowControl w:val="0"/>
              <w:numPr>
                <w:ilvl w:val="0"/>
                <w:numId w:val="0"/>
              </w:numPr>
              <w:jc w:val="both"/>
              <w:rPr>
                <w:rFonts w:hint="default" w:ascii="Times New Roman" w:hAnsi="Times New Roman" w:eastAsia="仿宋" w:cs="Times New Roman"/>
                <w:color w:val="auto"/>
                <w:szCs w:val="21"/>
              </w:rPr>
            </w:pPr>
          </w:p>
          <w:p w14:paraId="29808265">
            <w:pPr>
              <w:pStyle w:val="3"/>
              <w:widowControl w:val="0"/>
              <w:numPr>
                <w:ilvl w:val="0"/>
                <w:numId w:val="0"/>
              </w:numPr>
              <w:jc w:val="both"/>
              <w:rPr>
                <w:rFonts w:hint="default" w:ascii="Times New Roman" w:hAnsi="Times New Roman" w:eastAsia="仿宋" w:cs="Times New Roman"/>
                <w:color w:val="auto"/>
                <w:szCs w:val="21"/>
              </w:rPr>
            </w:pPr>
          </w:p>
          <w:p w14:paraId="78C25529">
            <w:pPr>
              <w:pStyle w:val="3"/>
              <w:widowControl w:val="0"/>
              <w:numPr>
                <w:ilvl w:val="0"/>
                <w:numId w:val="0"/>
              </w:numPr>
              <w:jc w:val="both"/>
              <w:rPr>
                <w:rFonts w:hint="default" w:ascii="Times New Roman" w:hAnsi="Times New Roman" w:eastAsia="仿宋" w:cs="Times New Roman"/>
                <w:color w:val="auto"/>
                <w:szCs w:val="21"/>
              </w:rPr>
            </w:pPr>
          </w:p>
          <w:p w14:paraId="4511811A">
            <w:pPr>
              <w:pStyle w:val="3"/>
              <w:widowControl w:val="0"/>
              <w:numPr>
                <w:ilvl w:val="0"/>
                <w:numId w:val="0"/>
              </w:numPr>
              <w:jc w:val="both"/>
              <w:rPr>
                <w:rFonts w:hint="default" w:ascii="Times New Roman" w:hAnsi="Times New Roman" w:eastAsia="仿宋" w:cs="Times New Roman"/>
                <w:color w:val="auto"/>
                <w:szCs w:val="21"/>
              </w:rPr>
            </w:pPr>
          </w:p>
          <w:p w14:paraId="3F2A2247">
            <w:pPr>
              <w:pStyle w:val="3"/>
              <w:widowControl w:val="0"/>
              <w:numPr>
                <w:ilvl w:val="0"/>
                <w:numId w:val="0"/>
              </w:numPr>
              <w:jc w:val="both"/>
              <w:rPr>
                <w:rFonts w:hint="default" w:ascii="Times New Roman" w:hAnsi="Times New Roman" w:eastAsia="仿宋" w:cs="Times New Roman"/>
                <w:color w:val="auto"/>
                <w:szCs w:val="21"/>
              </w:rPr>
            </w:pPr>
          </w:p>
          <w:p w14:paraId="22E5601E">
            <w:pPr>
              <w:pStyle w:val="3"/>
              <w:widowControl w:val="0"/>
              <w:numPr>
                <w:ilvl w:val="0"/>
                <w:numId w:val="0"/>
              </w:numPr>
              <w:jc w:val="both"/>
              <w:rPr>
                <w:rFonts w:hint="default" w:ascii="Times New Roman" w:hAnsi="Times New Roman" w:eastAsia="仿宋" w:cs="Times New Roman"/>
                <w:color w:val="auto"/>
                <w:szCs w:val="21"/>
              </w:rPr>
            </w:pPr>
          </w:p>
          <w:p w14:paraId="55A9A8D8">
            <w:pPr>
              <w:pStyle w:val="3"/>
              <w:widowControl w:val="0"/>
              <w:numPr>
                <w:ilvl w:val="0"/>
                <w:numId w:val="0"/>
              </w:numPr>
              <w:jc w:val="both"/>
              <w:rPr>
                <w:rFonts w:hint="default" w:ascii="Times New Roman" w:hAnsi="Times New Roman" w:eastAsia="仿宋" w:cs="Times New Roman"/>
                <w:color w:val="auto"/>
                <w:szCs w:val="21"/>
              </w:rPr>
            </w:pPr>
          </w:p>
          <w:p w14:paraId="7DCDAE6C">
            <w:pPr>
              <w:pStyle w:val="3"/>
              <w:widowControl w:val="0"/>
              <w:numPr>
                <w:ilvl w:val="0"/>
                <w:numId w:val="0"/>
              </w:numPr>
              <w:jc w:val="both"/>
              <w:rPr>
                <w:rFonts w:hint="default" w:ascii="Times New Roman" w:hAnsi="Times New Roman" w:eastAsia="仿宋" w:cs="Times New Roman"/>
                <w:color w:val="auto"/>
                <w:szCs w:val="21"/>
              </w:rPr>
            </w:pPr>
          </w:p>
          <w:p w14:paraId="2E740A90">
            <w:pPr>
              <w:pStyle w:val="3"/>
              <w:widowControl w:val="0"/>
              <w:numPr>
                <w:ilvl w:val="0"/>
                <w:numId w:val="0"/>
              </w:numPr>
              <w:jc w:val="both"/>
              <w:rPr>
                <w:rFonts w:hint="default" w:ascii="Times New Roman" w:hAnsi="Times New Roman" w:eastAsia="仿宋" w:cs="Times New Roman"/>
                <w:color w:val="auto"/>
                <w:szCs w:val="21"/>
              </w:rPr>
            </w:pPr>
          </w:p>
          <w:p w14:paraId="416772C1">
            <w:pPr>
              <w:pStyle w:val="3"/>
              <w:widowControl w:val="0"/>
              <w:numPr>
                <w:ilvl w:val="0"/>
                <w:numId w:val="0"/>
              </w:numPr>
              <w:jc w:val="both"/>
              <w:rPr>
                <w:rFonts w:hint="default" w:ascii="Times New Roman" w:hAnsi="Times New Roman" w:eastAsia="仿宋" w:cs="Times New Roman"/>
                <w:color w:val="auto"/>
                <w:szCs w:val="21"/>
              </w:rPr>
            </w:pPr>
          </w:p>
          <w:p w14:paraId="7F53EA2F">
            <w:pPr>
              <w:pStyle w:val="3"/>
              <w:widowControl w:val="0"/>
              <w:numPr>
                <w:ilvl w:val="0"/>
                <w:numId w:val="0"/>
              </w:numPr>
              <w:jc w:val="both"/>
              <w:rPr>
                <w:rFonts w:hint="default" w:ascii="Times New Roman" w:hAnsi="Times New Roman" w:eastAsia="仿宋" w:cs="Times New Roman"/>
                <w:color w:val="auto"/>
                <w:szCs w:val="21"/>
              </w:rPr>
            </w:pPr>
          </w:p>
          <w:p w14:paraId="6112FBCA">
            <w:pPr>
              <w:pStyle w:val="3"/>
              <w:widowControl w:val="0"/>
              <w:numPr>
                <w:ilvl w:val="0"/>
                <w:numId w:val="0"/>
              </w:numPr>
              <w:jc w:val="both"/>
              <w:rPr>
                <w:rFonts w:hint="default" w:ascii="Times New Roman" w:hAnsi="Times New Roman" w:eastAsia="仿宋" w:cs="Times New Roman"/>
                <w:color w:val="auto"/>
                <w:szCs w:val="21"/>
              </w:rPr>
            </w:pPr>
          </w:p>
          <w:p w14:paraId="5BABF7C9">
            <w:pPr>
              <w:pStyle w:val="3"/>
              <w:widowControl w:val="0"/>
              <w:numPr>
                <w:ilvl w:val="0"/>
                <w:numId w:val="0"/>
              </w:numPr>
              <w:jc w:val="both"/>
              <w:rPr>
                <w:rFonts w:hint="default" w:ascii="Times New Roman" w:hAnsi="Times New Roman" w:eastAsia="仿宋" w:cs="Times New Roman"/>
                <w:color w:val="auto"/>
                <w:szCs w:val="21"/>
              </w:rPr>
            </w:pPr>
          </w:p>
          <w:p w14:paraId="75601F11">
            <w:pPr>
              <w:pStyle w:val="3"/>
              <w:widowControl w:val="0"/>
              <w:numPr>
                <w:ilvl w:val="0"/>
                <w:numId w:val="0"/>
              </w:numPr>
              <w:jc w:val="both"/>
              <w:rPr>
                <w:rFonts w:hint="default" w:ascii="Times New Roman" w:hAnsi="Times New Roman" w:eastAsia="仿宋" w:cs="Times New Roman"/>
                <w:color w:val="auto"/>
                <w:szCs w:val="21"/>
              </w:rPr>
            </w:pPr>
          </w:p>
          <w:p w14:paraId="05249870">
            <w:pPr>
              <w:pStyle w:val="3"/>
              <w:widowControl w:val="0"/>
              <w:numPr>
                <w:ilvl w:val="0"/>
                <w:numId w:val="0"/>
              </w:numPr>
              <w:jc w:val="both"/>
              <w:rPr>
                <w:rFonts w:hint="default" w:ascii="Times New Roman" w:hAnsi="Times New Roman" w:eastAsia="仿宋" w:cs="Times New Roman"/>
                <w:color w:val="auto"/>
                <w:szCs w:val="21"/>
              </w:rPr>
            </w:pPr>
          </w:p>
        </w:tc>
      </w:tr>
    </w:tbl>
    <w:p w14:paraId="45C6D6C1">
      <w:pPr>
        <w:pStyle w:val="20"/>
        <w:spacing w:before="0" w:beforeAutospacing="0" w:after="0" w:afterAutospacing="0"/>
        <w:jc w:val="center"/>
        <w:outlineLvl w:val="0"/>
        <w:rPr>
          <w:rFonts w:hint="default" w:ascii="Times New Roman" w:hAnsi="Times New Roman" w:eastAsia="仿宋" w:cs="Times New Roman"/>
          <w:snapToGrid w:val="0"/>
          <w:color w:val="auto"/>
          <w:sz w:val="36"/>
          <w:szCs w:val="36"/>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8385"/>
      </w:tblGrid>
      <w:tr w14:paraId="4EFA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14:paraId="6A3F2A43">
            <w:pPr>
              <w:adjustRightInd w:val="0"/>
              <w:snapToGrid w:val="0"/>
              <w:jc w:val="center"/>
              <w:rPr>
                <w:rFonts w:hint="default" w:ascii="Times New Roman" w:hAnsi="Times New Roman" w:eastAsia="仿宋" w:cs="Times New Roman"/>
                <w:snapToGrid w:val="0"/>
                <w:color w:val="auto"/>
                <w:sz w:val="24"/>
                <w:szCs w:val="24"/>
                <w:vertAlign w:val="baseline"/>
              </w:rPr>
            </w:pPr>
            <w:r>
              <w:rPr>
                <w:rFonts w:hint="default" w:ascii="Times New Roman" w:hAnsi="Times New Roman" w:eastAsia="仿宋" w:cs="Times New Roman"/>
                <w:color w:val="auto"/>
                <w:kern w:val="0"/>
                <w:sz w:val="24"/>
                <w:szCs w:val="24"/>
              </w:rPr>
              <w:t>环境保护目标</w:t>
            </w:r>
          </w:p>
        </w:tc>
        <w:tc>
          <w:tcPr>
            <w:tcW w:w="8385" w:type="dxa"/>
            <w:noWrap w:val="0"/>
            <w:vAlign w:val="center"/>
          </w:tcPr>
          <w:p w14:paraId="727FEAFA">
            <w:pPr>
              <w:keepNext w:val="0"/>
              <w:keepLines w:val="0"/>
              <w:pageBreakBefore w:val="0"/>
              <w:widowControl w:val="0"/>
              <w:kinsoku/>
              <w:wordWrap/>
              <w:overflowPunct/>
              <w:topLinePunct w:val="0"/>
              <w:autoSpaceDE/>
              <w:autoSpaceDN/>
              <w:bidi w:val="0"/>
              <w:adjustRightInd w:val="0"/>
              <w:snapToGrid w:val="0"/>
              <w:spacing w:line="480" w:lineRule="exact"/>
              <w:textAlignment w:val="auto"/>
              <w:rPr>
                <w:rFonts w:hint="default" w:ascii="Times New Roman" w:hAnsi="Times New Roman" w:eastAsia="仿宋" w:cs="Times New Roman"/>
                <w:b/>
                <w:color w:val="auto"/>
                <w:sz w:val="24"/>
                <w:szCs w:val="32"/>
              </w:rPr>
            </w:pPr>
            <w:r>
              <w:rPr>
                <w:rFonts w:hint="default" w:ascii="Times New Roman" w:hAnsi="Times New Roman" w:eastAsia="仿宋" w:cs="Times New Roman"/>
                <w:b/>
                <w:bCs/>
                <w:color w:val="auto"/>
                <w:sz w:val="24"/>
                <w:szCs w:val="32"/>
              </w:rPr>
              <w:t>主要环境保护目标（列出名单及保护级别）</w:t>
            </w:r>
            <w:r>
              <w:rPr>
                <w:rFonts w:hint="default" w:ascii="Times New Roman" w:hAnsi="Times New Roman" w:eastAsia="仿宋" w:cs="Times New Roman"/>
                <w:b/>
                <w:color w:val="auto"/>
                <w:sz w:val="24"/>
                <w:szCs w:val="32"/>
              </w:rPr>
              <w:t>：</w:t>
            </w:r>
          </w:p>
          <w:p w14:paraId="45CDD378">
            <w:pPr>
              <w:keepNext w:val="0"/>
              <w:keepLines w:val="0"/>
              <w:pageBreakBefore w:val="0"/>
              <w:widowControl w:val="0"/>
              <w:numPr>
                <w:ilvl w:val="0"/>
                <w:numId w:val="15"/>
              </w:numPr>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pacing w:val="-2"/>
                <w:kern w:val="28"/>
                <w:sz w:val="24"/>
                <w:szCs w:val="24"/>
                <w:lang w:val="en-US" w:eastAsia="zh-CN"/>
              </w:rPr>
            </w:pPr>
            <w:r>
              <w:rPr>
                <w:rFonts w:hint="default" w:ascii="Times New Roman" w:hAnsi="Times New Roman" w:eastAsia="仿宋" w:cs="Times New Roman"/>
                <w:color w:val="auto"/>
                <w:spacing w:val="-2"/>
                <w:kern w:val="28"/>
                <w:sz w:val="24"/>
                <w:szCs w:val="24"/>
                <w:lang w:val="en-US" w:eastAsia="zh-CN"/>
              </w:rPr>
              <w:t>大气环境</w:t>
            </w:r>
          </w:p>
          <w:p w14:paraId="37ED9F40">
            <w:pPr>
              <w:keepNext w:val="0"/>
              <w:keepLines w:val="0"/>
              <w:pageBreakBefore w:val="0"/>
              <w:widowControl w:val="0"/>
              <w:kinsoku/>
              <w:wordWrap/>
              <w:overflowPunct/>
              <w:topLinePunct w:val="0"/>
              <w:autoSpaceDE/>
              <w:autoSpaceDN/>
              <w:bidi w:val="0"/>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本项目周边500米范围内无大气环境敏感目标。</w:t>
            </w:r>
          </w:p>
          <w:p w14:paraId="4346639D">
            <w:pPr>
              <w:keepNext w:val="0"/>
              <w:keepLines w:val="0"/>
              <w:pageBreakBefore w:val="0"/>
              <w:widowControl w:val="0"/>
              <w:numPr>
                <w:ilvl w:val="0"/>
                <w:numId w:val="15"/>
              </w:numPr>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pacing w:val="-2"/>
                <w:kern w:val="28"/>
                <w:sz w:val="24"/>
                <w:szCs w:val="24"/>
                <w:lang w:val="en-US" w:eastAsia="zh-CN"/>
              </w:rPr>
            </w:pPr>
            <w:r>
              <w:rPr>
                <w:rFonts w:hint="default" w:ascii="Times New Roman" w:hAnsi="Times New Roman" w:eastAsia="仿宋" w:cs="Times New Roman"/>
                <w:color w:val="auto"/>
                <w:spacing w:val="-2"/>
                <w:kern w:val="28"/>
                <w:sz w:val="24"/>
                <w:szCs w:val="24"/>
                <w:lang w:val="en-US" w:eastAsia="zh-CN"/>
              </w:rPr>
              <w:t>地表水环境</w:t>
            </w:r>
          </w:p>
          <w:p w14:paraId="12F6812C">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default" w:ascii="Times New Roman" w:hAnsi="Times New Roman" w:eastAsia="仿宋" w:cs="Times New Roman"/>
                <w:b/>
                <w:color w:val="auto"/>
                <w:szCs w:val="21"/>
                <w:lang w:val="en-US" w:eastAsia="zh-CN"/>
              </w:rPr>
              <w:t>-</w:t>
            </w:r>
            <w:r>
              <w:rPr>
                <w:rFonts w:hint="eastAsia" w:eastAsia="仿宋" w:cs="Times New Roman"/>
                <w:b/>
                <w:color w:val="auto"/>
                <w:szCs w:val="21"/>
                <w:lang w:val="en-US" w:eastAsia="zh-CN"/>
              </w:rPr>
              <w:t>6</w:t>
            </w:r>
            <w:r>
              <w:rPr>
                <w:rFonts w:hint="default" w:ascii="Times New Roman" w:hAnsi="Times New Roman" w:eastAsia="仿宋" w:cs="Times New Roman"/>
                <w:b/>
                <w:color w:val="auto"/>
                <w:szCs w:val="21"/>
                <w:lang w:val="en-US" w:eastAsia="zh-CN"/>
              </w:rPr>
              <w:t xml:space="preserve">  水环境保护</w:t>
            </w:r>
            <w:r>
              <w:rPr>
                <w:rFonts w:hint="default" w:ascii="Times New Roman" w:hAnsi="Times New Roman" w:eastAsia="仿宋" w:cs="Times New Roman"/>
                <w:b/>
                <w:color w:val="auto"/>
                <w:szCs w:val="21"/>
              </w:rPr>
              <w:t>目标</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27"/>
              <w:gridCol w:w="1305"/>
              <w:gridCol w:w="1095"/>
              <w:gridCol w:w="825"/>
              <w:gridCol w:w="720"/>
              <w:gridCol w:w="3494"/>
            </w:tblGrid>
            <w:tr w14:paraId="37615A6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22" w:hRule="atLeast"/>
              </w:trPr>
              <w:tc>
                <w:tcPr>
                  <w:tcW w:w="445" w:type="pct"/>
                  <w:noWrap w:val="0"/>
                  <w:vAlign w:val="center"/>
                </w:tcPr>
                <w:p w14:paraId="2C889ACA">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环境要素</w:t>
                  </w:r>
                </w:p>
              </w:tc>
              <w:tc>
                <w:tcPr>
                  <w:tcW w:w="799" w:type="pct"/>
                  <w:noWrap w:val="0"/>
                  <w:vAlign w:val="center"/>
                </w:tcPr>
                <w:p w14:paraId="7EE6EC09">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环境保护目标名称</w:t>
                  </w:r>
                </w:p>
              </w:tc>
              <w:tc>
                <w:tcPr>
                  <w:tcW w:w="670" w:type="pct"/>
                  <w:noWrap w:val="0"/>
                  <w:vAlign w:val="center"/>
                </w:tcPr>
                <w:p w14:paraId="5FFCD6C3">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最近距离/m</w:t>
                  </w:r>
                </w:p>
              </w:tc>
              <w:tc>
                <w:tcPr>
                  <w:tcW w:w="505" w:type="pct"/>
                  <w:noWrap w:val="0"/>
                  <w:vAlign w:val="center"/>
                </w:tcPr>
                <w:p w14:paraId="77B5712E">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方位</w:t>
                  </w:r>
                </w:p>
              </w:tc>
              <w:tc>
                <w:tcPr>
                  <w:tcW w:w="440" w:type="pct"/>
                  <w:noWrap w:val="0"/>
                  <w:vAlign w:val="center"/>
                </w:tcPr>
                <w:p w14:paraId="22DA56A0">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规模</w:t>
                  </w:r>
                </w:p>
              </w:tc>
              <w:tc>
                <w:tcPr>
                  <w:tcW w:w="2139" w:type="pct"/>
                  <w:noWrap w:val="0"/>
                  <w:vAlign w:val="center"/>
                </w:tcPr>
                <w:p w14:paraId="3FBAB8BF">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执行标准/</w:t>
                  </w:r>
                </w:p>
                <w:p w14:paraId="14973C59">
                  <w:pPr>
                    <w:pStyle w:val="55"/>
                    <w:keepNext w:val="0"/>
                    <w:keepLines w:val="0"/>
                    <w:pageBreakBefore w:val="0"/>
                    <w:widowControl w:val="0"/>
                    <w:kinsoku/>
                    <w:wordWrap/>
                    <w:overflowPunct/>
                    <w:topLinePunct w:val="0"/>
                    <w:autoSpaceDE w:val="0"/>
                    <w:autoSpaceDN w:val="0"/>
                    <w:bidi w:val="0"/>
                    <w:adjustRightInd w:val="0"/>
                    <w:snapToGrid w:val="0"/>
                    <w:spacing w:before="0" w:beforeLines="0" w:line="320" w:lineRule="exact"/>
                    <w:ind w:firstLine="0" w:firstLineChars="0"/>
                    <w:jc w:val="center"/>
                    <w:textAlignment w:val="auto"/>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功能区类别</w:t>
                  </w:r>
                </w:p>
              </w:tc>
            </w:tr>
            <w:tr w14:paraId="7510199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5" w:type="pct"/>
                  <w:vMerge w:val="restart"/>
                  <w:noWrap w:val="0"/>
                  <w:vAlign w:val="center"/>
                </w:tcPr>
                <w:p w14:paraId="3BC4E15C">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地表水</w:t>
                  </w:r>
                </w:p>
              </w:tc>
              <w:tc>
                <w:tcPr>
                  <w:tcW w:w="799" w:type="pct"/>
                  <w:noWrap w:val="0"/>
                  <w:vAlign w:val="center"/>
                </w:tcPr>
                <w:p w14:paraId="0091BB33">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扁旦河</w:t>
                  </w:r>
                </w:p>
              </w:tc>
              <w:tc>
                <w:tcPr>
                  <w:tcW w:w="670" w:type="pct"/>
                  <w:noWrap w:val="0"/>
                  <w:vAlign w:val="center"/>
                </w:tcPr>
                <w:p w14:paraId="70D0B9C8">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368</w:t>
                  </w:r>
                </w:p>
              </w:tc>
              <w:tc>
                <w:tcPr>
                  <w:tcW w:w="505" w:type="pct"/>
                  <w:noWrap w:val="0"/>
                  <w:vAlign w:val="center"/>
                </w:tcPr>
                <w:p w14:paraId="23E03AB3">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W</w:t>
                  </w:r>
                </w:p>
              </w:tc>
              <w:tc>
                <w:tcPr>
                  <w:tcW w:w="440" w:type="pct"/>
                  <w:noWrap w:val="0"/>
                  <w:vAlign w:val="center"/>
                </w:tcPr>
                <w:p w14:paraId="64CD97DB">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eastAsia" w:ascii="Times New Roman" w:hAnsi="Times New Roman" w:eastAsia="仿宋" w:cs="Times New Roman"/>
                      <w:bCs/>
                      <w:color w:val="auto"/>
                      <w:sz w:val="21"/>
                      <w:szCs w:val="21"/>
                      <w:lang w:val="en-US" w:eastAsia="zh-CN"/>
                    </w:rPr>
                    <w:t>小</w:t>
                  </w:r>
                  <w:r>
                    <w:rPr>
                      <w:rFonts w:hint="default" w:ascii="Times New Roman" w:hAnsi="Times New Roman" w:eastAsia="仿宋" w:cs="Times New Roman"/>
                      <w:bCs/>
                      <w:color w:val="auto"/>
                      <w:sz w:val="21"/>
                      <w:szCs w:val="21"/>
                      <w:lang w:val="en-US" w:eastAsia="zh-CN"/>
                    </w:rPr>
                    <w:t>河</w:t>
                  </w:r>
                </w:p>
              </w:tc>
              <w:tc>
                <w:tcPr>
                  <w:tcW w:w="2139" w:type="pct"/>
                  <w:noWrap w:val="0"/>
                  <w:vAlign w:val="center"/>
                </w:tcPr>
                <w:p w14:paraId="1C084ADA">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《地表水环境质量标准》（GB3838-2002）Ⅳ类</w:t>
                  </w:r>
                </w:p>
              </w:tc>
            </w:tr>
            <w:tr w14:paraId="412A0D8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45" w:type="pct"/>
                  <w:vMerge w:val="continue"/>
                  <w:noWrap w:val="0"/>
                  <w:vAlign w:val="center"/>
                </w:tcPr>
                <w:p w14:paraId="78BCFF76">
                  <w:pPr>
                    <w:tabs>
                      <w:tab w:val="left" w:pos="4500"/>
                    </w:tabs>
                    <w:spacing w:line="280" w:lineRule="exact"/>
                    <w:jc w:val="center"/>
                    <w:rPr>
                      <w:rFonts w:hint="default" w:ascii="Times New Roman" w:hAnsi="Times New Roman" w:eastAsia="仿宋" w:cs="Times New Roman"/>
                      <w:bCs/>
                      <w:color w:val="auto"/>
                      <w:sz w:val="21"/>
                      <w:szCs w:val="21"/>
                      <w:lang w:val="en-US" w:eastAsia="zh-CN"/>
                    </w:rPr>
                  </w:pPr>
                </w:p>
              </w:tc>
              <w:tc>
                <w:tcPr>
                  <w:tcW w:w="799" w:type="pct"/>
                  <w:noWrap w:val="0"/>
                  <w:vAlign w:val="center"/>
                </w:tcPr>
                <w:p w14:paraId="1891DBD9">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新京杭运河</w:t>
                  </w:r>
                </w:p>
              </w:tc>
              <w:tc>
                <w:tcPr>
                  <w:tcW w:w="670" w:type="pct"/>
                  <w:noWrap w:val="0"/>
                  <w:vAlign w:val="center"/>
                </w:tcPr>
                <w:p w14:paraId="1F04E0AD">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6300</w:t>
                  </w:r>
                </w:p>
              </w:tc>
              <w:tc>
                <w:tcPr>
                  <w:tcW w:w="505" w:type="pct"/>
                  <w:noWrap w:val="0"/>
                  <w:vAlign w:val="center"/>
                </w:tcPr>
                <w:p w14:paraId="0197E4FE">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NE</w:t>
                  </w:r>
                </w:p>
              </w:tc>
              <w:tc>
                <w:tcPr>
                  <w:tcW w:w="440" w:type="pct"/>
                  <w:noWrap w:val="0"/>
                  <w:vAlign w:val="center"/>
                </w:tcPr>
                <w:p w14:paraId="0CAF7D12">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中河</w:t>
                  </w:r>
                </w:p>
              </w:tc>
              <w:tc>
                <w:tcPr>
                  <w:tcW w:w="2139" w:type="pct"/>
                  <w:noWrap w:val="0"/>
                  <w:vAlign w:val="center"/>
                </w:tcPr>
                <w:p w14:paraId="005F74DA">
                  <w:pPr>
                    <w:tabs>
                      <w:tab w:val="left" w:pos="4500"/>
                    </w:tabs>
                    <w:spacing w:line="280" w:lineRule="exact"/>
                    <w:jc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bCs/>
                      <w:color w:val="auto"/>
                      <w:sz w:val="21"/>
                      <w:szCs w:val="21"/>
                      <w:lang w:val="en-US" w:eastAsia="zh-CN"/>
                    </w:rPr>
                    <w:t>《地表水环境质量标准》（GB3838-2002）Ⅲ类</w:t>
                  </w:r>
                </w:p>
              </w:tc>
            </w:tr>
          </w:tbl>
          <w:p w14:paraId="25875EED">
            <w:pPr>
              <w:keepNext w:val="0"/>
              <w:keepLines w:val="0"/>
              <w:pageBreakBefore w:val="0"/>
              <w:widowControl w:val="0"/>
              <w:numPr>
                <w:ilvl w:val="0"/>
                <w:numId w:val="15"/>
              </w:numPr>
              <w:kinsoku/>
              <w:wordWrap/>
              <w:overflowPunct/>
              <w:topLinePunct w:val="0"/>
              <w:autoSpaceDE/>
              <w:autoSpaceDN/>
              <w:bidi w:val="0"/>
              <w:adjustRightInd/>
              <w:snapToGrid/>
              <w:spacing w:line="480" w:lineRule="exact"/>
              <w:jc w:val="both"/>
              <w:textAlignment w:val="auto"/>
              <w:rPr>
                <w:rFonts w:hint="default" w:ascii="Times New Roman" w:hAnsi="Times New Roman" w:eastAsia="仿宋" w:cs="Times New Roman"/>
                <w:color w:val="auto"/>
                <w:spacing w:val="-2"/>
                <w:kern w:val="28"/>
                <w:sz w:val="24"/>
                <w:szCs w:val="24"/>
                <w:lang w:val="en-US" w:eastAsia="zh-CN"/>
              </w:rPr>
            </w:pPr>
            <w:r>
              <w:rPr>
                <w:rFonts w:hint="default" w:ascii="Times New Roman" w:hAnsi="Times New Roman" w:eastAsia="仿宋" w:cs="Times New Roman"/>
                <w:color w:val="auto"/>
                <w:spacing w:val="-2"/>
                <w:kern w:val="28"/>
                <w:sz w:val="24"/>
                <w:szCs w:val="24"/>
                <w:lang w:val="en-US" w:eastAsia="zh-CN"/>
              </w:rPr>
              <w:t>声环境</w:t>
            </w:r>
          </w:p>
          <w:p w14:paraId="6AA451C7">
            <w:pPr>
              <w:pStyle w:val="20"/>
              <w:keepNext w:val="0"/>
              <w:keepLines w:val="0"/>
              <w:pageBreakBefore w:val="0"/>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outlineLvl w:val="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本项目厂界周边50米范围内无声环境敏感目标。</w:t>
            </w:r>
          </w:p>
          <w:p w14:paraId="039B916B">
            <w:pPr>
              <w:pStyle w:val="20"/>
              <w:keepNext w:val="0"/>
              <w:keepLines w:val="0"/>
              <w:pageBreakBefore w:val="0"/>
              <w:numPr>
                <w:ilvl w:val="0"/>
                <w:numId w:val="15"/>
              </w:numPr>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outlineLvl w:val="0"/>
              <w:rPr>
                <w:rFonts w:hint="default" w:ascii="Times New Roman" w:hAnsi="Times New Roman" w:eastAsia="仿宋" w:cs="Times New Roman"/>
                <w:color w:val="auto"/>
                <w:spacing w:val="-2"/>
                <w:kern w:val="28"/>
                <w:sz w:val="24"/>
                <w:szCs w:val="24"/>
                <w:lang w:val="en-US" w:eastAsia="zh-CN" w:bidi="ar-SA"/>
              </w:rPr>
            </w:pPr>
            <w:r>
              <w:rPr>
                <w:rFonts w:hint="default" w:ascii="Times New Roman" w:hAnsi="Times New Roman" w:eastAsia="仿宋" w:cs="Times New Roman"/>
                <w:color w:val="auto"/>
                <w:spacing w:val="-2"/>
                <w:kern w:val="28"/>
                <w:sz w:val="24"/>
                <w:szCs w:val="24"/>
                <w:lang w:val="en-US" w:eastAsia="zh-CN" w:bidi="ar-SA"/>
              </w:rPr>
              <w:t>地下水环境</w:t>
            </w:r>
          </w:p>
          <w:p w14:paraId="4BFAFC7F">
            <w:pPr>
              <w:pStyle w:val="20"/>
              <w:keepNext w:val="0"/>
              <w:keepLines w:val="0"/>
              <w:pageBreakBefore w:val="0"/>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outlineLvl w:val="0"/>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val="en-US" w:eastAsia="zh-CN" w:bidi="ar-SA"/>
              </w:rPr>
              <w:t>本项目厂界外500米范围内无地下水集中式饮用水水源和热水、矿泉水、温泉等特殊地下水资源。</w:t>
            </w:r>
          </w:p>
          <w:p w14:paraId="34E349DE">
            <w:pPr>
              <w:pStyle w:val="20"/>
              <w:keepNext w:val="0"/>
              <w:keepLines w:val="0"/>
              <w:pageBreakBefore w:val="0"/>
              <w:widowControl/>
              <w:numPr>
                <w:ilvl w:val="0"/>
                <w:numId w:val="15"/>
              </w:numPr>
              <w:kinsoku/>
              <w:wordWrap/>
              <w:overflowPunct/>
              <w:topLinePunct w:val="0"/>
              <w:autoSpaceDE/>
              <w:autoSpaceDN/>
              <w:bidi w:val="0"/>
              <w:adjustRightInd/>
              <w:snapToGrid/>
              <w:spacing w:before="0" w:beforeAutospacing="0" w:after="0" w:afterAutospacing="0" w:line="480" w:lineRule="exact"/>
              <w:ind w:left="0" w:leftChars="0" w:firstLine="0" w:firstLineChars="0"/>
              <w:jc w:val="both"/>
              <w:textAlignment w:val="auto"/>
              <w:outlineLvl w:val="0"/>
              <w:rPr>
                <w:rFonts w:hint="default" w:ascii="Times New Roman" w:hAnsi="Times New Roman" w:eastAsia="仿宋" w:cs="Times New Roman"/>
                <w:color w:val="auto"/>
                <w:spacing w:val="-2"/>
                <w:kern w:val="28"/>
                <w:sz w:val="24"/>
                <w:szCs w:val="24"/>
                <w:lang w:val="en-US" w:eastAsia="zh-CN" w:bidi="ar-SA"/>
              </w:rPr>
            </w:pPr>
            <w:r>
              <w:rPr>
                <w:rFonts w:hint="default" w:ascii="Times New Roman" w:hAnsi="Times New Roman" w:eastAsia="仿宋" w:cs="Times New Roman"/>
                <w:color w:val="auto"/>
                <w:spacing w:val="-2"/>
                <w:kern w:val="28"/>
                <w:sz w:val="24"/>
                <w:szCs w:val="24"/>
                <w:lang w:val="en-US" w:eastAsia="zh-CN" w:bidi="ar-SA"/>
              </w:rPr>
              <w:t>生态环境</w:t>
            </w:r>
          </w:p>
          <w:p w14:paraId="74471B52">
            <w:pPr>
              <w:pStyle w:val="20"/>
              <w:keepNext w:val="0"/>
              <w:keepLines w:val="0"/>
              <w:pageBreakBefore w:val="0"/>
              <w:kinsoku/>
              <w:wordWrap/>
              <w:overflowPunct/>
              <w:topLinePunct w:val="0"/>
              <w:autoSpaceDE/>
              <w:autoSpaceDN/>
              <w:bidi w:val="0"/>
              <w:adjustRightInd/>
              <w:snapToGrid/>
              <w:spacing w:before="0" w:beforeAutospacing="0" w:after="0" w:afterAutospacing="0" w:line="480" w:lineRule="exact"/>
              <w:ind w:firstLine="480" w:firstLineChars="200"/>
              <w:jc w:val="both"/>
              <w:textAlignment w:val="auto"/>
              <w:outlineLvl w:val="0"/>
              <w:rPr>
                <w:rFonts w:hint="default" w:ascii="Times New Roman" w:hAnsi="Times New Roman" w:eastAsia="仿宋" w:cs="Times New Roman"/>
                <w:color w:val="auto"/>
                <w:spacing w:val="-2"/>
                <w:kern w:val="28"/>
                <w:sz w:val="21"/>
                <w:szCs w:val="21"/>
                <w:lang w:val="en-US" w:eastAsia="zh-CN" w:bidi="ar-SA"/>
              </w:rPr>
            </w:pPr>
            <w:r>
              <w:rPr>
                <w:rFonts w:hint="default" w:ascii="Times New Roman" w:hAnsi="Times New Roman" w:eastAsia="仿宋" w:cs="Times New Roman"/>
                <w:color w:val="auto"/>
                <w:kern w:val="0"/>
                <w:sz w:val="24"/>
                <w:szCs w:val="24"/>
                <w:lang w:val="en-US" w:eastAsia="zh-CN" w:bidi="ar-SA"/>
              </w:rPr>
              <w:t>距离本项目最近的生态空间管控区域为南侧4.8km处的武进滆湖省级湿地公园。</w:t>
            </w:r>
          </w:p>
        </w:tc>
      </w:tr>
      <w:tr w14:paraId="342A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14:paraId="0C3B0357">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污染</w:t>
            </w:r>
          </w:p>
          <w:p w14:paraId="04741B7B">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物排</w:t>
            </w:r>
          </w:p>
          <w:p w14:paraId="59BFB31F">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放控</w:t>
            </w:r>
          </w:p>
          <w:p w14:paraId="6FBF2867">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制标</w:t>
            </w:r>
          </w:p>
          <w:p w14:paraId="6C934012">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准</w:t>
            </w:r>
          </w:p>
        </w:tc>
        <w:tc>
          <w:tcPr>
            <w:tcW w:w="8385" w:type="dxa"/>
            <w:noWrap w:val="0"/>
            <w:vAlign w:val="center"/>
          </w:tcPr>
          <w:p w14:paraId="009A2C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、水污染物排放标准</w:t>
            </w:r>
          </w:p>
          <w:p w14:paraId="293AB97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kern w:val="0"/>
                <w:sz w:val="24"/>
                <w:szCs w:val="24"/>
                <w:highlight w:val="none"/>
              </w:rPr>
            </w:pPr>
            <w:r>
              <w:rPr>
                <w:rFonts w:hint="default" w:ascii="Times New Roman" w:hAnsi="Times New Roman" w:eastAsia="仿宋" w:cs="Times New Roman"/>
                <w:color w:val="auto"/>
                <w:kern w:val="0"/>
                <w:sz w:val="24"/>
                <w:szCs w:val="24"/>
                <w:highlight w:val="none"/>
              </w:rPr>
              <w:t>本项目</w:t>
            </w:r>
            <w:r>
              <w:rPr>
                <w:rFonts w:hint="eastAsia" w:ascii="Times New Roman" w:hAnsi="Times New Roman" w:eastAsia="仿宋" w:cs="Times New Roman"/>
                <w:color w:val="auto"/>
                <w:kern w:val="0"/>
                <w:sz w:val="24"/>
                <w:szCs w:val="24"/>
                <w:highlight w:val="none"/>
                <w:lang w:val="en-US" w:eastAsia="zh-CN"/>
              </w:rPr>
              <w:t>清洗废液</w:t>
            </w:r>
            <w:r>
              <w:rPr>
                <w:rFonts w:hint="default" w:ascii="Times New Roman" w:hAnsi="Times New Roman" w:eastAsia="仿宋" w:cs="Times New Roman"/>
                <w:color w:val="auto"/>
                <w:kern w:val="0"/>
                <w:sz w:val="24"/>
                <w:szCs w:val="24"/>
                <w:highlight w:val="none"/>
                <w:lang w:val="en-US" w:eastAsia="zh-CN"/>
              </w:rPr>
              <w:t>作为危废委托有资质单位处理；</w:t>
            </w:r>
            <w:r>
              <w:rPr>
                <w:rFonts w:hint="default" w:ascii="Times New Roman" w:hAnsi="Times New Roman" w:eastAsia="仿宋" w:cs="Times New Roman"/>
                <w:color w:val="auto"/>
                <w:kern w:val="0"/>
                <w:sz w:val="24"/>
                <w:szCs w:val="24"/>
                <w:highlight w:val="none"/>
              </w:rPr>
              <w:t>生活污水经厂区污水管网收集后接入区域污水管网进滨湖污水处理厂处理，达标尾水排入新京杭运河。</w:t>
            </w:r>
          </w:p>
          <w:p w14:paraId="3BEB79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本项目接管标准执行《污水排入城镇下水道水质标准》</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GB/T31962-2015</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B级；目前滨湖污水处理厂尾水排放标准执行《太湖地区城镇污水处理厂及重点工业行业</w:t>
            </w:r>
            <w:r>
              <w:rPr>
                <w:rFonts w:hint="default" w:ascii="Times New Roman" w:hAnsi="Times New Roman" w:eastAsia="仿宋" w:cs="Times New Roman"/>
                <w:color w:val="auto"/>
                <w:kern w:val="0"/>
                <w:sz w:val="24"/>
                <w:szCs w:val="24"/>
                <w:lang w:val="en-US" w:eastAsia="zh-CN"/>
              </w:rPr>
              <w:t>主要</w:t>
            </w:r>
            <w:r>
              <w:rPr>
                <w:rFonts w:hint="default" w:ascii="Times New Roman" w:hAnsi="Times New Roman" w:eastAsia="仿宋" w:cs="Times New Roman"/>
                <w:color w:val="auto"/>
                <w:kern w:val="0"/>
                <w:sz w:val="24"/>
                <w:szCs w:val="24"/>
              </w:rPr>
              <w:t>水污染物排放限值》</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DB32/1072-2018</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中表2和《城镇污水处理厂污染物排放标准》</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GB18918-2002</w:t>
            </w:r>
            <w:r>
              <w:rPr>
                <w:rFonts w:hint="default" w:ascii="Times New Roman" w:hAnsi="Times New Roman" w:eastAsia="仿宋" w:cs="Times New Roman"/>
                <w:color w:val="auto"/>
                <w:kern w:val="0"/>
                <w:sz w:val="24"/>
                <w:szCs w:val="24"/>
                <w:lang w:eastAsia="zh-CN"/>
              </w:rPr>
              <w:t>）</w:t>
            </w:r>
            <w:r>
              <w:rPr>
                <w:rFonts w:hint="default" w:ascii="Times New Roman" w:hAnsi="Times New Roman" w:eastAsia="仿宋" w:cs="Times New Roman"/>
                <w:color w:val="auto"/>
                <w:kern w:val="0"/>
                <w:sz w:val="24"/>
                <w:szCs w:val="24"/>
              </w:rPr>
              <w:t>标准；滨湖污水处理厂排污口位于重点保护区域，自2026年3月28日起尾水排放标准执行《城镇污水处理厂污染物排放标准》（DB32/4440-2022）中表1B标准。</w:t>
            </w:r>
          </w:p>
          <w:p w14:paraId="3BEFFC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32"/>
              </w:rPr>
            </w:pPr>
            <w:r>
              <w:rPr>
                <w:rFonts w:hint="default" w:ascii="Times New Roman" w:hAnsi="Times New Roman" w:eastAsia="仿宋" w:cs="Times New Roman"/>
                <w:color w:val="auto"/>
                <w:sz w:val="24"/>
                <w:szCs w:val="32"/>
              </w:rPr>
              <w:t>废污水排放标准限值表3-</w:t>
            </w:r>
            <w:r>
              <w:rPr>
                <w:rFonts w:hint="eastAsia" w:eastAsia="仿宋" w:cs="Times New Roman"/>
                <w:color w:val="auto"/>
                <w:sz w:val="24"/>
                <w:szCs w:val="32"/>
                <w:lang w:val="en-US" w:eastAsia="zh-CN"/>
              </w:rPr>
              <w:t>7</w:t>
            </w:r>
            <w:r>
              <w:rPr>
                <w:rFonts w:hint="default" w:ascii="Times New Roman" w:hAnsi="Times New Roman" w:eastAsia="仿宋" w:cs="Times New Roman"/>
                <w:color w:val="auto"/>
                <w:sz w:val="24"/>
                <w:szCs w:val="32"/>
              </w:rPr>
              <w:t>。</w:t>
            </w:r>
          </w:p>
          <w:p w14:paraId="10A71493">
            <w:pPr>
              <w:spacing w:line="240" w:lineRule="auto"/>
              <w:jc w:val="center"/>
              <w:rPr>
                <w:rFonts w:hint="default" w:ascii="Times New Roman" w:hAnsi="Times New Roman" w:eastAsia="仿宋" w:cs="Times New Roman"/>
                <w:b/>
                <w:color w:val="auto"/>
                <w:szCs w:val="21"/>
              </w:rPr>
            </w:pPr>
          </w:p>
          <w:p w14:paraId="05DB8C30">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eastAsia" w:eastAsia="仿宋" w:cs="Times New Roman"/>
                <w:b/>
                <w:color w:val="auto"/>
                <w:szCs w:val="21"/>
                <w:lang w:val="en-US" w:eastAsia="zh-CN"/>
              </w:rPr>
              <w:t>7</w:t>
            </w:r>
            <w:r>
              <w:rPr>
                <w:rFonts w:hint="default" w:ascii="Times New Roman" w:hAnsi="Times New Roman" w:eastAsia="仿宋" w:cs="Times New Roman"/>
                <w:b/>
                <w:color w:val="auto"/>
                <w:szCs w:val="21"/>
              </w:rPr>
              <w:t xml:space="preserve">  废污水排放标准限值表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248"/>
              <w:gridCol w:w="2616"/>
              <w:gridCol w:w="1702"/>
              <w:gridCol w:w="949"/>
              <w:gridCol w:w="792"/>
              <w:gridCol w:w="862"/>
            </w:tblGrid>
            <w:tr w14:paraId="514DD0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noWrap w:val="0"/>
                  <w:vAlign w:val="center"/>
                </w:tcPr>
                <w:p w14:paraId="1BD90C54">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排放口名称</w:t>
                  </w:r>
                </w:p>
              </w:tc>
              <w:tc>
                <w:tcPr>
                  <w:tcW w:w="1601" w:type="pct"/>
                  <w:noWrap w:val="0"/>
                  <w:vAlign w:val="center"/>
                </w:tcPr>
                <w:p w14:paraId="42986EE9">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1042" w:type="pct"/>
                  <w:noWrap w:val="0"/>
                  <w:vAlign w:val="center"/>
                </w:tcPr>
                <w:p w14:paraId="227118C7">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取值表号及级别</w:t>
                  </w:r>
                </w:p>
              </w:tc>
              <w:tc>
                <w:tcPr>
                  <w:tcW w:w="581" w:type="pct"/>
                  <w:noWrap w:val="0"/>
                  <w:vAlign w:val="center"/>
                </w:tcPr>
                <w:p w14:paraId="673AE544">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5863B0DC">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指标</w:t>
                  </w:r>
                </w:p>
              </w:tc>
              <w:tc>
                <w:tcPr>
                  <w:tcW w:w="485" w:type="pct"/>
                  <w:noWrap w:val="0"/>
                  <w:vAlign w:val="center"/>
                </w:tcPr>
                <w:p w14:paraId="09963CDA">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w:t>
                  </w:r>
                </w:p>
              </w:tc>
              <w:tc>
                <w:tcPr>
                  <w:tcW w:w="527" w:type="pct"/>
                  <w:noWrap w:val="0"/>
                  <w:vAlign w:val="center"/>
                </w:tcPr>
                <w:p w14:paraId="583B5997">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w:t>
                  </w:r>
                </w:p>
                <w:p w14:paraId="1731308D">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限值</w:t>
                  </w:r>
                </w:p>
              </w:tc>
            </w:tr>
            <w:tr w14:paraId="1476E4F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restart"/>
                  <w:noWrap w:val="0"/>
                  <w:vAlign w:val="center"/>
                </w:tcPr>
                <w:p w14:paraId="64CB9EBA">
                  <w:pPr>
                    <w:pStyle w:val="61"/>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w:t>
                  </w:r>
                </w:p>
                <w:p w14:paraId="4711BBA9">
                  <w:pPr>
                    <w:pStyle w:val="61"/>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废水排口</w:t>
                  </w:r>
                </w:p>
              </w:tc>
              <w:tc>
                <w:tcPr>
                  <w:tcW w:w="1601" w:type="pct"/>
                  <w:vMerge w:val="restart"/>
                  <w:noWrap w:val="0"/>
                  <w:vAlign w:val="center"/>
                </w:tcPr>
                <w:p w14:paraId="04F03EB4">
                  <w:pPr>
                    <w:pStyle w:val="61"/>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《污水排入城镇下水道水质标准》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GB/T31962-2015</w:t>
                  </w:r>
                  <w:r>
                    <w:rPr>
                      <w:rFonts w:hint="default" w:ascii="Times New Roman" w:hAnsi="Times New Roman" w:eastAsia="仿宋" w:cs="Times New Roman"/>
                      <w:color w:val="auto"/>
                      <w:sz w:val="21"/>
                      <w:szCs w:val="21"/>
                      <w:lang w:eastAsia="zh-CN"/>
                    </w:rPr>
                    <w:t>）</w:t>
                  </w:r>
                </w:p>
              </w:tc>
              <w:tc>
                <w:tcPr>
                  <w:tcW w:w="1042" w:type="pct"/>
                  <w:vMerge w:val="restart"/>
                  <w:noWrap w:val="0"/>
                  <w:vAlign w:val="center"/>
                </w:tcPr>
                <w:p w14:paraId="63B9BAAE">
                  <w:pPr>
                    <w:pStyle w:val="61"/>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表1 B级</w:t>
                  </w:r>
                </w:p>
              </w:tc>
              <w:tc>
                <w:tcPr>
                  <w:tcW w:w="581" w:type="pct"/>
                  <w:noWrap w:val="0"/>
                  <w:vAlign w:val="center"/>
                </w:tcPr>
                <w:p w14:paraId="62D85165">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w:t>
                  </w:r>
                </w:p>
              </w:tc>
              <w:tc>
                <w:tcPr>
                  <w:tcW w:w="485" w:type="pct"/>
                  <w:noWrap w:val="0"/>
                  <w:vAlign w:val="center"/>
                </w:tcPr>
                <w:p w14:paraId="5E846846">
                  <w:pPr>
                    <w:pStyle w:val="61"/>
                    <w:spacing w:line="29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val="en-US" w:eastAsia="zh-CN"/>
                    </w:rPr>
                    <w:t>无量纲</w:t>
                  </w:r>
                </w:p>
              </w:tc>
              <w:tc>
                <w:tcPr>
                  <w:tcW w:w="527" w:type="pct"/>
                  <w:noWrap w:val="0"/>
                  <w:vAlign w:val="center"/>
                </w:tcPr>
                <w:p w14:paraId="45D20A57">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9.5</w:t>
                  </w:r>
                </w:p>
              </w:tc>
            </w:tr>
            <w:tr w14:paraId="661ED2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14A90E37">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750025CF">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5A05A11E">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5A81EDCE">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485" w:type="pct"/>
                  <w:noWrap w:val="0"/>
                  <w:vAlign w:val="center"/>
                </w:tcPr>
                <w:p w14:paraId="68F1633F">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2227D637">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500</w:t>
                  </w:r>
                </w:p>
              </w:tc>
            </w:tr>
            <w:tr w14:paraId="7BE2E09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7886176A">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7D702BD7">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5B201599">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5149CF9F">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485" w:type="pct"/>
                  <w:noWrap w:val="0"/>
                  <w:vAlign w:val="center"/>
                </w:tcPr>
                <w:p w14:paraId="7406D0CE">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616805E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r>
            <w:tr w14:paraId="286E34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521D4DA4">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7387E666">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4FF3D1C9">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43012B0D">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氨氮</w:t>
                  </w:r>
                </w:p>
              </w:tc>
              <w:tc>
                <w:tcPr>
                  <w:tcW w:w="485" w:type="pct"/>
                  <w:noWrap w:val="0"/>
                  <w:vAlign w:val="center"/>
                </w:tcPr>
                <w:p w14:paraId="3E71AB99">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1EE85F3B">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45</w:t>
                  </w:r>
                </w:p>
              </w:tc>
            </w:tr>
            <w:tr w14:paraId="0D54523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1BA23620">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5A196E32">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2B01697A">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1BBE9858">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TP</w:t>
                  </w:r>
                </w:p>
              </w:tc>
              <w:tc>
                <w:tcPr>
                  <w:tcW w:w="485" w:type="pct"/>
                  <w:noWrap w:val="0"/>
                  <w:vAlign w:val="center"/>
                </w:tcPr>
                <w:p w14:paraId="4194762E">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7B738F2F">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r>
            <w:tr w14:paraId="659CB2A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2BBB7A8B">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0B52CF4C">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1AD48347">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28AB5D12">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485" w:type="pct"/>
                  <w:noWrap w:val="0"/>
                  <w:vAlign w:val="center"/>
                </w:tcPr>
                <w:p w14:paraId="30A42FE9">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5DD2A075">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70</w:t>
                  </w:r>
                </w:p>
              </w:tc>
            </w:tr>
            <w:tr w14:paraId="3D35BA3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restart"/>
                  <w:noWrap w:val="0"/>
                  <w:vAlign w:val="center"/>
                </w:tcPr>
                <w:p w14:paraId="4390F424">
                  <w:pPr>
                    <w:pStyle w:val="61"/>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滨湖污水处理厂排口</w:t>
                  </w:r>
                </w:p>
              </w:tc>
              <w:tc>
                <w:tcPr>
                  <w:tcW w:w="1601" w:type="pct"/>
                  <w:vMerge w:val="restart"/>
                  <w:noWrap w:val="0"/>
                  <w:vAlign w:val="center"/>
                </w:tcPr>
                <w:p w14:paraId="72CC4A52">
                  <w:pPr>
                    <w:pStyle w:val="61"/>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《太湖地区城镇污水处理厂及重点工业行业</w:t>
                  </w:r>
                  <w:r>
                    <w:rPr>
                      <w:rFonts w:hint="default" w:ascii="Times New Roman" w:hAnsi="Times New Roman" w:eastAsia="仿宋" w:cs="Times New Roman"/>
                      <w:color w:val="auto"/>
                      <w:sz w:val="21"/>
                      <w:szCs w:val="21"/>
                      <w:lang w:val="en-US" w:eastAsia="zh-CN"/>
                    </w:rPr>
                    <w:t>主要</w:t>
                  </w:r>
                  <w:r>
                    <w:rPr>
                      <w:rFonts w:hint="default" w:ascii="Times New Roman" w:hAnsi="Times New Roman" w:eastAsia="仿宋" w:cs="Times New Roman"/>
                      <w:color w:val="auto"/>
                      <w:sz w:val="21"/>
                      <w:szCs w:val="21"/>
                    </w:rPr>
                    <w:t>水污染物排放限值》</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DB32/1072-2018</w:t>
                  </w:r>
                  <w:r>
                    <w:rPr>
                      <w:rFonts w:hint="default" w:ascii="Times New Roman" w:hAnsi="Times New Roman" w:eastAsia="仿宋" w:cs="Times New Roman"/>
                      <w:color w:val="auto"/>
                      <w:sz w:val="21"/>
                      <w:szCs w:val="21"/>
                      <w:lang w:eastAsia="zh-CN"/>
                    </w:rPr>
                    <w:t>）</w:t>
                  </w:r>
                </w:p>
              </w:tc>
              <w:tc>
                <w:tcPr>
                  <w:tcW w:w="1042" w:type="pct"/>
                  <w:vMerge w:val="restart"/>
                  <w:noWrap w:val="0"/>
                  <w:vAlign w:val="center"/>
                </w:tcPr>
                <w:p w14:paraId="19D542C7">
                  <w:pPr>
                    <w:pStyle w:val="61"/>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表2</w:t>
                  </w:r>
                </w:p>
                <w:p w14:paraId="0197A001">
                  <w:pPr>
                    <w:pStyle w:val="61"/>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城镇污水处理厂</w:t>
                  </w:r>
                </w:p>
              </w:tc>
              <w:tc>
                <w:tcPr>
                  <w:tcW w:w="581" w:type="pct"/>
                  <w:noWrap w:val="0"/>
                  <w:vAlign w:val="center"/>
                </w:tcPr>
                <w:p w14:paraId="12FF607D">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485" w:type="pct"/>
                  <w:noWrap w:val="0"/>
                  <w:vAlign w:val="center"/>
                </w:tcPr>
                <w:p w14:paraId="7917763A">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44BD2863">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r>
            <w:tr w14:paraId="4E0DB0A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77705AE4">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57081610">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44B95CA7">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24E249D1">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氨氮</w:t>
                  </w:r>
                  <w:r>
                    <w:rPr>
                      <w:rFonts w:hint="default" w:ascii="Times New Roman" w:hAnsi="Times New Roman" w:eastAsia="仿宋" w:cs="Times New Roman"/>
                      <w:color w:val="auto"/>
                      <w:sz w:val="21"/>
                      <w:szCs w:val="21"/>
                      <w:vertAlign w:val="superscript"/>
                    </w:rPr>
                    <w:t>*</w:t>
                  </w:r>
                </w:p>
              </w:tc>
              <w:tc>
                <w:tcPr>
                  <w:tcW w:w="485" w:type="pct"/>
                  <w:noWrap w:val="0"/>
                  <w:vAlign w:val="center"/>
                </w:tcPr>
                <w:p w14:paraId="64450273">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6068E295">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vertAlign w:val="superscript"/>
                    </w:rPr>
                    <w:t>*</w:t>
                  </w:r>
                </w:p>
              </w:tc>
            </w:tr>
            <w:tr w14:paraId="2231C6F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60F8899F">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41887007">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2C6341BA">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0E08BD4B">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TP</w:t>
                  </w:r>
                </w:p>
              </w:tc>
              <w:tc>
                <w:tcPr>
                  <w:tcW w:w="485" w:type="pct"/>
                  <w:noWrap w:val="0"/>
                  <w:vAlign w:val="center"/>
                </w:tcPr>
                <w:p w14:paraId="0986B5C9">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70F16A70">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r>
            <w:tr w14:paraId="711AFE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32073883">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6E2221DC">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16F5BFF9">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34B52DCB">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485" w:type="pct"/>
                  <w:noWrap w:val="0"/>
                  <w:vAlign w:val="center"/>
                </w:tcPr>
                <w:p w14:paraId="3D1A8410">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7D84333A">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15</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vertAlign w:val="superscript"/>
                    </w:rPr>
                    <w:t>*</w:t>
                  </w:r>
                </w:p>
              </w:tc>
            </w:tr>
            <w:tr w14:paraId="48D66B6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531F92E5">
                  <w:pPr>
                    <w:pStyle w:val="61"/>
                    <w:spacing w:line="260" w:lineRule="exact"/>
                    <w:jc w:val="center"/>
                    <w:rPr>
                      <w:rFonts w:hint="default" w:ascii="Times New Roman" w:hAnsi="Times New Roman" w:eastAsia="仿宋" w:cs="Times New Roman"/>
                      <w:color w:val="auto"/>
                      <w:sz w:val="21"/>
                      <w:szCs w:val="21"/>
                    </w:rPr>
                  </w:pPr>
                </w:p>
              </w:tc>
              <w:tc>
                <w:tcPr>
                  <w:tcW w:w="1601" w:type="pct"/>
                  <w:vMerge w:val="restart"/>
                  <w:noWrap w:val="0"/>
                  <w:vAlign w:val="center"/>
                </w:tcPr>
                <w:p w14:paraId="24335E39">
                  <w:pPr>
                    <w:pStyle w:val="61"/>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《城镇污水处理厂污染物排放标准》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GB18918-2002</w:t>
                  </w:r>
                  <w:r>
                    <w:rPr>
                      <w:rFonts w:hint="default" w:ascii="Times New Roman" w:hAnsi="Times New Roman" w:eastAsia="仿宋" w:cs="Times New Roman"/>
                      <w:color w:val="auto"/>
                      <w:sz w:val="21"/>
                      <w:szCs w:val="21"/>
                      <w:lang w:eastAsia="zh-CN"/>
                    </w:rPr>
                    <w:t>）</w:t>
                  </w:r>
                </w:p>
              </w:tc>
              <w:tc>
                <w:tcPr>
                  <w:tcW w:w="1042" w:type="pct"/>
                  <w:vMerge w:val="restart"/>
                  <w:noWrap w:val="0"/>
                  <w:vAlign w:val="center"/>
                </w:tcPr>
                <w:p w14:paraId="7F6A98EC">
                  <w:pPr>
                    <w:pStyle w:val="61"/>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表1一级A</w:t>
                  </w:r>
                </w:p>
              </w:tc>
              <w:tc>
                <w:tcPr>
                  <w:tcW w:w="581" w:type="pct"/>
                  <w:noWrap w:val="0"/>
                  <w:vAlign w:val="center"/>
                </w:tcPr>
                <w:p w14:paraId="5E585DC2">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w:t>
                  </w:r>
                </w:p>
              </w:tc>
              <w:tc>
                <w:tcPr>
                  <w:tcW w:w="485" w:type="pct"/>
                  <w:noWrap w:val="0"/>
                  <w:vAlign w:val="center"/>
                </w:tcPr>
                <w:p w14:paraId="511E696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27" w:type="pct"/>
                  <w:noWrap w:val="0"/>
                  <w:vAlign w:val="center"/>
                </w:tcPr>
                <w:p w14:paraId="5FBE71CB">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p>
              </w:tc>
            </w:tr>
            <w:tr w14:paraId="49742C5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630BBAF9">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330DCCD0">
                  <w:pPr>
                    <w:pStyle w:val="61"/>
                    <w:spacing w:line="30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330FFFED">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4CEDED5F">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485" w:type="pct"/>
                  <w:noWrap w:val="0"/>
                  <w:vAlign w:val="center"/>
                </w:tcPr>
                <w:p w14:paraId="543DA962">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32A97FE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r>
            <w:tr w14:paraId="3D8F051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122CCD97">
                  <w:pPr>
                    <w:pStyle w:val="61"/>
                    <w:spacing w:line="260" w:lineRule="exact"/>
                    <w:jc w:val="center"/>
                    <w:rPr>
                      <w:rFonts w:hint="default" w:ascii="Times New Roman" w:hAnsi="Times New Roman" w:eastAsia="仿宋" w:cs="Times New Roman"/>
                      <w:color w:val="auto"/>
                      <w:sz w:val="21"/>
                      <w:szCs w:val="21"/>
                    </w:rPr>
                  </w:pPr>
                </w:p>
              </w:tc>
              <w:tc>
                <w:tcPr>
                  <w:tcW w:w="1601" w:type="pct"/>
                  <w:vMerge w:val="restart"/>
                  <w:noWrap w:val="0"/>
                  <w:vAlign w:val="center"/>
                </w:tcPr>
                <w:p w14:paraId="4E01A79C">
                  <w:pPr>
                    <w:pStyle w:val="61"/>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《城镇污水处理厂污染物排放标准》（DB32/4440-2022）</w:t>
                  </w:r>
                </w:p>
                <w:p w14:paraId="303AEEAB">
                  <w:pPr>
                    <w:pStyle w:val="61"/>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（2026年3月28日起施行）</w:t>
                  </w:r>
                </w:p>
              </w:tc>
              <w:tc>
                <w:tcPr>
                  <w:tcW w:w="1042" w:type="pct"/>
                  <w:vMerge w:val="restart"/>
                  <w:noWrap w:val="0"/>
                  <w:vAlign w:val="center"/>
                </w:tcPr>
                <w:p w14:paraId="03A44DE6">
                  <w:pPr>
                    <w:pStyle w:val="61"/>
                    <w:spacing w:line="26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表1 B标准</w:t>
                  </w:r>
                </w:p>
              </w:tc>
              <w:tc>
                <w:tcPr>
                  <w:tcW w:w="581" w:type="pct"/>
                  <w:noWrap w:val="0"/>
                  <w:vAlign w:val="center"/>
                </w:tcPr>
                <w:p w14:paraId="69C603AB">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w:t>
                  </w:r>
                </w:p>
              </w:tc>
              <w:tc>
                <w:tcPr>
                  <w:tcW w:w="485" w:type="pct"/>
                  <w:noWrap w:val="0"/>
                  <w:vAlign w:val="center"/>
                </w:tcPr>
                <w:p w14:paraId="1A5E603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27" w:type="pct"/>
                  <w:noWrap w:val="0"/>
                  <w:vAlign w:val="center"/>
                </w:tcPr>
                <w:p w14:paraId="3580F683">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r>
                    <w:rPr>
                      <w:rFonts w:hint="default" w:ascii="Times New Roman" w:hAnsi="Times New Roman" w:eastAsia="仿宋" w:cs="Times New Roman"/>
                      <w:color w:val="auto"/>
                      <w:sz w:val="21"/>
                      <w:szCs w:val="21"/>
                      <w:lang w:val="en-US" w:eastAsia="zh-CN"/>
                    </w:rPr>
                    <w:t>~</w:t>
                  </w:r>
                  <w:r>
                    <w:rPr>
                      <w:rFonts w:hint="default" w:ascii="Times New Roman" w:hAnsi="Times New Roman" w:eastAsia="仿宋" w:cs="Times New Roman"/>
                      <w:color w:val="auto"/>
                      <w:sz w:val="21"/>
                      <w:szCs w:val="21"/>
                    </w:rPr>
                    <w:t>9</w:t>
                  </w:r>
                </w:p>
              </w:tc>
            </w:tr>
            <w:tr w14:paraId="5188B1E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0D2D33D7">
                  <w:pPr>
                    <w:pStyle w:val="61"/>
                    <w:spacing w:line="260" w:lineRule="exact"/>
                    <w:jc w:val="center"/>
                    <w:rPr>
                      <w:rFonts w:hint="default" w:ascii="Times New Roman" w:hAnsi="Times New Roman" w:eastAsia="仿宋" w:cs="Times New Roman"/>
                      <w:color w:val="auto"/>
                      <w:kern w:val="0"/>
                      <w:sz w:val="21"/>
                      <w:szCs w:val="21"/>
                    </w:rPr>
                  </w:pPr>
                </w:p>
              </w:tc>
              <w:tc>
                <w:tcPr>
                  <w:tcW w:w="1601" w:type="pct"/>
                  <w:vMerge w:val="continue"/>
                  <w:noWrap w:val="0"/>
                  <w:vAlign w:val="center"/>
                </w:tcPr>
                <w:p w14:paraId="4EF89B59">
                  <w:pPr>
                    <w:pStyle w:val="61"/>
                    <w:spacing w:line="26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501BA649">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62A349D2">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485" w:type="pct"/>
                  <w:noWrap w:val="0"/>
                  <w:vAlign w:val="center"/>
                </w:tcPr>
                <w:p w14:paraId="68F0CBAA">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0EB895B2">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p>
              </w:tc>
            </w:tr>
            <w:tr w14:paraId="5392D5D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2BF1333D">
                  <w:pPr>
                    <w:pStyle w:val="61"/>
                    <w:spacing w:line="260" w:lineRule="exact"/>
                    <w:jc w:val="center"/>
                    <w:rPr>
                      <w:rFonts w:hint="default" w:ascii="Times New Roman" w:hAnsi="Times New Roman" w:eastAsia="仿宋" w:cs="Times New Roman"/>
                      <w:color w:val="auto"/>
                      <w:kern w:val="0"/>
                      <w:sz w:val="21"/>
                      <w:szCs w:val="21"/>
                    </w:rPr>
                  </w:pPr>
                </w:p>
              </w:tc>
              <w:tc>
                <w:tcPr>
                  <w:tcW w:w="1601" w:type="pct"/>
                  <w:vMerge w:val="continue"/>
                  <w:noWrap w:val="0"/>
                  <w:vAlign w:val="center"/>
                </w:tcPr>
                <w:p w14:paraId="7144CB63">
                  <w:pPr>
                    <w:pStyle w:val="61"/>
                    <w:spacing w:line="26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770B008B">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4D5BF62D">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SS</w:t>
                  </w:r>
                </w:p>
              </w:tc>
              <w:tc>
                <w:tcPr>
                  <w:tcW w:w="485" w:type="pct"/>
                  <w:noWrap w:val="0"/>
                  <w:vAlign w:val="center"/>
                </w:tcPr>
                <w:p w14:paraId="50E68F58">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20B2EB4A">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r>
            <w:tr w14:paraId="6ADF204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5649A758">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1FF646BE">
                  <w:pPr>
                    <w:pStyle w:val="61"/>
                    <w:spacing w:line="26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7A63865A">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136A75A8">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氨氮</w:t>
                  </w:r>
                </w:p>
              </w:tc>
              <w:tc>
                <w:tcPr>
                  <w:tcW w:w="485" w:type="pct"/>
                  <w:noWrap w:val="0"/>
                  <w:vAlign w:val="center"/>
                </w:tcPr>
                <w:p w14:paraId="2932B04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237DF6A1">
                  <w:pPr>
                    <w:pStyle w:val="61"/>
                    <w:spacing w:line="29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3</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5</w:t>
                  </w:r>
                  <w:r>
                    <w:rPr>
                      <w:rFonts w:hint="default" w:ascii="Times New Roman" w:hAnsi="Times New Roman" w:eastAsia="仿宋" w:cs="Times New Roman"/>
                      <w:color w:val="auto"/>
                      <w:sz w:val="21"/>
                      <w:szCs w:val="21"/>
                      <w:lang w:eastAsia="zh-CN"/>
                    </w:rPr>
                    <w:t>）</w:t>
                  </w:r>
                </w:p>
              </w:tc>
            </w:tr>
            <w:tr w14:paraId="3829002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5BF43881">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4D341817">
                  <w:pPr>
                    <w:pStyle w:val="61"/>
                    <w:spacing w:line="26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3C3EEE89">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7A797339">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TP</w:t>
                  </w:r>
                </w:p>
              </w:tc>
              <w:tc>
                <w:tcPr>
                  <w:tcW w:w="485" w:type="pct"/>
                  <w:noWrap w:val="0"/>
                  <w:vAlign w:val="center"/>
                </w:tcPr>
                <w:p w14:paraId="189D1333">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1BEAA45A">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w:t>
                  </w:r>
                </w:p>
              </w:tc>
            </w:tr>
            <w:tr w14:paraId="392AD35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764" w:type="pct"/>
                  <w:vMerge w:val="continue"/>
                  <w:noWrap w:val="0"/>
                  <w:vAlign w:val="center"/>
                </w:tcPr>
                <w:p w14:paraId="34145AB6">
                  <w:pPr>
                    <w:pStyle w:val="61"/>
                    <w:spacing w:line="260" w:lineRule="exact"/>
                    <w:jc w:val="center"/>
                    <w:rPr>
                      <w:rFonts w:hint="default" w:ascii="Times New Roman" w:hAnsi="Times New Roman" w:eastAsia="仿宋" w:cs="Times New Roman"/>
                      <w:color w:val="auto"/>
                      <w:sz w:val="21"/>
                      <w:szCs w:val="21"/>
                    </w:rPr>
                  </w:pPr>
                </w:p>
              </w:tc>
              <w:tc>
                <w:tcPr>
                  <w:tcW w:w="1601" w:type="pct"/>
                  <w:vMerge w:val="continue"/>
                  <w:noWrap w:val="0"/>
                  <w:vAlign w:val="center"/>
                </w:tcPr>
                <w:p w14:paraId="4840D635">
                  <w:pPr>
                    <w:pStyle w:val="61"/>
                    <w:spacing w:line="260" w:lineRule="exact"/>
                    <w:jc w:val="center"/>
                    <w:rPr>
                      <w:rFonts w:hint="default" w:ascii="Times New Roman" w:hAnsi="Times New Roman" w:eastAsia="仿宋" w:cs="Times New Roman"/>
                      <w:color w:val="auto"/>
                      <w:sz w:val="21"/>
                      <w:szCs w:val="21"/>
                    </w:rPr>
                  </w:pPr>
                </w:p>
              </w:tc>
              <w:tc>
                <w:tcPr>
                  <w:tcW w:w="1042" w:type="pct"/>
                  <w:vMerge w:val="continue"/>
                  <w:noWrap w:val="0"/>
                  <w:vAlign w:val="center"/>
                </w:tcPr>
                <w:p w14:paraId="6C8A15AD">
                  <w:pPr>
                    <w:pStyle w:val="61"/>
                    <w:spacing w:line="260" w:lineRule="exact"/>
                    <w:jc w:val="center"/>
                    <w:rPr>
                      <w:rFonts w:hint="default" w:ascii="Times New Roman" w:hAnsi="Times New Roman" w:eastAsia="仿宋" w:cs="Times New Roman"/>
                      <w:color w:val="auto"/>
                      <w:sz w:val="21"/>
                      <w:szCs w:val="21"/>
                    </w:rPr>
                  </w:pPr>
                </w:p>
              </w:tc>
              <w:tc>
                <w:tcPr>
                  <w:tcW w:w="581" w:type="pct"/>
                  <w:noWrap w:val="0"/>
                  <w:vAlign w:val="center"/>
                </w:tcPr>
                <w:p w14:paraId="44AABA84">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TN</w:t>
                  </w:r>
                </w:p>
              </w:tc>
              <w:tc>
                <w:tcPr>
                  <w:tcW w:w="485" w:type="pct"/>
                  <w:noWrap w:val="0"/>
                  <w:vAlign w:val="center"/>
                </w:tcPr>
                <w:p w14:paraId="0E561AF7">
                  <w:pPr>
                    <w:pStyle w:val="61"/>
                    <w:spacing w:line="29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mg/L</w:t>
                  </w:r>
                </w:p>
              </w:tc>
              <w:tc>
                <w:tcPr>
                  <w:tcW w:w="527" w:type="pct"/>
                  <w:noWrap w:val="0"/>
                  <w:vAlign w:val="center"/>
                </w:tcPr>
                <w:p w14:paraId="7B1347CF">
                  <w:pPr>
                    <w:pStyle w:val="61"/>
                    <w:spacing w:line="29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10</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12</w:t>
                  </w:r>
                  <w:r>
                    <w:rPr>
                      <w:rFonts w:hint="default" w:ascii="Times New Roman" w:hAnsi="Times New Roman" w:eastAsia="仿宋" w:cs="Times New Roman"/>
                      <w:color w:val="auto"/>
                      <w:sz w:val="21"/>
                      <w:szCs w:val="21"/>
                      <w:lang w:eastAsia="zh-CN"/>
                    </w:rPr>
                    <w:t>）</w:t>
                  </w:r>
                </w:p>
              </w:tc>
            </w:tr>
          </w:tbl>
          <w:p w14:paraId="19DEC52A">
            <w:pPr>
              <w:jc w:val="left"/>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注：每年11月1日至次年3月31日执行括号内排放限值。</w:t>
            </w:r>
          </w:p>
          <w:p w14:paraId="721FD6A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2、废气排放标准</w:t>
            </w:r>
          </w:p>
          <w:p w14:paraId="4352CA8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本项目产生</w:t>
            </w:r>
            <w:r>
              <w:rPr>
                <w:rFonts w:hint="eastAsia" w:eastAsia="仿宋" w:cs="Times New Roman"/>
                <w:color w:val="auto"/>
                <w:sz w:val="24"/>
                <w:szCs w:val="24"/>
                <w:lang w:val="en-US" w:eastAsia="zh-CN"/>
              </w:rPr>
              <w:t>的</w:t>
            </w:r>
            <w:r>
              <w:rPr>
                <w:rFonts w:hint="default" w:ascii="Times New Roman" w:hAnsi="Times New Roman" w:eastAsia="仿宋" w:cs="Times New Roman"/>
                <w:color w:val="auto"/>
                <w:sz w:val="24"/>
                <w:szCs w:val="24"/>
                <w:lang w:val="en-US" w:eastAsia="zh-CN"/>
              </w:rPr>
              <w:t>焊接烟尘经移动式焊烟净化器</w:t>
            </w:r>
            <w:r>
              <w:rPr>
                <w:rFonts w:hint="eastAsia" w:eastAsia="仿宋" w:cs="Times New Roman"/>
                <w:color w:val="auto"/>
                <w:sz w:val="24"/>
                <w:szCs w:val="24"/>
                <w:lang w:val="en-US" w:eastAsia="zh-CN"/>
              </w:rPr>
              <w:t>收集</w:t>
            </w:r>
            <w:r>
              <w:rPr>
                <w:rFonts w:hint="default" w:ascii="Times New Roman" w:hAnsi="Times New Roman" w:eastAsia="仿宋" w:cs="Times New Roman"/>
                <w:color w:val="auto"/>
                <w:sz w:val="24"/>
                <w:szCs w:val="24"/>
                <w:lang w:val="en-US" w:eastAsia="zh-CN"/>
              </w:rPr>
              <w:t>处理后在车间无组织排放，锡及其化合物排放浓度执行《大气污染物综合排放标准》（DB32/4041-2021）表3中的排放限值，详见表3-</w:t>
            </w:r>
            <w:r>
              <w:rPr>
                <w:rFonts w:hint="eastAsia" w:eastAsia="仿宋" w:cs="Times New Roman"/>
                <w:color w:val="auto"/>
                <w:sz w:val="24"/>
                <w:szCs w:val="24"/>
                <w:lang w:val="en-US" w:eastAsia="zh-CN"/>
              </w:rPr>
              <w:t>8</w:t>
            </w:r>
            <w:r>
              <w:rPr>
                <w:rFonts w:hint="default" w:ascii="Times New Roman" w:hAnsi="Times New Roman" w:eastAsia="仿宋" w:cs="Times New Roman"/>
                <w:color w:val="auto"/>
                <w:sz w:val="24"/>
                <w:szCs w:val="24"/>
                <w:lang w:val="en-US" w:eastAsia="zh-CN"/>
              </w:rPr>
              <w:t>。</w:t>
            </w:r>
          </w:p>
          <w:p w14:paraId="7C11FCDF">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表3-</w:t>
            </w:r>
            <w:r>
              <w:rPr>
                <w:rFonts w:hint="eastAsia" w:eastAsia="仿宋" w:cs="Times New Roman"/>
                <w:b/>
                <w:color w:val="auto"/>
                <w:szCs w:val="21"/>
                <w:lang w:val="en-US" w:eastAsia="zh-CN"/>
              </w:rPr>
              <w:t>8</w:t>
            </w:r>
            <w:r>
              <w:rPr>
                <w:rFonts w:hint="default" w:ascii="Times New Roman" w:hAnsi="Times New Roman" w:eastAsia="仿宋" w:cs="Times New Roman"/>
                <w:b/>
                <w:color w:val="auto"/>
                <w:szCs w:val="21"/>
              </w:rPr>
              <w:t xml:space="preserve">  </w:t>
            </w:r>
            <w:r>
              <w:rPr>
                <w:rFonts w:hint="default" w:ascii="Times New Roman" w:hAnsi="Times New Roman" w:eastAsia="仿宋" w:cs="Times New Roman"/>
                <w:b/>
                <w:color w:val="auto"/>
                <w:szCs w:val="21"/>
                <w:lang w:val="en-US" w:eastAsia="zh-CN"/>
              </w:rPr>
              <w:t>大气污染物</w:t>
            </w:r>
            <w:r>
              <w:rPr>
                <w:rFonts w:hint="default" w:ascii="Times New Roman" w:hAnsi="Times New Roman" w:eastAsia="仿宋" w:cs="Times New Roman"/>
                <w:b/>
                <w:color w:val="auto"/>
                <w:szCs w:val="21"/>
              </w:rPr>
              <w:t>排放标准限值表</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5"/>
              <w:gridCol w:w="1858"/>
              <w:gridCol w:w="1049"/>
              <w:gridCol w:w="1470"/>
              <w:gridCol w:w="735"/>
              <w:gridCol w:w="1096"/>
              <w:gridCol w:w="1096"/>
            </w:tblGrid>
            <w:tr w14:paraId="481F9D3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529" w:type="pct"/>
                  <w:noWrap w:val="0"/>
                  <w:vAlign w:val="center"/>
                </w:tcPr>
                <w:p w14:paraId="66BF8255">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排放口名称</w:t>
                  </w:r>
                </w:p>
              </w:tc>
              <w:tc>
                <w:tcPr>
                  <w:tcW w:w="1137" w:type="pct"/>
                  <w:noWrap w:val="0"/>
                  <w:vAlign w:val="center"/>
                </w:tcPr>
                <w:p w14:paraId="7A15C69E">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642" w:type="pct"/>
                  <w:noWrap w:val="0"/>
                  <w:vAlign w:val="center"/>
                </w:tcPr>
                <w:p w14:paraId="3446296D">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取值表号及级别</w:t>
                  </w:r>
                </w:p>
              </w:tc>
              <w:tc>
                <w:tcPr>
                  <w:tcW w:w="899" w:type="pct"/>
                  <w:noWrap w:val="0"/>
                  <w:vAlign w:val="center"/>
                </w:tcPr>
                <w:p w14:paraId="69D9CAE2">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污染物</w:t>
                  </w:r>
                </w:p>
                <w:p w14:paraId="2388034A">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指标</w:t>
                  </w:r>
                </w:p>
              </w:tc>
              <w:tc>
                <w:tcPr>
                  <w:tcW w:w="449" w:type="pct"/>
                  <w:noWrap w:val="0"/>
                  <w:vAlign w:val="center"/>
                </w:tcPr>
                <w:p w14:paraId="2C724E23">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单位</w:t>
                  </w:r>
                </w:p>
              </w:tc>
              <w:tc>
                <w:tcPr>
                  <w:tcW w:w="670" w:type="pct"/>
                  <w:noWrap w:val="0"/>
                  <w:vAlign w:val="center"/>
                </w:tcPr>
                <w:p w14:paraId="3FD0C03D">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标准</w:t>
                  </w:r>
                </w:p>
                <w:p w14:paraId="6DAD3ED2">
                  <w:pPr>
                    <w:pStyle w:val="61"/>
                    <w:spacing w:line="26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限值</w:t>
                  </w:r>
                </w:p>
              </w:tc>
              <w:tc>
                <w:tcPr>
                  <w:tcW w:w="670" w:type="pct"/>
                  <w:noWrap w:val="0"/>
                  <w:vAlign w:val="center"/>
                </w:tcPr>
                <w:p w14:paraId="1D1E25E7">
                  <w:pPr>
                    <w:pStyle w:val="61"/>
                    <w:spacing w:line="260" w:lineRule="exact"/>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监控位置</w:t>
                  </w:r>
                </w:p>
              </w:tc>
            </w:tr>
            <w:tr w14:paraId="319320A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jc w:val="center"/>
              </w:trPr>
              <w:tc>
                <w:tcPr>
                  <w:tcW w:w="529" w:type="pct"/>
                  <w:noWrap w:val="0"/>
                  <w:vAlign w:val="center"/>
                </w:tcPr>
                <w:p w14:paraId="51AAD1E2">
                  <w:pPr>
                    <w:pStyle w:val="61"/>
                    <w:spacing w:line="260" w:lineRule="exact"/>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厂界</w:t>
                  </w:r>
                </w:p>
              </w:tc>
              <w:tc>
                <w:tcPr>
                  <w:tcW w:w="1137" w:type="pct"/>
                  <w:noWrap w:val="0"/>
                  <w:vAlign w:val="center"/>
                </w:tcPr>
                <w:p w14:paraId="03564187">
                  <w:pPr>
                    <w:pStyle w:val="61"/>
                    <w:spacing w:line="260" w:lineRule="exact"/>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lang w:val="en-US" w:eastAsia="zh-CN"/>
                    </w:rPr>
                    <w:t>《大气污染物综合排放标准》（DB32/4041-2021）</w:t>
                  </w:r>
                </w:p>
              </w:tc>
              <w:tc>
                <w:tcPr>
                  <w:tcW w:w="642" w:type="pct"/>
                  <w:noWrap w:val="0"/>
                  <w:vAlign w:val="center"/>
                </w:tcPr>
                <w:p w14:paraId="661A0338">
                  <w:pPr>
                    <w:pStyle w:val="61"/>
                    <w:spacing w:line="260" w:lineRule="exact"/>
                    <w:jc w:val="center"/>
                    <w:rPr>
                      <w:rFonts w:hint="default" w:ascii="Times New Roman" w:hAnsi="Times New Roman" w:eastAsia="仿宋" w:cs="Times New Roman"/>
                      <w:b w:val="0"/>
                      <w:bCs w:val="0"/>
                      <w:color w:val="auto"/>
                      <w:sz w:val="21"/>
                      <w:szCs w:val="21"/>
                    </w:rPr>
                  </w:pPr>
                  <w:r>
                    <w:rPr>
                      <w:rFonts w:hint="default" w:ascii="Times New Roman" w:hAnsi="Times New Roman" w:eastAsia="仿宋" w:cs="Times New Roman"/>
                      <w:b w:val="0"/>
                      <w:bCs w:val="0"/>
                      <w:color w:val="auto"/>
                      <w:sz w:val="21"/>
                      <w:szCs w:val="21"/>
                      <w:lang w:val="en-US" w:eastAsia="zh-CN"/>
                    </w:rPr>
                    <w:t>表3</w:t>
                  </w:r>
                </w:p>
              </w:tc>
              <w:tc>
                <w:tcPr>
                  <w:tcW w:w="899" w:type="pct"/>
                  <w:noWrap w:val="0"/>
                  <w:vAlign w:val="center"/>
                </w:tcPr>
                <w:p w14:paraId="5FF4B922">
                  <w:pPr>
                    <w:pStyle w:val="61"/>
                    <w:spacing w:line="260" w:lineRule="exact"/>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锡及其化合物</w:t>
                  </w:r>
                </w:p>
              </w:tc>
              <w:tc>
                <w:tcPr>
                  <w:tcW w:w="449" w:type="pct"/>
                  <w:noWrap w:val="0"/>
                  <w:vAlign w:val="center"/>
                </w:tcPr>
                <w:p w14:paraId="548F6D5B">
                  <w:pPr>
                    <w:pStyle w:val="61"/>
                    <w:spacing w:line="260" w:lineRule="exact"/>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rPr>
                    <w:t>mg</w:t>
                  </w:r>
                  <w:r>
                    <w:rPr>
                      <w:rFonts w:hint="default" w:ascii="Times New Roman" w:hAnsi="Times New Roman" w:eastAsia="仿宋" w:cs="Times New Roman"/>
                      <w:b w:val="0"/>
                      <w:bCs w:val="0"/>
                      <w:color w:val="auto"/>
                      <w:sz w:val="21"/>
                      <w:szCs w:val="21"/>
                      <w:lang w:val="en-US" w:eastAsia="zh-CN"/>
                    </w:rPr>
                    <w:t>/m</w:t>
                  </w:r>
                  <w:r>
                    <w:rPr>
                      <w:rFonts w:hint="default" w:ascii="Times New Roman" w:hAnsi="Times New Roman" w:eastAsia="仿宋" w:cs="Times New Roman"/>
                      <w:b w:val="0"/>
                      <w:bCs w:val="0"/>
                      <w:color w:val="auto"/>
                      <w:sz w:val="21"/>
                      <w:szCs w:val="21"/>
                      <w:vertAlign w:val="superscript"/>
                      <w:lang w:val="en-US" w:eastAsia="zh-CN"/>
                    </w:rPr>
                    <w:t>3</w:t>
                  </w:r>
                </w:p>
              </w:tc>
              <w:tc>
                <w:tcPr>
                  <w:tcW w:w="670" w:type="pct"/>
                  <w:noWrap w:val="0"/>
                  <w:vAlign w:val="center"/>
                </w:tcPr>
                <w:p w14:paraId="0FAF8724">
                  <w:pPr>
                    <w:pStyle w:val="61"/>
                    <w:spacing w:line="260" w:lineRule="exact"/>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0.06</w:t>
                  </w:r>
                </w:p>
              </w:tc>
              <w:tc>
                <w:tcPr>
                  <w:tcW w:w="670" w:type="pct"/>
                  <w:noWrap w:val="0"/>
                  <w:vAlign w:val="center"/>
                </w:tcPr>
                <w:p w14:paraId="51A5FA59">
                  <w:pPr>
                    <w:pStyle w:val="61"/>
                    <w:spacing w:line="260" w:lineRule="exact"/>
                    <w:jc w:val="center"/>
                    <w:rPr>
                      <w:rFonts w:hint="default" w:ascii="Times New Roman" w:hAnsi="Times New Roman" w:eastAsia="仿宋" w:cs="Times New Roman"/>
                      <w:b w:val="0"/>
                      <w:bCs w:val="0"/>
                      <w:color w:val="auto"/>
                      <w:sz w:val="21"/>
                      <w:szCs w:val="21"/>
                      <w:lang w:val="en-US" w:eastAsia="zh-CN"/>
                    </w:rPr>
                  </w:pPr>
                  <w:r>
                    <w:rPr>
                      <w:rFonts w:hint="default" w:ascii="Times New Roman" w:hAnsi="Times New Roman" w:eastAsia="仿宋" w:cs="Times New Roman"/>
                      <w:b w:val="0"/>
                      <w:bCs w:val="0"/>
                      <w:color w:val="auto"/>
                      <w:sz w:val="21"/>
                      <w:szCs w:val="21"/>
                      <w:lang w:val="en-US" w:eastAsia="zh-CN"/>
                    </w:rPr>
                    <w:t>边界外浓度最高点</w:t>
                  </w:r>
                </w:p>
              </w:tc>
            </w:tr>
          </w:tbl>
          <w:p w14:paraId="3CE6CDE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噪声排放标准</w:t>
            </w:r>
          </w:p>
          <w:p w14:paraId="703924E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本项目位于</w:t>
            </w:r>
            <w:r>
              <w:rPr>
                <w:rFonts w:hint="default" w:ascii="Times New Roman" w:hAnsi="Times New Roman" w:eastAsia="仿宋" w:cs="Times New Roman"/>
                <w:color w:val="auto"/>
                <w:sz w:val="24"/>
                <w:szCs w:val="32"/>
              </w:rPr>
              <w:t>江苏武进经济开发区</w:t>
            </w:r>
            <w:r>
              <w:rPr>
                <w:rFonts w:hint="default" w:ascii="Times New Roman" w:hAnsi="Times New Roman" w:eastAsia="仿宋" w:cs="Times New Roman"/>
                <w:color w:val="auto"/>
                <w:sz w:val="24"/>
                <w:szCs w:val="32"/>
                <w:lang w:eastAsia="zh-CN"/>
              </w:rPr>
              <w:t>西湖街道长秀路8号（坤鼎常州创新产业基地9幢）</w:t>
            </w:r>
            <w:r>
              <w:rPr>
                <w:rFonts w:hint="default" w:ascii="Times New Roman" w:hAnsi="Times New Roman" w:eastAsia="仿宋" w:cs="Times New Roman"/>
                <w:color w:val="auto"/>
                <w:sz w:val="24"/>
                <w:szCs w:val="24"/>
              </w:rPr>
              <w:t>，根据</w:t>
            </w:r>
            <w:r>
              <w:rPr>
                <w:rFonts w:hint="default" w:ascii="Times New Roman" w:hAnsi="Times New Roman" w:eastAsia="仿宋" w:cs="Times New Roman"/>
                <w:color w:val="auto"/>
                <w:sz w:val="24"/>
                <w:szCs w:val="32"/>
              </w:rPr>
              <w:t>《江苏武进经济开发区产业发展规划（2020-2030年）环境影响报告书</w:t>
            </w:r>
            <w:r>
              <w:rPr>
                <w:rFonts w:hint="default" w:ascii="Times New Roman" w:hAnsi="Times New Roman" w:eastAsia="仿宋" w:cs="Times New Roman"/>
                <w:color w:val="auto"/>
                <w:sz w:val="24"/>
                <w:szCs w:val="24"/>
              </w:rPr>
              <w:t>》，厂界噪声执行《工业企业厂界环境噪声排放标准》（GB12348-2008）中3类标准，详见表3-</w:t>
            </w:r>
            <w:r>
              <w:rPr>
                <w:rFonts w:hint="eastAsia" w:eastAsia="仿宋" w:cs="Times New Roman"/>
                <w:color w:val="auto"/>
                <w:sz w:val="24"/>
                <w:szCs w:val="24"/>
                <w:lang w:val="en-US" w:eastAsia="zh-CN"/>
              </w:rPr>
              <w:t>9</w:t>
            </w:r>
            <w:r>
              <w:rPr>
                <w:rFonts w:hint="default" w:ascii="Times New Roman" w:hAnsi="Times New Roman" w:eastAsia="仿宋" w:cs="Times New Roman"/>
                <w:color w:val="auto"/>
                <w:sz w:val="24"/>
                <w:szCs w:val="24"/>
              </w:rPr>
              <w:t>。</w:t>
            </w:r>
          </w:p>
          <w:p w14:paraId="25B6DE9D">
            <w:pPr>
              <w:spacing w:line="240" w:lineRule="auto"/>
              <w:jc w:val="center"/>
              <w:rPr>
                <w:rFonts w:hint="default" w:ascii="Times New Roman" w:hAnsi="Times New Roman" w:eastAsia="仿宋" w:cs="Times New Roman"/>
                <w:b/>
                <w:bCs/>
                <w:color w:val="auto"/>
                <w:szCs w:val="21"/>
              </w:rPr>
            </w:pPr>
          </w:p>
          <w:p w14:paraId="2CC3A373">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bCs/>
                <w:color w:val="auto"/>
                <w:szCs w:val="21"/>
              </w:rPr>
              <w:t>表3-</w:t>
            </w:r>
            <w:r>
              <w:rPr>
                <w:rFonts w:hint="eastAsia" w:eastAsia="仿宋" w:cs="Times New Roman"/>
                <w:b/>
                <w:bCs/>
                <w:color w:val="auto"/>
                <w:szCs w:val="21"/>
                <w:lang w:val="en-US" w:eastAsia="zh-CN"/>
              </w:rPr>
              <w:t>9</w:t>
            </w:r>
            <w:r>
              <w:rPr>
                <w:rFonts w:hint="default" w:ascii="Times New Roman" w:hAnsi="Times New Roman" w:eastAsia="仿宋" w:cs="Times New Roman"/>
                <w:b/>
                <w:bCs/>
                <w:color w:val="auto"/>
                <w:szCs w:val="21"/>
              </w:rPr>
              <w:t xml:space="preserve">  </w:t>
            </w:r>
            <w:r>
              <w:rPr>
                <w:rFonts w:hint="default" w:ascii="Times New Roman" w:hAnsi="Times New Roman" w:eastAsia="仿宋" w:cs="Times New Roman"/>
                <w:b/>
                <w:color w:val="auto"/>
                <w:szCs w:val="21"/>
              </w:rPr>
              <w:t>噪声排放标准限值</w:t>
            </w:r>
          </w:p>
          <w:tbl>
            <w:tblPr>
              <w:tblStyle w:val="24"/>
              <w:tblW w:w="8306" w:type="dxa"/>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36"/>
              <w:gridCol w:w="3805"/>
              <w:gridCol w:w="1145"/>
              <w:gridCol w:w="1060"/>
              <w:gridCol w:w="1060"/>
            </w:tblGrid>
            <w:tr w14:paraId="09EB97F8">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193" w:hRule="atLeast"/>
                <w:jc w:val="center"/>
              </w:trPr>
              <w:tc>
                <w:tcPr>
                  <w:tcW w:w="1236" w:type="dxa"/>
                  <w:vMerge w:val="restart"/>
                  <w:tcBorders>
                    <w:top w:val="single" w:color="auto" w:sz="12" w:space="0"/>
                  </w:tcBorders>
                  <w:noWrap w:val="0"/>
                  <w:vAlign w:val="center"/>
                </w:tcPr>
                <w:p w14:paraId="3DE8FAE2">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边界名</w:t>
                  </w:r>
                </w:p>
              </w:tc>
              <w:tc>
                <w:tcPr>
                  <w:tcW w:w="3805" w:type="dxa"/>
                  <w:vMerge w:val="restart"/>
                  <w:tcBorders>
                    <w:top w:val="single" w:color="auto" w:sz="12" w:space="0"/>
                  </w:tcBorders>
                  <w:noWrap w:val="0"/>
                  <w:vAlign w:val="center"/>
                </w:tcPr>
                <w:p w14:paraId="7776D1F7">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执行标准</w:t>
                  </w:r>
                </w:p>
              </w:tc>
              <w:tc>
                <w:tcPr>
                  <w:tcW w:w="1145" w:type="dxa"/>
                  <w:vMerge w:val="restart"/>
                  <w:tcBorders>
                    <w:top w:val="single" w:color="auto" w:sz="12" w:space="0"/>
                  </w:tcBorders>
                  <w:noWrap w:val="0"/>
                  <w:vAlign w:val="center"/>
                </w:tcPr>
                <w:p w14:paraId="30C12BA4">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级别</w:t>
                  </w:r>
                </w:p>
              </w:tc>
              <w:tc>
                <w:tcPr>
                  <w:tcW w:w="2120" w:type="dxa"/>
                  <w:gridSpan w:val="2"/>
                  <w:tcBorders>
                    <w:top w:val="single" w:color="auto" w:sz="12" w:space="0"/>
                  </w:tcBorders>
                  <w:noWrap w:val="0"/>
                  <w:vAlign w:val="center"/>
                </w:tcPr>
                <w:p w14:paraId="22F93BCA">
                  <w:pPr>
                    <w:spacing w:line="300" w:lineRule="exact"/>
                    <w:jc w:val="center"/>
                    <w:rPr>
                      <w:rFonts w:hint="default" w:ascii="Times New Roman" w:hAnsi="Times New Roman" w:eastAsia="仿宋" w:cs="Times New Roman"/>
                      <w:b/>
                      <w:bCs/>
                      <w:color w:val="auto"/>
                      <w:sz w:val="21"/>
                      <w:szCs w:val="21"/>
                      <w:lang w:eastAsia="zh-CN"/>
                    </w:rPr>
                  </w:pPr>
                  <w:r>
                    <w:rPr>
                      <w:rFonts w:hint="default" w:ascii="Times New Roman" w:hAnsi="Times New Roman" w:eastAsia="仿宋" w:cs="Times New Roman"/>
                      <w:b/>
                      <w:bCs/>
                      <w:color w:val="auto"/>
                      <w:sz w:val="21"/>
                      <w:szCs w:val="21"/>
                    </w:rPr>
                    <w:t>标准限值dB</w:t>
                  </w:r>
                  <w:r>
                    <w:rPr>
                      <w:rFonts w:hint="default" w:ascii="Times New Roman" w:hAnsi="Times New Roman" w:eastAsia="仿宋" w:cs="Times New Roman"/>
                      <w:b/>
                      <w:bCs/>
                      <w:color w:val="auto"/>
                      <w:sz w:val="21"/>
                      <w:szCs w:val="21"/>
                      <w:lang w:eastAsia="zh-CN"/>
                    </w:rPr>
                    <w:t>（</w:t>
                  </w:r>
                  <w:r>
                    <w:rPr>
                      <w:rFonts w:hint="default" w:ascii="Times New Roman" w:hAnsi="Times New Roman" w:eastAsia="仿宋" w:cs="Times New Roman"/>
                      <w:b/>
                      <w:bCs/>
                      <w:color w:val="auto"/>
                      <w:sz w:val="21"/>
                      <w:szCs w:val="21"/>
                    </w:rPr>
                    <w:t>A</w:t>
                  </w:r>
                  <w:r>
                    <w:rPr>
                      <w:rFonts w:hint="default" w:ascii="Times New Roman" w:hAnsi="Times New Roman" w:eastAsia="仿宋" w:cs="Times New Roman"/>
                      <w:b/>
                      <w:bCs/>
                      <w:color w:val="auto"/>
                      <w:sz w:val="21"/>
                      <w:szCs w:val="21"/>
                      <w:lang w:eastAsia="zh-CN"/>
                    </w:rPr>
                    <w:t>）</w:t>
                  </w:r>
                </w:p>
              </w:tc>
            </w:tr>
            <w:tr w14:paraId="1323A01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72" w:hRule="atLeast"/>
                <w:jc w:val="center"/>
              </w:trPr>
              <w:tc>
                <w:tcPr>
                  <w:tcW w:w="1236" w:type="dxa"/>
                  <w:vMerge w:val="continue"/>
                  <w:noWrap w:val="0"/>
                  <w:vAlign w:val="center"/>
                </w:tcPr>
                <w:p w14:paraId="22D92C71">
                  <w:pPr>
                    <w:spacing w:line="300" w:lineRule="exact"/>
                    <w:jc w:val="center"/>
                    <w:rPr>
                      <w:rFonts w:hint="default" w:ascii="Times New Roman" w:hAnsi="Times New Roman" w:eastAsia="仿宋" w:cs="Times New Roman"/>
                      <w:b/>
                      <w:bCs/>
                      <w:color w:val="auto"/>
                      <w:sz w:val="21"/>
                      <w:szCs w:val="21"/>
                    </w:rPr>
                  </w:pPr>
                </w:p>
              </w:tc>
              <w:tc>
                <w:tcPr>
                  <w:tcW w:w="3805" w:type="dxa"/>
                  <w:vMerge w:val="continue"/>
                  <w:noWrap w:val="0"/>
                  <w:vAlign w:val="center"/>
                </w:tcPr>
                <w:p w14:paraId="2127168F">
                  <w:pPr>
                    <w:spacing w:line="300" w:lineRule="exact"/>
                    <w:jc w:val="center"/>
                    <w:rPr>
                      <w:rFonts w:hint="default" w:ascii="Times New Roman" w:hAnsi="Times New Roman" w:eastAsia="仿宋" w:cs="Times New Roman"/>
                      <w:b/>
                      <w:bCs/>
                      <w:color w:val="auto"/>
                      <w:sz w:val="21"/>
                      <w:szCs w:val="21"/>
                    </w:rPr>
                  </w:pPr>
                </w:p>
              </w:tc>
              <w:tc>
                <w:tcPr>
                  <w:tcW w:w="1145" w:type="dxa"/>
                  <w:vMerge w:val="continue"/>
                  <w:noWrap w:val="0"/>
                  <w:vAlign w:val="center"/>
                </w:tcPr>
                <w:p w14:paraId="1AC2EBC3">
                  <w:pPr>
                    <w:spacing w:line="300" w:lineRule="exact"/>
                    <w:jc w:val="center"/>
                    <w:rPr>
                      <w:rFonts w:hint="default" w:ascii="Times New Roman" w:hAnsi="Times New Roman" w:eastAsia="仿宋" w:cs="Times New Roman"/>
                      <w:b/>
                      <w:bCs/>
                      <w:color w:val="auto"/>
                      <w:sz w:val="21"/>
                      <w:szCs w:val="21"/>
                    </w:rPr>
                  </w:pPr>
                </w:p>
              </w:tc>
              <w:tc>
                <w:tcPr>
                  <w:tcW w:w="1060" w:type="dxa"/>
                  <w:tcBorders>
                    <w:right w:val="single" w:color="auto" w:sz="4" w:space="0"/>
                  </w:tcBorders>
                  <w:noWrap w:val="0"/>
                  <w:vAlign w:val="center"/>
                </w:tcPr>
                <w:p w14:paraId="64022CF5">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昼</w:t>
                  </w:r>
                </w:p>
              </w:tc>
              <w:tc>
                <w:tcPr>
                  <w:tcW w:w="1060" w:type="dxa"/>
                  <w:tcBorders>
                    <w:left w:val="single" w:color="auto" w:sz="4" w:space="0"/>
                  </w:tcBorders>
                  <w:noWrap w:val="0"/>
                  <w:vAlign w:val="center"/>
                </w:tcPr>
                <w:p w14:paraId="129D73C6">
                  <w:pPr>
                    <w:spacing w:line="300" w:lineRule="exact"/>
                    <w:jc w:val="center"/>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夜</w:t>
                  </w:r>
                </w:p>
              </w:tc>
            </w:tr>
            <w:tr w14:paraId="1DBA6637">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315" w:hRule="atLeast"/>
                <w:jc w:val="center"/>
              </w:trPr>
              <w:tc>
                <w:tcPr>
                  <w:tcW w:w="1236" w:type="dxa"/>
                  <w:tcBorders>
                    <w:bottom w:val="single" w:color="auto" w:sz="12" w:space="0"/>
                  </w:tcBorders>
                  <w:noWrap w:val="0"/>
                  <w:vAlign w:val="center"/>
                </w:tcPr>
                <w:p w14:paraId="7F036B11">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项目厂界</w:t>
                  </w:r>
                </w:p>
              </w:tc>
              <w:tc>
                <w:tcPr>
                  <w:tcW w:w="3805" w:type="dxa"/>
                  <w:tcBorders>
                    <w:bottom w:val="single" w:color="auto" w:sz="12" w:space="0"/>
                  </w:tcBorders>
                  <w:noWrap w:val="0"/>
                  <w:vAlign w:val="center"/>
                </w:tcPr>
                <w:p w14:paraId="1FB3A925">
                  <w:pPr>
                    <w:spacing w:line="300" w:lineRule="exact"/>
                    <w:jc w:val="center"/>
                    <w:rPr>
                      <w:rFonts w:hint="default" w:ascii="Times New Roman" w:hAnsi="Times New Roman" w:eastAsia="仿宋" w:cs="Times New Roman"/>
                      <w:color w:val="auto"/>
                      <w:spacing w:val="-6"/>
                      <w:sz w:val="21"/>
                      <w:szCs w:val="21"/>
                    </w:rPr>
                  </w:pPr>
                  <w:r>
                    <w:rPr>
                      <w:rFonts w:hint="default" w:ascii="Times New Roman" w:hAnsi="Times New Roman" w:eastAsia="仿宋" w:cs="Times New Roman"/>
                      <w:color w:val="auto"/>
                      <w:spacing w:val="-6"/>
                      <w:sz w:val="21"/>
                      <w:szCs w:val="21"/>
                    </w:rPr>
                    <w:t>《工业企业厂界环境噪声排放标准》（GB12348-2008）</w:t>
                  </w:r>
                </w:p>
              </w:tc>
              <w:tc>
                <w:tcPr>
                  <w:tcW w:w="1145" w:type="dxa"/>
                  <w:tcBorders>
                    <w:bottom w:val="single" w:color="auto" w:sz="12" w:space="0"/>
                  </w:tcBorders>
                  <w:noWrap w:val="0"/>
                  <w:vAlign w:val="center"/>
                </w:tcPr>
                <w:p w14:paraId="1BE0B481">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3类</w:t>
                  </w:r>
                </w:p>
              </w:tc>
              <w:tc>
                <w:tcPr>
                  <w:tcW w:w="1060" w:type="dxa"/>
                  <w:tcBorders>
                    <w:bottom w:val="single" w:color="auto" w:sz="12" w:space="0"/>
                    <w:right w:val="single" w:color="auto" w:sz="4" w:space="0"/>
                  </w:tcBorders>
                  <w:noWrap w:val="0"/>
                  <w:vAlign w:val="center"/>
                </w:tcPr>
                <w:p w14:paraId="649C30A6">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1060" w:type="dxa"/>
                  <w:tcBorders>
                    <w:left w:val="single" w:color="auto" w:sz="4" w:space="0"/>
                    <w:bottom w:val="single" w:color="auto" w:sz="12" w:space="0"/>
                  </w:tcBorders>
                  <w:noWrap w:val="0"/>
                  <w:vAlign w:val="center"/>
                </w:tcPr>
                <w:p w14:paraId="7BCECF2F">
                  <w:pPr>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r>
          </w:tbl>
          <w:p w14:paraId="48E8BF07">
            <w:pPr>
              <w:spacing w:line="240" w:lineRule="auto"/>
              <w:rPr>
                <w:rFonts w:hint="default" w:ascii="Times New Roman" w:hAnsi="Times New Roman" w:eastAsia="仿宋" w:cs="Times New Roman"/>
                <w:b/>
                <w:bCs/>
                <w:color w:val="auto"/>
                <w:szCs w:val="21"/>
                <w:lang w:val="en-US" w:eastAsia="zh-CN"/>
              </w:rPr>
            </w:pPr>
            <w:bookmarkStart w:id="13" w:name="OLE_LINK34"/>
            <w:bookmarkStart w:id="14" w:name="OLE_LINK32"/>
            <w:r>
              <w:rPr>
                <w:rFonts w:hint="default" w:ascii="Times New Roman" w:hAnsi="Times New Roman" w:eastAsia="仿宋" w:cs="Times New Roman"/>
                <w:b/>
                <w:bCs/>
                <w:color w:val="auto"/>
                <w:szCs w:val="21"/>
                <w:lang w:val="en-US" w:eastAsia="zh-CN"/>
              </w:rPr>
              <w:t>注：本项目夜间不生产。</w:t>
            </w:r>
          </w:p>
          <w:p w14:paraId="3C3046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rPr>
              <w:t>、固废污染控制标准</w:t>
            </w:r>
          </w:p>
          <w:bookmarkEnd w:id="13"/>
          <w:bookmarkEnd w:id="14"/>
          <w:p w14:paraId="114E840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snapToGrid w:val="0"/>
                <w:color w:val="auto"/>
                <w:sz w:val="36"/>
                <w:szCs w:val="36"/>
                <w:vertAlign w:val="baseline"/>
              </w:rPr>
            </w:pPr>
            <w:r>
              <w:rPr>
                <w:rFonts w:hint="default" w:ascii="Times New Roman" w:hAnsi="Times New Roman" w:eastAsia="仿宋" w:cs="Times New Roman"/>
                <w:color w:val="auto"/>
                <w:sz w:val="24"/>
                <w:szCs w:val="24"/>
              </w:rPr>
              <w:t>本项目所产生的一般工业废物贮存过程满足相应防渗漏、防雨淋、防扬尘等环境保护要求，一般固体废物执行《固体废物分类与代码</w:t>
            </w:r>
            <w:r>
              <w:rPr>
                <w:rFonts w:hint="default" w:ascii="Times New Roman" w:hAnsi="Times New Roman" w:eastAsia="仿宋" w:cs="Times New Roman"/>
                <w:color w:val="auto"/>
                <w:sz w:val="24"/>
                <w:szCs w:val="24"/>
                <w:lang w:val="en-US" w:eastAsia="zh-CN"/>
              </w:rPr>
              <w:t>目录</w:t>
            </w:r>
            <w:r>
              <w:rPr>
                <w:rFonts w:hint="default" w:ascii="Times New Roman" w:hAnsi="Times New Roman" w:eastAsia="仿宋" w:cs="Times New Roman"/>
                <w:color w:val="auto"/>
                <w:sz w:val="24"/>
                <w:szCs w:val="24"/>
              </w:rPr>
              <w:t>》；危险废物贮存应执行《危险废物贮存污染控制标准》</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G</w:t>
            </w:r>
            <w:r>
              <w:rPr>
                <w:rFonts w:hint="default" w:ascii="Times New Roman" w:hAnsi="Times New Roman" w:eastAsia="仿宋" w:cs="Times New Roman"/>
                <w:color w:val="auto"/>
                <w:sz w:val="24"/>
                <w:szCs w:val="32"/>
              </w:rPr>
              <w:t>B18597-2023）、</w:t>
            </w:r>
            <w:r>
              <w:rPr>
                <w:rFonts w:hint="default" w:ascii="Times New Roman" w:hAnsi="Times New Roman" w:eastAsia="仿宋" w:cs="Times New Roman"/>
                <w:color w:val="auto"/>
                <w:sz w:val="24"/>
                <w:szCs w:val="32"/>
                <w:lang w:val="en-US" w:eastAsia="zh-CN"/>
              </w:rPr>
              <w:t>省生态环境厅关于印发《江苏省固体废物全过程环境监管工作意见》的通知（苏环办[2024]16号）</w:t>
            </w:r>
            <w:r>
              <w:rPr>
                <w:rFonts w:hint="default" w:ascii="Times New Roman" w:hAnsi="Times New Roman" w:eastAsia="仿宋" w:cs="Times New Roman"/>
                <w:color w:val="auto"/>
                <w:sz w:val="24"/>
                <w:szCs w:val="32"/>
              </w:rPr>
              <w:t>、《市生态环境局关于开展全市固废危废环境隐患排查暨贮存规范化管理专项整治行动的通知》（常环执法</w:t>
            </w:r>
            <w:r>
              <w:rPr>
                <w:rFonts w:hint="default" w:ascii="Times New Roman" w:hAnsi="Times New Roman" w:eastAsia="仿宋" w:cs="Times New Roman"/>
                <w:color w:val="auto"/>
                <w:sz w:val="24"/>
                <w:szCs w:val="32"/>
                <w:lang w:eastAsia="zh-CN"/>
              </w:rPr>
              <w:t>[</w:t>
            </w:r>
            <w:r>
              <w:rPr>
                <w:rFonts w:hint="default" w:ascii="Times New Roman" w:hAnsi="Times New Roman" w:eastAsia="仿宋" w:cs="Times New Roman"/>
                <w:color w:val="auto"/>
                <w:sz w:val="24"/>
                <w:szCs w:val="32"/>
              </w:rPr>
              <w:t>2019</w:t>
            </w:r>
            <w:r>
              <w:rPr>
                <w:rFonts w:hint="default" w:ascii="Times New Roman" w:hAnsi="Times New Roman" w:eastAsia="仿宋" w:cs="Times New Roman"/>
                <w:color w:val="auto"/>
                <w:sz w:val="24"/>
                <w:szCs w:val="32"/>
                <w:lang w:eastAsia="zh-CN"/>
              </w:rPr>
              <w:t>]</w:t>
            </w:r>
            <w:r>
              <w:rPr>
                <w:rFonts w:hint="default" w:ascii="Times New Roman" w:hAnsi="Times New Roman" w:eastAsia="仿宋" w:cs="Times New Roman"/>
                <w:color w:val="auto"/>
                <w:sz w:val="24"/>
                <w:szCs w:val="32"/>
              </w:rPr>
              <w:t>40号）。</w:t>
            </w:r>
          </w:p>
        </w:tc>
      </w:tr>
      <w:tr w14:paraId="3CA9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dxa"/>
            <w:noWrap w:val="0"/>
            <w:vAlign w:val="center"/>
          </w:tcPr>
          <w:p w14:paraId="4EC392AA">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总量</w:t>
            </w:r>
          </w:p>
          <w:p w14:paraId="456F4F4B">
            <w:pPr>
              <w:adjustRightInd w:val="0"/>
              <w:snapToGrid w:val="0"/>
              <w:jc w:val="center"/>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控制</w:t>
            </w:r>
          </w:p>
          <w:p w14:paraId="14856E79">
            <w:pPr>
              <w:adjustRightInd w:val="0"/>
              <w:snapToGrid w:val="0"/>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 w:val="24"/>
                <w:szCs w:val="24"/>
              </w:rPr>
              <w:t>指标</w:t>
            </w:r>
          </w:p>
        </w:tc>
        <w:tc>
          <w:tcPr>
            <w:tcW w:w="8385" w:type="dxa"/>
            <w:noWrap w:val="0"/>
            <w:vAlign w:val="center"/>
          </w:tcPr>
          <w:p w14:paraId="1DBC4EB2">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1、总量控制指标</w:t>
            </w:r>
          </w:p>
          <w:p w14:paraId="631FF6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根据市政府办公室关于印发《常州市建设项目主要污染物排放总量指标审核及管理实施细则》的通知（常政办发[2015]104号），结合本项目排污特征，确定本项目总量控制因子。</w:t>
            </w:r>
          </w:p>
          <w:p w14:paraId="60946DA7">
            <w:pPr>
              <w:keepNext w:val="0"/>
              <w:keepLines w:val="0"/>
              <w:pageBreakBefore w:val="0"/>
              <w:widowControl w:val="0"/>
              <w:kinsoku/>
              <w:wordWrap/>
              <w:overflowPunct/>
              <w:topLinePunct w:val="0"/>
              <w:autoSpaceDE/>
              <w:autoSpaceDN/>
              <w:bidi w:val="0"/>
              <w:adjustRightInd/>
              <w:snapToGrid/>
              <w:spacing w:line="480" w:lineRule="exact"/>
              <w:ind w:firstLine="464" w:firstLineChars="200"/>
              <w:textAlignment w:val="auto"/>
              <w:rPr>
                <w:rFonts w:hint="default" w:ascii="Times New Roman" w:hAnsi="Times New Roman" w:eastAsia="仿宋" w:cs="Times New Roman"/>
                <w:color w:val="auto"/>
                <w:spacing w:val="-4"/>
                <w:sz w:val="24"/>
                <w:szCs w:val="24"/>
              </w:rPr>
            </w:pPr>
            <w:r>
              <w:rPr>
                <w:rFonts w:hint="default" w:ascii="Times New Roman" w:hAnsi="Times New Roman" w:eastAsia="仿宋" w:cs="Times New Roman"/>
                <w:color w:val="auto"/>
                <w:spacing w:val="-4"/>
                <w:sz w:val="24"/>
                <w:szCs w:val="24"/>
              </w:rPr>
              <w:t>水污染物总量控制因子：COD、氨氮、总磷、总氮；总量考核因子：SS。</w:t>
            </w:r>
          </w:p>
          <w:p w14:paraId="4F17CD0E">
            <w:pPr>
              <w:spacing w:line="240" w:lineRule="auto"/>
              <w:jc w:val="center"/>
              <w:rPr>
                <w:rFonts w:hint="default" w:ascii="Times New Roman" w:hAnsi="Times New Roman" w:eastAsia="仿宋" w:cs="Times New Roman"/>
                <w:b/>
                <w:bCs/>
                <w:color w:val="auto"/>
                <w:szCs w:val="21"/>
                <w:highlight w:val="none"/>
              </w:rPr>
            </w:pPr>
            <w:r>
              <w:rPr>
                <w:rFonts w:hint="default" w:ascii="Times New Roman" w:hAnsi="Times New Roman" w:eastAsia="仿宋" w:cs="Times New Roman"/>
                <w:b/>
                <w:bCs/>
                <w:color w:val="auto"/>
                <w:szCs w:val="21"/>
                <w:highlight w:val="none"/>
              </w:rPr>
              <w:t>表3-</w:t>
            </w:r>
            <w:r>
              <w:rPr>
                <w:rFonts w:hint="eastAsia" w:eastAsia="仿宋" w:cs="Times New Roman"/>
                <w:b/>
                <w:bCs/>
                <w:color w:val="auto"/>
                <w:szCs w:val="21"/>
                <w:highlight w:val="none"/>
                <w:lang w:val="en-US" w:eastAsia="zh-CN"/>
              </w:rPr>
              <w:t>10</w:t>
            </w:r>
            <w:r>
              <w:rPr>
                <w:rFonts w:hint="default" w:ascii="Times New Roman" w:hAnsi="Times New Roman" w:eastAsia="仿宋" w:cs="Times New Roman"/>
                <w:b/>
                <w:bCs/>
                <w:color w:val="auto"/>
                <w:szCs w:val="21"/>
                <w:highlight w:val="none"/>
              </w:rPr>
              <w:t xml:space="preserve">  本项目污染物</w:t>
            </w:r>
            <w:r>
              <w:rPr>
                <w:rFonts w:hint="default" w:ascii="Times New Roman" w:hAnsi="Times New Roman" w:eastAsia="仿宋" w:cs="Times New Roman"/>
                <w:b/>
                <w:bCs/>
                <w:color w:val="auto"/>
                <w:szCs w:val="21"/>
                <w:highlight w:val="none"/>
                <w:lang w:val="en-US" w:eastAsia="zh-CN"/>
              </w:rPr>
              <w:t>排放情况</w:t>
            </w:r>
            <w:r>
              <w:rPr>
                <w:rFonts w:hint="default" w:ascii="Times New Roman" w:hAnsi="Times New Roman" w:eastAsia="仿宋" w:cs="Times New Roman"/>
                <w:b/>
                <w:bCs/>
                <w:color w:val="auto"/>
                <w:szCs w:val="21"/>
                <w:highlight w:val="none"/>
              </w:rPr>
              <w:t>汇总表  t/a</w:t>
            </w:r>
          </w:p>
          <w:tbl>
            <w:tblPr>
              <w:tblStyle w:val="24"/>
              <w:tblW w:w="83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14"/>
              <w:gridCol w:w="1141"/>
              <w:gridCol w:w="1418"/>
              <w:gridCol w:w="1047"/>
              <w:gridCol w:w="863"/>
              <w:gridCol w:w="932"/>
              <w:gridCol w:w="1145"/>
              <w:gridCol w:w="4"/>
              <w:gridCol w:w="1142"/>
            </w:tblGrid>
            <w:tr w14:paraId="743AA6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755" w:type="dxa"/>
                  <w:gridSpan w:val="2"/>
                  <w:vMerge w:val="restart"/>
                  <w:noWrap w:val="0"/>
                  <w:tcMar>
                    <w:left w:w="28" w:type="dxa"/>
                    <w:right w:w="28" w:type="dxa"/>
                  </w:tcMar>
                  <w:vAlign w:val="center"/>
                </w:tcPr>
                <w:p w14:paraId="671DE431">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种类</w:t>
                  </w:r>
                </w:p>
              </w:tc>
              <w:tc>
                <w:tcPr>
                  <w:tcW w:w="1418" w:type="dxa"/>
                  <w:vMerge w:val="restart"/>
                  <w:noWrap w:val="0"/>
                  <w:tcMar>
                    <w:left w:w="28" w:type="dxa"/>
                    <w:right w:w="28" w:type="dxa"/>
                  </w:tcMar>
                  <w:vAlign w:val="center"/>
                </w:tcPr>
                <w:p w14:paraId="1CFF5205">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污染物名称</w:t>
                  </w:r>
                </w:p>
              </w:tc>
              <w:tc>
                <w:tcPr>
                  <w:tcW w:w="1047" w:type="dxa"/>
                  <w:vMerge w:val="restart"/>
                  <w:noWrap w:val="0"/>
                  <w:vAlign w:val="center"/>
                </w:tcPr>
                <w:p w14:paraId="58595B4D">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产生量</w:t>
                  </w:r>
                </w:p>
              </w:tc>
              <w:tc>
                <w:tcPr>
                  <w:tcW w:w="863" w:type="dxa"/>
                  <w:vMerge w:val="restart"/>
                  <w:noWrap w:val="0"/>
                  <w:vAlign w:val="center"/>
                </w:tcPr>
                <w:p w14:paraId="2E87DC86">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削减量</w:t>
                  </w:r>
                </w:p>
              </w:tc>
              <w:tc>
                <w:tcPr>
                  <w:tcW w:w="932" w:type="dxa"/>
                  <w:vMerge w:val="restart"/>
                  <w:noWrap w:val="0"/>
                  <w:vAlign w:val="center"/>
                </w:tcPr>
                <w:p w14:paraId="7E70919F">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排放量</w:t>
                  </w:r>
                </w:p>
              </w:tc>
              <w:tc>
                <w:tcPr>
                  <w:tcW w:w="2291" w:type="dxa"/>
                  <w:gridSpan w:val="3"/>
                  <w:noWrap w:val="0"/>
                  <w:vAlign w:val="center"/>
                </w:tcPr>
                <w:p w14:paraId="65D62290">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申请量</w:t>
                  </w:r>
                </w:p>
              </w:tc>
            </w:tr>
            <w:tr w14:paraId="61B543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55" w:type="dxa"/>
                  <w:gridSpan w:val="2"/>
                  <w:vMerge w:val="continue"/>
                  <w:noWrap w:val="0"/>
                  <w:tcMar>
                    <w:left w:w="28" w:type="dxa"/>
                    <w:right w:w="28" w:type="dxa"/>
                  </w:tcMar>
                  <w:vAlign w:val="center"/>
                </w:tcPr>
                <w:p w14:paraId="56FADC5B">
                  <w:pPr>
                    <w:spacing w:line="240" w:lineRule="auto"/>
                    <w:jc w:val="center"/>
                    <w:rPr>
                      <w:rFonts w:hint="default" w:ascii="Times New Roman" w:hAnsi="Times New Roman" w:eastAsia="仿宋" w:cs="Times New Roman"/>
                      <w:b/>
                      <w:bCs/>
                      <w:color w:val="auto"/>
                      <w:sz w:val="21"/>
                      <w:szCs w:val="21"/>
                      <w:highlight w:val="none"/>
                    </w:rPr>
                  </w:pPr>
                </w:p>
              </w:tc>
              <w:tc>
                <w:tcPr>
                  <w:tcW w:w="1418" w:type="dxa"/>
                  <w:vMerge w:val="continue"/>
                  <w:noWrap w:val="0"/>
                  <w:tcMar>
                    <w:left w:w="28" w:type="dxa"/>
                    <w:right w:w="28" w:type="dxa"/>
                  </w:tcMar>
                  <w:vAlign w:val="center"/>
                </w:tcPr>
                <w:p w14:paraId="7E139D08">
                  <w:pPr>
                    <w:spacing w:line="240" w:lineRule="auto"/>
                    <w:jc w:val="center"/>
                    <w:rPr>
                      <w:rFonts w:hint="default" w:ascii="Times New Roman" w:hAnsi="Times New Roman" w:eastAsia="仿宋" w:cs="Times New Roman"/>
                      <w:b/>
                      <w:bCs/>
                      <w:color w:val="auto"/>
                      <w:sz w:val="21"/>
                      <w:szCs w:val="21"/>
                      <w:highlight w:val="none"/>
                    </w:rPr>
                  </w:pPr>
                </w:p>
              </w:tc>
              <w:tc>
                <w:tcPr>
                  <w:tcW w:w="1047" w:type="dxa"/>
                  <w:vMerge w:val="continue"/>
                  <w:noWrap w:val="0"/>
                  <w:vAlign w:val="center"/>
                </w:tcPr>
                <w:p w14:paraId="15944B7D">
                  <w:pPr>
                    <w:spacing w:line="240" w:lineRule="auto"/>
                    <w:jc w:val="center"/>
                    <w:rPr>
                      <w:rFonts w:hint="default" w:ascii="Times New Roman" w:hAnsi="Times New Roman" w:eastAsia="仿宋" w:cs="Times New Roman"/>
                      <w:b/>
                      <w:bCs/>
                      <w:color w:val="auto"/>
                      <w:sz w:val="21"/>
                      <w:szCs w:val="21"/>
                      <w:highlight w:val="none"/>
                    </w:rPr>
                  </w:pPr>
                </w:p>
              </w:tc>
              <w:tc>
                <w:tcPr>
                  <w:tcW w:w="863" w:type="dxa"/>
                  <w:vMerge w:val="continue"/>
                  <w:noWrap w:val="0"/>
                  <w:vAlign w:val="center"/>
                </w:tcPr>
                <w:p w14:paraId="3CDD96CF">
                  <w:pPr>
                    <w:spacing w:line="240" w:lineRule="auto"/>
                    <w:jc w:val="center"/>
                    <w:rPr>
                      <w:rFonts w:hint="default" w:ascii="Times New Roman" w:hAnsi="Times New Roman" w:eastAsia="仿宋" w:cs="Times New Roman"/>
                      <w:b/>
                      <w:bCs/>
                      <w:color w:val="auto"/>
                      <w:sz w:val="21"/>
                      <w:szCs w:val="21"/>
                      <w:highlight w:val="none"/>
                    </w:rPr>
                  </w:pPr>
                </w:p>
              </w:tc>
              <w:tc>
                <w:tcPr>
                  <w:tcW w:w="932" w:type="dxa"/>
                  <w:vMerge w:val="continue"/>
                  <w:noWrap w:val="0"/>
                  <w:vAlign w:val="center"/>
                </w:tcPr>
                <w:p w14:paraId="67F25854">
                  <w:pPr>
                    <w:spacing w:line="240" w:lineRule="auto"/>
                    <w:jc w:val="center"/>
                    <w:rPr>
                      <w:rFonts w:hint="default" w:ascii="Times New Roman" w:hAnsi="Times New Roman" w:eastAsia="仿宋" w:cs="Times New Roman"/>
                      <w:b/>
                      <w:bCs/>
                      <w:color w:val="auto"/>
                      <w:sz w:val="21"/>
                      <w:szCs w:val="21"/>
                      <w:highlight w:val="none"/>
                    </w:rPr>
                  </w:pPr>
                </w:p>
              </w:tc>
              <w:tc>
                <w:tcPr>
                  <w:tcW w:w="1149" w:type="dxa"/>
                  <w:gridSpan w:val="2"/>
                  <w:noWrap w:val="0"/>
                  <w:vAlign w:val="center"/>
                </w:tcPr>
                <w:p w14:paraId="329DF9B0">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控制因子</w:t>
                  </w:r>
                </w:p>
              </w:tc>
              <w:tc>
                <w:tcPr>
                  <w:tcW w:w="1142" w:type="dxa"/>
                  <w:noWrap w:val="0"/>
                  <w:vAlign w:val="center"/>
                </w:tcPr>
                <w:p w14:paraId="5B5B6EA9">
                  <w:pPr>
                    <w:spacing w:line="240" w:lineRule="auto"/>
                    <w:jc w:val="center"/>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考核因子</w:t>
                  </w:r>
                </w:p>
              </w:tc>
            </w:tr>
            <w:tr w14:paraId="3DBD4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tcBorders>
                    <w:right w:val="single" w:color="auto" w:sz="2" w:space="0"/>
                  </w:tcBorders>
                  <w:noWrap w:val="0"/>
                  <w:tcMar>
                    <w:left w:w="28" w:type="dxa"/>
                    <w:right w:w="28" w:type="dxa"/>
                  </w:tcMar>
                  <w:vAlign w:val="center"/>
                </w:tcPr>
                <w:p w14:paraId="0C0261B3">
                  <w:pPr>
                    <w:spacing w:line="240" w:lineRule="auto"/>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废气</w:t>
                  </w:r>
                </w:p>
              </w:tc>
              <w:tc>
                <w:tcPr>
                  <w:tcW w:w="1141" w:type="dxa"/>
                  <w:tcBorders>
                    <w:left w:val="single" w:color="auto" w:sz="2" w:space="0"/>
                  </w:tcBorders>
                  <w:noWrap w:val="0"/>
                  <w:tcMar>
                    <w:left w:w="28" w:type="dxa"/>
                    <w:right w:w="28" w:type="dxa"/>
                  </w:tcMar>
                  <w:vAlign w:val="center"/>
                </w:tcPr>
                <w:p w14:paraId="15287EA9">
                  <w:pPr>
                    <w:spacing w:line="240" w:lineRule="auto"/>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无组织废气</w:t>
                  </w:r>
                </w:p>
              </w:tc>
              <w:tc>
                <w:tcPr>
                  <w:tcW w:w="1418" w:type="dxa"/>
                  <w:noWrap w:val="0"/>
                  <w:tcMar>
                    <w:left w:w="28" w:type="dxa"/>
                    <w:right w:w="28" w:type="dxa"/>
                  </w:tcMar>
                  <w:vAlign w:val="center"/>
                </w:tcPr>
                <w:p w14:paraId="3E94E977">
                  <w:pPr>
                    <w:spacing w:line="240" w:lineRule="auto"/>
                    <w:jc w:val="center"/>
                    <w:rPr>
                      <w:rFonts w:hint="eastAsia"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锡及其化合物</w:t>
                  </w:r>
                </w:p>
              </w:tc>
              <w:tc>
                <w:tcPr>
                  <w:tcW w:w="1047" w:type="dxa"/>
                  <w:noWrap w:val="0"/>
                  <w:vAlign w:val="center"/>
                </w:tcPr>
                <w:p w14:paraId="1F20C19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val="0"/>
                      <w:bCs w:val="0"/>
                      <w:sz w:val="21"/>
                      <w:szCs w:val="21"/>
                      <w:lang w:val="en-US" w:eastAsia="zh-CN"/>
                    </w:rPr>
                    <w:t>0.0</w:t>
                  </w:r>
                  <w:r>
                    <w:rPr>
                      <w:rFonts w:hint="eastAsia" w:eastAsia="仿宋" w:cs="Times New Roman"/>
                      <w:b w:val="0"/>
                      <w:bCs w:val="0"/>
                      <w:sz w:val="21"/>
                      <w:szCs w:val="21"/>
                      <w:lang w:val="en-US" w:eastAsia="zh-CN"/>
                    </w:rPr>
                    <w:t>16</w:t>
                  </w:r>
                </w:p>
              </w:tc>
              <w:tc>
                <w:tcPr>
                  <w:tcW w:w="863" w:type="dxa"/>
                  <w:noWrap w:val="0"/>
                  <w:vAlign w:val="center"/>
                </w:tcPr>
                <w:p w14:paraId="0C930C31">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val="0"/>
                      <w:bCs w:val="0"/>
                      <w:sz w:val="21"/>
                      <w:szCs w:val="21"/>
                      <w:lang w:val="en-US" w:eastAsia="zh-CN"/>
                    </w:rPr>
                    <w:t>0.0</w:t>
                  </w:r>
                  <w:r>
                    <w:rPr>
                      <w:rFonts w:hint="eastAsia" w:eastAsia="仿宋" w:cs="Times New Roman"/>
                      <w:b w:val="0"/>
                      <w:bCs w:val="0"/>
                      <w:sz w:val="21"/>
                      <w:szCs w:val="21"/>
                      <w:lang w:val="en-US" w:eastAsia="zh-CN"/>
                    </w:rPr>
                    <w:t>12</w:t>
                  </w:r>
                </w:p>
              </w:tc>
              <w:tc>
                <w:tcPr>
                  <w:tcW w:w="932" w:type="dxa"/>
                  <w:noWrap w:val="0"/>
                  <w:vAlign w:val="center"/>
                </w:tcPr>
                <w:p w14:paraId="7666CB97">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b w:val="0"/>
                      <w:bCs w:val="0"/>
                      <w:sz w:val="21"/>
                      <w:szCs w:val="21"/>
                      <w:lang w:val="en-US" w:eastAsia="zh-CN"/>
                    </w:rPr>
                    <w:t>0.00</w:t>
                  </w:r>
                  <w:r>
                    <w:rPr>
                      <w:rFonts w:hint="eastAsia" w:eastAsia="仿宋" w:cs="Times New Roman"/>
                      <w:b w:val="0"/>
                      <w:bCs w:val="0"/>
                      <w:sz w:val="21"/>
                      <w:szCs w:val="21"/>
                      <w:lang w:val="en-US" w:eastAsia="zh-CN"/>
                    </w:rPr>
                    <w:t>4</w:t>
                  </w:r>
                </w:p>
              </w:tc>
              <w:tc>
                <w:tcPr>
                  <w:tcW w:w="1145" w:type="dxa"/>
                  <w:noWrap w:val="0"/>
                  <w:tcMar>
                    <w:left w:w="28" w:type="dxa"/>
                    <w:right w:w="28" w:type="dxa"/>
                  </w:tcMar>
                  <w:vAlign w:val="center"/>
                </w:tcPr>
                <w:p w14:paraId="2BBB7681">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c>
                <w:tcPr>
                  <w:tcW w:w="1146" w:type="dxa"/>
                  <w:gridSpan w:val="2"/>
                  <w:noWrap w:val="0"/>
                  <w:tcMar>
                    <w:left w:w="28" w:type="dxa"/>
                    <w:right w:w="28" w:type="dxa"/>
                  </w:tcMar>
                  <w:vAlign w:val="center"/>
                </w:tcPr>
                <w:p w14:paraId="7F21FAE2">
                  <w:pPr>
                    <w:spacing w:line="240" w:lineRule="auto"/>
                    <w:jc w:val="center"/>
                    <w:rPr>
                      <w:rFonts w:hint="default" w:ascii="Times New Roman" w:hAnsi="Times New Roman" w:eastAsia="仿宋" w:cs="Times New Roman"/>
                      <w:color w:val="auto"/>
                      <w:sz w:val="21"/>
                      <w:szCs w:val="21"/>
                      <w:highlight w:val="none"/>
                      <w:lang w:val="en-US" w:eastAsia="zh-CN"/>
                    </w:rPr>
                  </w:pPr>
                  <w:r>
                    <w:rPr>
                      <w:rFonts w:hint="eastAsia" w:ascii="Times New Roman" w:hAnsi="Times New Roman" w:eastAsia="仿宋" w:cs="Times New Roman"/>
                      <w:color w:val="auto"/>
                      <w:sz w:val="21"/>
                      <w:szCs w:val="21"/>
                      <w:highlight w:val="none"/>
                      <w:lang w:val="en-US" w:eastAsia="zh-CN"/>
                    </w:rPr>
                    <w:t>/</w:t>
                  </w:r>
                </w:p>
              </w:tc>
            </w:tr>
            <w:tr w14:paraId="7AB7E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restart"/>
                  <w:tcBorders>
                    <w:right w:val="single" w:color="auto" w:sz="2" w:space="0"/>
                  </w:tcBorders>
                  <w:noWrap w:val="0"/>
                  <w:tcMar>
                    <w:left w:w="28" w:type="dxa"/>
                    <w:right w:w="28" w:type="dxa"/>
                  </w:tcMar>
                  <w:vAlign w:val="center"/>
                </w:tcPr>
                <w:p w14:paraId="2C0EBB1E">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水污</w:t>
                  </w:r>
                </w:p>
                <w:p w14:paraId="67D4F751">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染物</w:t>
                  </w:r>
                </w:p>
              </w:tc>
              <w:tc>
                <w:tcPr>
                  <w:tcW w:w="1141" w:type="dxa"/>
                  <w:vMerge w:val="restart"/>
                  <w:tcBorders>
                    <w:left w:val="single" w:color="auto" w:sz="2" w:space="0"/>
                  </w:tcBorders>
                  <w:noWrap w:val="0"/>
                  <w:tcMar>
                    <w:left w:w="28" w:type="dxa"/>
                    <w:right w:w="28" w:type="dxa"/>
                  </w:tcMar>
                  <w:vAlign w:val="center"/>
                </w:tcPr>
                <w:p w14:paraId="42C0CCEE">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生活污水</w:t>
                  </w:r>
                </w:p>
              </w:tc>
              <w:tc>
                <w:tcPr>
                  <w:tcW w:w="1418" w:type="dxa"/>
                  <w:noWrap w:val="0"/>
                  <w:tcMar>
                    <w:left w:w="28" w:type="dxa"/>
                    <w:right w:w="28" w:type="dxa"/>
                  </w:tcMar>
                  <w:vAlign w:val="center"/>
                </w:tcPr>
                <w:p w14:paraId="4FB1BA53">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废水量</w:t>
                  </w:r>
                </w:p>
              </w:tc>
              <w:tc>
                <w:tcPr>
                  <w:tcW w:w="1047" w:type="dxa"/>
                  <w:noWrap w:val="0"/>
                  <w:vAlign w:val="center"/>
                </w:tcPr>
                <w:p w14:paraId="25C29DBB">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1920</w:t>
                  </w:r>
                </w:p>
              </w:tc>
              <w:tc>
                <w:tcPr>
                  <w:tcW w:w="863" w:type="dxa"/>
                  <w:noWrap w:val="0"/>
                  <w:vAlign w:val="center"/>
                </w:tcPr>
                <w:p w14:paraId="2EF18749">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1390988E">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1920</w:t>
                  </w:r>
                </w:p>
              </w:tc>
              <w:tc>
                <w:tcPr>
                  <w:tcW w:w="2291" w:type="dxa"/>
                  <w:gridSpan w:val="3"/>
                  <w:noWrap w:val="0"/>
                  <w:tcMar>
                    <w:left w:w="28" w:type="dxa"/>
                    <w:right w:w="28" w:type="dxa"/>
                  </w:tcMar>
                  <w:vAlign w:val="center"/>
                </w:tcPr>
                <w:p w14:paraId="3DC19FF2">
                  <w:pPr>
                    <w:spacing w:line="240" w:lineRule="auto"/>
                    <w:jc w:val="center"/>
                    <w:rPr>
                      <w:rFonts w:hint="default" w:ascii="Times New Roman" w:hAnsi="Times New Roman" w:eastAsia="仿宋" w:cs="Times New Roman"/>
                      <w:color w:val="auto"/>
                      <w:sz w:val="21"/>
                      <w:szCs w:val="21"/>
                      <w:highlight w:val="none"/>
                      <w:lang w:val="en-US" w:eastAsia="zh-CN"/>
                    </w:rPr>
                  </w:pPr>
                </w:p>
              </w:tc>
            </w:tr>
            <w:tr w14:paraId="00899F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continue"/>
                  <w:tcBorders>
                    <w:right w:val="single" w:color="auto" w:sz="2" w:space="0"/>
                  </w:tcBorders>
                  <w:noWrap w:val="0"/>
                  <w:tcMar>
                    <w:left w:w="28" w:type="dxa"/>
                    <w:right w:w="28" w:type="dxa"/>
                  </w:tcMar>
                  <w:vAlign w:val="center"/>
                </w:tcPr>
                <w:p w14:paraId="4742C861">
                  <w:pPr>
                    <w:spacing w:line="240" w:lineRule="auto"/>
                    <w:jc w:val="center"/>
                    <w:rPr>
                      <w:rFonts w:hint="default" w:ascii="Times New Roman" w:hAnsi="Times New Roman" w:eastAsia="仿宋" w:cs="Times New Roman"/>
                      <w:color w:val="auto"/>
                      <w:sz w:val="21"/>
                      <w:szCs w:val="21"/>
                      <w:highlight w:val="none"/>
                    </w:rPr>
                  </w:pPr>
                </w:p>
              </w:tc>
              <w:tc>
                <w:tcPr>
                  <w:tcW w:w="1141" w:type="dxa"/>
                  <w:vMerge w:val="continue"/>
                  <w:tcBorders>
                    <w:left w:val="single" w:color="auto" w:sz="2" w:space="0"/>
                  </w:tcBorders>
                  <w:noWrap w:val="0"/>
                  <w:tcMar>
                    <w:left w:w="28" w:type="dxa"/>
                    <w:right w:w="28" w:type="dxa"/>
                  </w:tcMar>
                  <w:vAlign w:val="center"/>
                </w:tcPr>
                <w:p w14:paraId="7A47695E">
                  <w:pPr>
                    <w:spacing w:line="240" w:lineRule="auto"/>
                    <w:jc w:val="center"/>
                    <w:rPr>
                      <w:rFonts w:hint="default" w:ascii="Times New Roman" w:hAnsi="Times New Roman" w:eastAsia="仿宋" w:cs="Times New Roman"/>
                      <w:color w:val="auto"/>
                      <w:sz w:val="21"/>
                      <w:szCs w:val="21"/>
                      <w:highlight w:val="none"/>
                    </w:rPr>
                  </w:pPr>
                </w:p>
              </w:tc>
              <w:tc>
                <w:tcPr>
                  <w:tcW w:w="1418" w:type="dxa"/>
                  <w:noWrap w:val="0"/>
                  <w:tcMar>
                    <w:left w:w="28" w:type="dxa"/>
                    <w:right w:w="28" w:type="dxa"/>
                  </w:tcMar>
                  <w:vAlign w:val="center"/>
                </w:tcPr>
                <w:p w14:paraId="1C28DA5B">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COD</w:t>
                  </w:r>
                </w:p>
              </w:tc>
              <w:tc>
                <w:tcPr>
                  <w:tcW w:w="1047" w:type="dxa"/>
                  <w:noWrap w:val="0"/>
                  <w:vAlign w:val="center"/>
                </w:tcPr>
                <w:p w14:paraId="5784E80C">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0.768</w:t>
                  </w:r>
                </w:p>
              </w:tc>
              <w:tc>
                <w:tcPr>
                  <w:tcW w:w="863" w:type="dxa"/>
                  <w:noWrap w:val="0"/>
                  <w:vAlign w:val="center"/>
                </w:tcPr>
                <w:p w14:paraId="3284B465">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28B01EA6">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0.768</w:t>
                  </w:r>
                </w:p>
              </w:tc>
              <w:tc>
                <w:tcPr>
                  <w:tcW w:w="1149" w:type="dxa"/>
                  <w:gridSpan w:val="2"/>
                  <w:noWrap w:val="0"/>
                  <w:tcMar>
                    <w:left w:w="28" w:type="dxa"/>
                    <w:right w:w="28" w:type="dxa"/>
                  </w:tcMar>
                  <w:vAlign w:val="center"/>
                </w:tcPr>
                <w:p w14:paraId="51058B35">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lang w:val="en-US" w:eastAsia="zh-CN"/>
                    </w:rPr>
                    <w:t>0.768</w:t>
                  </w:r>
                </w:p>
              </w:tc>
              <w:tc>
                <w:tcPr>
                  <w:tcW w:w="1142" w:type="dxa"/>
                  <w:noWrap w:val="0"/>
                  <w:vAlign w:val="center"/>
                </w:tcPr>
                <w:p w14:paraId="18A2921B">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312AE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continue"/>
                  <w:tcBorders>
                    <w:right w:val="single" w:color="auto" w:sz="2" w:space="0"/>
                  </w:tcBorders>
                  <w:noWrap w:val="0"/>
                  <w:tcMar>
                    <w:left w:w="28" w:type="dxa"/>
                    <w:right w:w="28" w:type="dxa"/>
                  </w:tcMar>
                  <w:vAlign w:val="center"/>
                </w:tcPr>
                <w:p w14:paraId="39FB8213">
                  <w:pPr>
                    <w:spacing w:line="240" w:lineRule="auto"/>
                    <w:jc w:val="center"/>
                    <w:rPr>
                      <w:rFonts w:hint="default" w:ascii="Times New Roman" w:hAnsi="Times New Roman" w:eastAsia="仿宋" w:cs="Times New Roman"/>
                      <w:color w:val="auto"/>
                      <w:sz w:val="21"/>
                      <w:szCs w:val="21"/>
                      <w:highlight w:val="none"/>
                    </w:rPr>
                  </w:pPr>
                </w:p>
              </w:tc>
              <w:tc>
                <w:tcPr>
                  <w:tcW w:w="1141" w:type="dxa"/>
                  <w:vMerge w:val="continue"/>
                  <w:tcBorders>
                    <w:left w:val="single" w:color="auto" w:sz="2" w:space="0"/>
                  </w:tcBorders>
                  <w:noWrap w:val="0"/>
                  <w:tcMar>
                    <w:left w:w="28" w:type="dxa"/>
                    <w:right w:w="28" w:type="dxa"/>
                  </w:tcMar>
                  <w:vAlign w:val="center"/>
                </w:tcPr>
                <w:p w14:paraId="0066EF7D">
                  <w:pPr>
                    <w:spacing w:line="240" w:lineRule="auto"/>
                    <w:jc w:val="center"/>
                    <w:rPr>
                      <w:rFonts w:hint="default" w:ascii="Times New Roman" w:hAnsi="Times New Roman" w:eastAsia="仿宋" w:cs="Times New Roman"/>
                      <w:color w:val="auto"/>
                      <w:sz w:val="21"/>
                      <w:szCs w:val="21"/>
                      <w:highlight w:val="none"/>
                    </w:rPr>
                  </w:pPr>
                </w:p>
              </w:tc>
              <w:tc>
                <w:tcPr>
                  <w:tcW w:w="1418" w:type="dxa"/>
                  <w:noWrap w:val="0"/>
                  <w:tcMar>
                    <w:left w:w="28" w:type="dxa"/>
                    <w:right w:w="28" w:type="dxa"/>
                  </w:tcMar>
                  <w:vAlign w:val="center"/>
                </w:tcPr>
                <w:p w14:paraId="7B4C41AC">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SS</w:t>
                  </w:r>
                </w:p>
              </w:tc>
              <w:tc>
                <w:tcPr>
                  <w:tcW w:w="1047" w:type="dxa"/>
                  <w:noWrap w:val="0"/>
                  <w:vAlign w:val="center"/>
                </w:tcPr>
                <w:p w14:paraId="7AAE7C2D">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0.576</w:t>
                  </w:r>
                </w:p>
              </w:tc>
              <w:tc>
                <w:tcPr>
                  <w:tcW w:w="863" w:type="dxa"/>
                  <w:noWrap w:val="0"/>
                  <w:vAlign w:val="center"/>
                </w:tcPr>
                <w:p w14:paraId="2CCDC2A0">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76FF396D">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0.576</w:t>
                  </w:r>
                </w:p>
              </w:tc>
              <w:tc>
                <w:tcPr>
                  <w:tcW w:w="1149" w:type="dxa"/>
                  <w:gridSpan w:val="2"/>
                  <w:noWrap w:val="0"/>
                  <w:tcMar>
                    <w:left w:w="28" w:type="dxa"/>
                    <w:right w:w="28" w:type="dxa"/>
                  </w:tcMar>
                  <w:vAlign w:val="center"/>
                </w:tcPr>
                <w:p w14:paraId="1D6ED349">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c>
                <w:tcPr>
                  <w:tcW w:w="1142" w:type="dxa"/>
                  <w:noWrap w:val="0"/>
                  <w:vAlign w:val="center"/>
                </w:tcPr>
                <w:p w14:paraId="0E7624D7">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lang w:val="en-US" w:eastAsia="zh-CN"/>
                    </w:rPr>
                    <w:t>0.576</w:t>
                  </w:r>
                </w:p>
              </w:tc>
            </w:tr>
            <w:tr w14:paraId="53317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continue"/>
                  <w:tcBorders>
                    <w:right w:val="single" w:color="auto" w:sz="2" w:space="0"/>
                  </w:tcBorders>
                  <w:noWrap w:val="0"/>
                  <w:tcMar>
                    <w:left w:w="28" w:type="dxa"/>
                    <w:right w:w="28" w:type="dxa"/>
                  </w:tcMar>
                  <w:vAlign w:val="center"/>
                </w:tcPr>
                <w:p w14:paraId="23F8C3D5">
                  <w:pPr>
                    <w:spacing w:line="240" w:lineRule="auto"/>
                    <w:jc w:val="center"/>
                    <w:rPr>
                      <w:rFonts w:hint="default" w:ascii="Times New Roman" w:hAnsi="Times New Roman" w:eastAsia="仿宋" w:cs="Times New Roman"/>
                      <w:color w:val="auto"/>
                      <w:sz w:val="21"/>
                      <w:szCs w:val="21"/>
                      <w:highlight w:val="none"/>
                    </w:rPr>
                  </w:pPr>
                </w:p>
              </w:tc>
              <w:tc>
                <w:tcPr>
                  <w:tcW w:w="1141" w:type="dxa"/>
                  <w:vMerge w:val="continue"/>
                  <w:tcBorders>
                    <w:left w:val="single" w:color="auto" w:sz="2" w:space="0"/>
                  </w:tcBorders>
                  <w:noWrap w:val="0"/>
                  <w:tcMar>
                    <w:left w:w="28" w:type="dxa"/>
                    <w:right w:w="28" w:type="dxa"/>
                  </w:tcMar>
                  <w:vAlign w:val="center"/>
                </w:tcPr>
                <w:p w14:paraId="7CE9EF79">
                  <w:pPr>
                    <w:spacing w:line="240" w:lineRule="auto"/>
                    <w:jc w:val="center"/>
                    <w:rPr>
                      <w:rFonts w:hint="default" w:ascii="Times New Roman" w:hAnsi="Times New Roman" w:eastAsia="仿宋" w:cs="Times New Roman"/>
                      <w:color w:val="auto"/>
                      <w:sz w:val="21"/>
                      <w:szCs w:val="21"/>
                      <w:highlight w:val="none"/>
                    </w:rPr>
                  </w:pPr>
                </w:p>
              </w:tc>
              <w:tc>
                <w:tcPr>
                  <w:tcW w:w="1418" w:type="dxa"/>
                  <w:noWrap w:val="0"/>
                  <w:tcMar>
                    <w:left w:w="28" w:type="dxa"/>
                    <w:right w:w="28" w:type="dxa"/>
                  </w:tcMar>
                  <w:vAlign w:val="center"/>
                </w:tcPr>
                <w:p w14:paraId="3709E64D">
                  <w:pPr>
                    <w:spacing w:line="240" w:lineRule="auto"/>
                    <w:jc w:val="center"/>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NH</w:t>
                  </w:r>
                  <w:r>
                    <w:rPr>
                      <w:rFonts w:hint="default" w:ascii="Times New Roman" w:hAnsi="Times New Roman" w:eastAsia="仿宋" w:cs="Times New Roman"/>
                      <w:color w:val="auto"/>
                      <w:sz w:val="21"/>
                      <w:szCs w:val="21"/>
                      <w:highlight w:val="none"/>
                      <w:vertAlign w:val="subscript"/>
                    </w:rPr>
                    <w:t>3</w:t>
                  </w:r>
                  <w:r>
                    <w:rPr>
                      <w:rFonts w:hint="default" w:ascii="Times New Roman" w:hAnsi="Times New Roman" w:eastAsia="仿宋" w:cs="Times New Roman"/>
                      <w:color w:val="auto"/>
                      <w:sz w:val="21"/>
                      <w:szCs w:val="21"/>
                      <w:highlight w:val="none"/>
                    </w:rPr>
                    <w:t>-N</w:t>
                  </w:r>
                </w:p>
              </w:tc>
              <w:tc>
                <w:tcPr>
                  <w:tcW w:w="1047" w:type="dxa"/>
                  <w:noWrap w:val="0"/>
                  <w:vAlign w:val="center"/>
                </w:tcPr>
                <w:p w14:paraId="467E7E1C">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0.048</w:t>
                  </w:r>
                </w:p>
              </w:tc>
              <w:tc>
                <w:tcPr>
                  <w:tcW w:w="863" w:type="dxa"/>
                  <w:noWrap w:val="0"/>
                  <w:vAlign w:val="center"/>
                </w:tcPr>
                <w:p w14:paraId="4B25C75B">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11CD1800">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0.048</w:t>
                  </w:r>
                </w:p>
              </w:tc>
              <w:tc>
                <w:tcPr>
                  <w:tcW w:w="1149" w:type="dxa"/>
                  <w:gridSpan w:val="2"/>
                  <w:noWrap w:val="0"/>
                  <w:tcMar>
                    <w:left w:w="28" w:type="dxa"/>
                    <w:right w:w="28" w:type="dxa"/>
                  </w:tcMar>
                  <w:vAlign w:val="center"/>
                </w:tcPr>
                <w:p w14:paraId="659BDFFB">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0.048</w:t>
                  </w:r>
                </w:p>
              </w:tc>
              <w:tc>
                <w:tcPr>
                  <w:tcW w:w="1142" w:type="dxa"/>
                  <w:noWrap w:val="0"/>
                  <w:vAlign w:val="center"/>
                </w:tcPr>
                <w:p w14:paraId="41A75E8B">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2EECAE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continue"/>
                  <w:tcBorders>
                    <w:right w:val="single" w:color="auto" w:sz="2" w:space="0"/>
                  </w:tcBorders>
                  <w:noWrap w:val="0"/>
                  <w:tcMar>
                    <w:left w:w="28" w:type="dxa"/>
                    <w:right w:w="28" w:type="dxa"/>
                  </w:tcMar>
                  <w:vAlign w:val="center"/>
                </w:tcPr>
                <w:p w14:paraId="7795D23A">
                  <w:pPr>
                    <w:spacing w:line="240" w:lineRule="auto"/>
                    <w:jc w:val="center"/>
                    <w:rPr>
                      <w:rFonts w:hint="default" w:ascii="Times New Roman" w:hAnsi="Times New Roman" w:eastAsia="仿宋" w:cs="Times New Roman"/>
                      <w:color w:val="auto"/>
                      <w:sz w:val="21"/>
                      <w:szCs w:val="21"/>
                      <w:highlight w:val="none"/>
                    </w:rPr>
                  </w:pPr>
                </w:p>
              </w:tc>
              <w:tc>
                <w:tcPr>
                  <w:tcW w:w="1141" w:type="dxa"/>
                  <w:vMerge w:val="continue"/>
                  <w:tcBorders>
                    <w:left w:val="single" w:color="auto" w:sz="2" w:space="0"/>
                  </w:tcBorders>
                  <w:noWrap w:val="0"/>
                  <w:tcMar>
                    <w:left w:w="28" w:type="dxa"/>
                    <w:right w:w="28" w:type="dxa"/>
                  </w:tcMar>
                  <w:vAlign w:val="center"/>
                </w:tcPr>
                <w:p w14:paraId="1AE60CBF">
                  <w:pPr>
                    <w:spacing w:line="240" w:lineRule="auto"/>
                    <w:jc w:val="center"/>
                    <w:rPr>
                      <w:rFonts w:hint="default" w:ascii="Times New Roman" w:hAnsi="Times New Roman" w:eastAsia="仿宋" w:cs="Times New Roman"/>
                      <w:color w:val="auto"/>
                      <w:sz w:val="21"/>
                      <w:szCs w:val="21"/>
                      <w:highlight w:val="none"/>
                    </w:rPr>
                  </w:pPr>
                </w:p>
              </w:tc>
              <w:tc>
                <w:tcPr>
                  <w:tcW w:w="1418" w:type="dxa"/>
                  <w:noWrap w:val="0"/>
                  <w:tcMar>
                    <w:left w:w="28" w:type="dxa"/>
                    <w:right w:w="28" w:type="dxa"/>
                  </w:tcMar>
                  <w:vAlign w:val="center"/>
                </w:tcPr>
                <w:p w14:paraId="59923A4D">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N</w:t>
                  </w:r>
                </w:p>
              </w:tc>
              <w:tc>
                <w:tcPr>
                  <w:tcW w:w="1047" w:type="dxa"/>
                  <w:noWrap w:val="0"/>
                  <w:vAlign w:val="center"/>
                </w:tcPr>
                <w:p w14:paraId="2CA101DF">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0.096</w:t>
                  </w:r>
                </w:p>
              </w:tc>
              <w:tc>
                <w:tcPr>
                  <w:tcW w:w="863" w:type="dxa"/>
                  <w:noWrap w:val="0"/>
                  <w:vAlign w:val="center"/>
                </w:tcPr>
                <w:p w14:paraId="221E7BBE">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35583F6E">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0.096</w:t>
                  </w:r>
                </w:p>
              </w:tc>
              <w:tc>
                <w:tcPr>
                  <w:tcW w:w="1149" w:type="dxa"/>
                  <w:gridSpan w:val="2"/>
                  <w:noWrap w:val="0"/>
                  <w:tcMar>
                    <w:left w:w="28" w:type="dxa"/>
                    <w:right w:w="28" w:type="dxa"/>
                  </w:tcMar>
                  <w:vAlign w:val="center"/>
                </w:tcPr>
                <w:p w14:paraId="408EEB23">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0.096</w:t>
                  </w:r>
                </w:p>
              </w:tc>
              <w:tc>
                <w:tcPr>
                  <w:tcW w:w="1142" w:type="dxa"/>
                  <w:noWrap w:val="0"/>
                  <w:vAlign w:val="center"/>
                </w:tcPr>
                <w:p w14:paraId="0DDCFC3D">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324B7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14" w:type="dxa"/>
                  <w:vMerge w:val="continue"/>
                  <w:tcBorders>
                    <w:right w:val="single" w:color="auto" w:sz="2" w:space="0"/>
                  </w:tcBorders>
                  <w:noWrap w:val="0"/>
                  <w:tcMar>
                    <w:left w:w="28" w:type="dxa"/>
                    <w:right w:w="28" w:type="dxa"/>
                  </w:tcMar>
                  <w:vAlign w:val="center"/>
                </w:tcPr>
                <w:p w14:paraId="75B771A5">
                  <w:pPr>
                    <w:spacing w:line="240" w:lineRule="auto"/>
                    <w:jc w:val="center"/>
                    <w:rPr>
                      <w:rFonts w:hint="default" w:ascii="Times New Roman" w:hAnsi="Times New Roman" w:eastAsia="仿宋" w:cs="Times New Roman"/>
                      <w:color w:val="auto"/>
                      <w:sz w:val="21"/>
                      <w:szCs w:val="21"/>
                      <w:highlight w:val="none"/>
                    </w:rPr>
                  </w:pPr>
                </w:p>
              </w:tc>
              <w:tc>
                <w:tcPr>
                  <w:tcW w:w="1141" w:type="dxa"/>
                  <w:vMerge w:val="continue"/>
                  <w:tcBorders>
                    <w:left w:val="single" w:color="auto" w:sz="2" w:space="0"/>
                  </w:tcBorders>
                  <w:noWrap w:val="0"/>
                  <w:tcMar>
                    <w:left w:w="28" w:type="dxa"/>
                    <w:right w:w="28" w:type="dxa"/>
                  </w:tcMar>
                  <w:vAlign w:val="center"/>
                </w:tcPr>
                <w:p w14:paraId="71EC525A">
                  <w:pPr>
                    <w:spacing w:line="240" w:lineRule="auto"/>
                    <w:jc w:val="center"/>
                    <w:rPr>
                      <w:rFonts w:hint="default" w:ascii="Times New Roman" w:hAnsi="Times New Roman" w:eastAsia="仿宋" w:cs="Times New Roman"/>
                      <w:color w:val="auto"/>
                      <w:sz w:val="21"/>
                      <w:szCs w:val="21"/>
                      <w:highlight w:val="none"/>
                    </w:rPr>
                  </w:pPr>
                </w:p>
              </w:tc>
              <w:tc>
                <w:tcPr>
                  <w:tcW w:w="1418" w:type="dxa"/>
                  <w:noWrap w:val="0"/>
                  <w:tcMar>
                    <w:left w:w="28" w:type="dxa"/>
                    <w:right w:w="28" w:type="dxa"/>
                  </w:tcMar>
                  <w:vAlign w:val="center"/>
                </w:tcPr>
                <w:p w14:paraId="1D796849">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rPr>
                    <w:t>T</w:t>
                  </w:r>
                  <w:r>
                    <w:rPr>
                      <w:rFonts w:hint="default" w:ascii="Times New Roman" w:hAnsi="Times New Roman" w:eastAsia="仿宋" w:cs="Times New Roman"/>
                      <w:color w:val="auto"/>
                      <w:sz w:val="21"/>
                      <w:szCs w:val="21"/>
                      <w:highlight w:val="none"/>
                      <w:lang w:val="en-US" w:eastAsia="zh-CN"/>
                    </w:rPr>
                    <w:t>P</w:t>
                  </w:r>
                </w:p>
              </w:tc>
              <w:tc>
                <w:tcPr>
                  <w:tcW w:w="1047" w:type="dxa"/>
                  <w:noWrap w:val="0"/>
                  <w:vAlign w:val="center"/>
                </w:tcPr>
                <w:p w14:paraId="4A12538B">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0.0096</w:t>
                  </w:r>
                </w:p>
              </w:tc>
              <w:tc>
                <w:tcPr>
                  <w:tcW w:w="863" w:type="dxa"/>
                  <w:noWrap w:val="0"/>
                  <w:vAlign w:val="center"/>
                </w:tcPr>
                <w:p w14:paraId="3FCC8DBD">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p>
              </w:tc>
              <w:tc>
                <w:tcPr>
                  <w:tcW w:w="932" w:type="dxa"/>
                  <w:noWrap w:val="0"/>
                  <w:vAlign w:val="center"/>
                </w:tcPr>
                <w:p w14:paraId="39664F46">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0.0096</w:t>
                  </w:r>
                </w:p>
              </w:tc>
              <w:tc>
                <w:tcPr>
                  <w:tcW w:w="1149" w:type="dxa"/>
                  <w:gridSpan w:val="2"/>
                  <w:noWrap w:val="0"/>
                  <w:tcMar>
                    <w:left w:w="28" w:type="dxa"/>
                    <w:right w:w="28" w:type="dxa"/>
                  </w:tcMar>
                  <w:vAlign w:val="center"/>
                </w:tcPr>
                <w:p w14:paraId="6DF777E7">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0.0096</w:t>
                  </w:r>
                </w:p>
              </w:tc>
              <w:tc>
                <w:tcPr>
                  <w:tcW w:w="1142" w:type="dxa"/>
                  <w:noWrap w:val="0"/>
                  <w:vAlign w:val="center"/>
                </w:tcPr>
                <w:p w14:paraId="13EDF5E5">
                  <w:pPr>
                    <w:spacing w:line="240" w:lineRule="auto"/>
                    <w:jc w:val="center"/>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w:t>
                  </w:r>
                </w:p>
              </w:tc>
            </w:tr>
            <w:tr w14:paraId="5E102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55" w:type="dxa"/>
                  <w:gridSpan w:val="2"/>
                  <w:vMerge w:val="restart"/>
                  <w:noWrap w:val="0"/>
                  <w:tcMar>
                    <w:left w:w="28" w:type="dxa"/>
                    <w:right w:w="28" w:type="dxa"/>
                  </w:tcMar>
                  <w:vAlign w:val="center"/>
                </w:tcPr>
                <w:p w14:paraId="42E76690">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固体废物</w:t>
                  </w:r>
                </w:p>
              </w:tc>
              <w:tc>
                <w:tcPr>
                  <w:tcW w:w="1418" w:type="dxa"/>
                  <w:noWrap w:val="0"/>
                  <w:tcMar>
                    <w:left w:w="28" w:type="dxa"/>
                    <w:right w:w="28" w:type="dxa"/>
                  </w:tcMar>
                  <w:vAlign w:val="center"/>
                </w:tcPr>
                <w:p w14:paraId="2D53409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一般固废</w:t>
                  </w:r>
                </w:p>
              </w:tc>
              <w:tc>
                <w:tcPr>
                  <w:tcW w:w="1047" w:type="dxa"/>
                  <w:noWrap w:val="0"/>
                  <w:vAlign w:val="center"/>
                </w:tcPr>
                <w:p w14:paraId="099FAB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w:t>
                  </w:r>
                  <w:r>
                    <w:rPr>
                      <w:rFonts w:hint="eastAsia" w:eastAsia="仿宋" w:cs="Times New Roman"/>
                      <w:color w:val="auto"/>
                      <w:kern w:val="2"/>
                      <w:sz w:val="21"/>
                      <w:szCs w:val="21"/>
                      <w:lang w:val="en-US" w:eastAsia="zh-CN" w:bidi="ar-SA"/>
                    </w:rPr>
                    <w:t>0.01</w:t>
                  </w:r>
                </w:p>
              </w:tc>
              <w:tc>
                <w:tcPr>
                  <w:tcW w:w="863" w:type="dxa"/>
                  <w:noWrap w:val="0"/>
                  <w:vAlign w:val="center"/>
                </w:tcPr>
                <w:p w14:paraId="78793A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10</w:t>
                  </w:r>
                  <w:r>
                    <w:rPr>
                      <w:rFonts w:hint="eastAsia" w:eastAsia="仿宋" w:cs="Times New Roman"/>
                      <w:color w:val="auto"/>
                      <w:kern w:val="2"/>
                      <w:sz w:val="21"/>
                      <w:szCs w:val="21"/>
                      <w:lang w:val="en-US" w:eastAsia="zh-CN" w:bidi="ar-SA"/>
                    </w:rPr>
                    <w:t>0.01</w:t>
                  </w:r>
                </w:p>
              </w:tc>
              <w:tc>
                <w:tcPr>
                  <w:tcW w:w="932" w:type="dxa"/>
                  <w:noWrap w:val="0"/>
                  <w:vAlign w:val="center"/>
                </w:tcPr>
                <w:p w14:paraId="13E0CE80">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1149" w:type="dxa"/>
                  <w:gridSpan w:val="2"/>
                  <w:noWrap w:val="0"/>
                  <w:tcMar>
                    <w:left w:w="28" w:type="dxa"/>
                    <w:right w:w="28" w:type="dxa"/>
                  </w:tcMar>
                  <w:vAlign w:val="center"/>
                </w:tcPr>
                <w:p w14:paraId="19292DC2">
                  <w:pPr>
                    <w:spacing w:line="240" w:lineRule="auto"/>
                    <w:jc w:val="center"/>
                    <w:rPr>
                      <w:rFonts w:hint="default" w:ascii="Times New Roman" w:hAnsi="Times New Roman" w:eastAsia="仿宋" w:cs="Times New Roman"/>
                      <w:color w:val="auto"/>
                      <w:kern w:val="0"/>
                      <w:sz w:val="21"/>
                      <w:szCs w:val="21"/>
                      <w:lang w:eastAsia="zh-CN"/>
                    </w:rPr>
                  </w:pPr>
                  <w:r>
                    <w:rPr>
                      <w:rFonts w:hint="default" w:ascii="Times New Roman" w:hAnsi="Times New Roman" w:eastAsia="仿宋" w:cs="Times New Roman"/>
                      <w:color w:val="auto"/>
                      <w:kern w:val="0"/>
                      <w:sz w:val="21"/>
                      <w:szCs w:val="21"/>
                      <w:lang w:val="en-US" w:eastAsia="zh-CN"/>
                    </w:rPr>
                    <w:t>/</w:t>
                  </w:r>
                </w:p>
              </w:tc>
              <w:tc>
                <w:tcPr>
                  <w:tcW w:w="1142" w:type="dxa"/>
                  <w:noWrap w:val="0"/>
                  <w:vAlign w:val="center"/>
                </w:tcPr>
                <w:p w14:paraId="038F7B87">
                  <w:pPr>
                    <w:spacing w:line="240" w:lineRule="auto"/>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t>
                  </w:r>
                </w:p>
              </w:tc>
            </w:tr>
            <w:tr w14:paraId="2940D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55" w:type="dxa"/>
                  <w:gridSpan w:val="2"/>
                  <w:vMerge w:val="continue"/>
                  <w:noWrap w:val="0"/>
                  <w:tcMar>
                    <w:left w:w="28" w:type="dxa"/>
                    <w:right w:w="28" w:type="dxa"/>
                  </w:tcMar>
                  <w:vAlign w:val="center"/>
                </w:tcPr>
                <w:p w14:paraId="11750582">
                  <w:pPr>
                    <w:spacing w:line="240" w:lineRule="auto"/>
                    <w:jc w:val="center"/>
                    <w:rPr>
                      <w:rFonts w:hint="default" w:ascii="Times New Roman" w:hAnsi="Times New Roman" w:eastAsia="仿宋" w:cs="Times New Roman"/>
                      <w:color w:val="auto"/>
                      <w:sz w:val="21"/>
                      <w:szCs w:val="21"/>
                    </w:rPr>
                  </w:pPr>
                </w:p>
              </w:tc>
              <w:tc>
                <w:tcPr>
                  <w:tcW w:w="1418" w:type="dxa"/>
                  <w:noWrap w:val="0"/>
                  <w:tcMar>
                    <w:left w:w="28" w:type="dxa"/>
                    <w:right w:w="28" w:type="dxa"/>
                  </w:tcMar>
                  <w:vAlign w:val="center"/>
                </w:tcPr>
                <w:p w14:paraId="5FD8A2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危险废物</w:t>
                  </w:r>
                </w:p>
              </w:tc>
              <w:tc>
                <w:tcPr>
                  <w:tcW w:w="1047" w:type="dxa"/>
                  <w:noWrap w:val="0"/>
                  <w:vAlign w:val="center"/>
                </w:tcPr>
                <w:p w14:paraId="3B2F834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w:t>
                  </w:r>
                  <w:r>
                    <w:rPr>
                      <w:rFonts w:hint="eastAsia" w:eastAsia="仿宋" w:cs="Times New Roman"/>
                      <w:color w:val="auto"/>
                      <w:kern w:val="2"/>
                      <w:sz w:val="21"/>
                      <w:szCs w:val="21"/>
                      <w:lang w:val="en-US" w:eastAsia="zh-CN" w:bidi="ar-SA"/>
                    </w:rPr>
                    <w:t>5.29</w:t>
                  </w:r>
                </w:p>
              </w:tc>
              <w:tc>
                <w:tcPr>
                  <w:tcW w:w="863" w:type="dxa"/>
                  <w:noWrap w:val="0"/>
                  <w:vAlign w:val="center"/>
                </w:tcPr>
                <w:p w14:paraId="565FB0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w:t>
                  </w:r>
                  <w:r>
                    <w:rPr>
                      <w:rFonts w:hint="eastAsia" w:eastAsia="仿宋" w:cs="Times New Roman"/>
                      <w:color w:val="auto"/>
                      <w:kern w:val="2"/>
                      <w:sz w:val="21"/>
                      <w:szCs w:val="21"/>
                      <w:lang w:val="en-US" w:eastAsia="zh-CN" w:bidi="ar-SA"/>
                    </w:rPr>
                    <w:t>5.29</w:t>
                  </w:r>
                </w:p>
              </w:tc>
              <w:tc>
                <w:tcPr>
                  <w:tcW w:w="932" w:type="dxa"/>
                  <w:noWrap w:val="0"/>
                  <w:vAlign w:val="center"/>
                </w:tcPr>
                <w:p w14:paraId="0C8C6A10">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1149" w:type="dxa"/>
                  <w:gridSpan w:val="2"/>
                  <w:noWrap w:val="0"/>
                  <w:tcMar>
                    <w:left w:w="28" w:type="dxa"/>
                    <w:right w:w="28" w:type="dxa"/>
                  </w:tcMar>
                  <w:vAlign w:val="center"/>
                </w:tcPr>
                <w:p w14:paraId="492EC1E0">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w:t>
                  </w:r>
                </w:p>
              </w:tc>
              <w:tc>
                <w:tcPr>
                  <w:tcW w:w="1142" w:type="dxa"/>
                  <w:noWrap w:val="0"/>
                  <w:vAlign w:val="center"/>
                </w:tcPr>
                <w:p w14:paraId="00FB51E6">
                  <w:pPr>
                    <w:spacing w:line="240" w:lineRule="auto"/>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t>
                  </w:r>
                </w:p>
              </w:tc>
            </w:tr>
            <w:tr w14:paraId="2B1E7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55" w:type="dxa"/>
                  <w:gridSpan w:val="2"/>
                  <w:vMerge w:val="continue"/>
                  <w:noWrap w:val="0"/>
                  <w:vAlign w:val="top"/>
                </w:tcPr>
                <w:p w14:paraId="37B11B09">
                  <w:pPr>
                    <w:spacing w:line="240" w:lineRule="auto"/>
                    <w:jc w:val="center"/>
                    <w:rPr>
                      <w:rFonts w:hint="default" w:ascii="Times New Roman" w:hAnsi="Times New Roman" w:eastAsia="仿宋" w:cs="Times New Roman"/>
                      <w:color w:val="auto"/>
                      <w:sz w:val="21"/>
                      <w:szCs w:val="21"/>
                    </w:rPr>
                  </w:pPr>
                </w:p>
              </w:tc>
              <w:tc>
                <w:tcPr>
                  <w:tcW w:w="1418" w:type="dxa"/>
                  <w:noWrap w:val="0"/>
                  <w:vAlign w:val="center"/>
                </w:tcPr>
                <w:p w14:paraId="44A7E89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生活垃圾</w:t>
                  </w:r>
                </w:p>
              </w:tc>
              <w:tc>
                <w:tcPr>
                  <w:tcW w:w="1047" w:type="dxa"/>
                  <w:noWrap w:val="0"/>
                  <w:vAlign w:val="center"/>
                </w:tcPr>
                <w:p w14:paraId="21F478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w:t>
                  </w:r>
                </w:p>
              </w:tc>
              <w:tc>
                <w:tcPr>
                  <w:tcW w:w="863" w:type="dxa"/>
                  <w:noWrap w:val="0"/>
                  <w:vAlign w:val="center"/>
                </w:tcPr>
                <w:p w14:paraId="4393507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ascii="Times New Roman" w:hAnsi="Times New Roman" w:eastAsia="仿宋" w:cs="Times New Roman"/>
                      <w:color w:val="auto"/>
                      <w:kern w:val="2"/>
                      <w:sz w:val="21"/>
                      <w:szCs w:val="21"/>
                      <w:lang w:val="en-US" w:eastAsia="zh-CN" w:bidi="ar-SA"/>
                    </w:rPr>
                    <w:t>12</w:t>
                  </w:r>
                </w:p>
              </w:tc>
              <w:tc>
                <w:tcPr>
                  <w:tcW w:w="932" w:type="dxa"/>
                  <w:noWrap w:val="0"/>
                  <w:vAlign w:val="top"/>
                </w:tcPr>
                <w:p w14:paraId="7047A630">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0</w:t>
                  </w:r>
                </w:p>
              </w:tc>
              <w:tc>
                <w:tcPr>
                  <w:tcW w:w="1149" w:type="dxa"/>
                  <w:gridSpan w:val="2"/>
                  <w:noWrap w:val="0"/>
                  <w:vAlign w:val="top"/>
                </w:tcPr>
                <w:p w14:paraId="1D7D049C">
                  <w:pPr>
                    <w:spacing w:line="240" w:lineRule="auto"/>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lang w:val="en-US" w:eastAsia="zh-CN"/>
                    </w:rPr>
                    <w:t>/</w:t>
                  </w:r>
                </w:p>
              </w:tc>
              <w:tc>
                <w:tcPr>
                  <w:tcW w:w="1142" w:type="dxa"/>
                  <w:noWrap w:val="0"/>
                  <w:vAlign w:val="top"/>
                </w:tcPr>
                <w:p w14:paraId="5D2574E6">
                  <w:pPr>
                    <w:spacing w:line="240" w:lineRule="auto"/>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w:t>
                  </w:r>
                </w:p>
              </w:tc>
            </w:tr>
          </w:tbl>
          <w:p w14:paraId="5A64F4B8">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rPr>
                <w:rFonts w:hint="default" w:ascii="Times New Roman" w:hAnsi="Times New Roman" w:eastAsia="仿宋" w:cs="Times New Roman"/>
                <w:b/>
                <w:color w:val="auto"/>
                <w:sz w:val="24"/>
                <w:szCs w:val="24"/>
              </w:rPr>
            </w:pPr>
            <w:r>
              <w:rPr>
                <w:rFonts w:hint="default" w:ascii="Times New Roman" w:hAnsi="Times New Roman" w:eastAsia="仿宋" w:cs="Times New Roman"/>
                <w:b/>
                <w:color w:val="auto"/>
                <w:sz w:val="24"/>
                <w:szCs w:val="24"/>
              </w:rPr>
              <w:t>2、总量平衡方案</w:t>
            </w:r>
          </w:p>
          <w:p w14:paraId="5789A21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snapToGrid w:val="0"/>
                <w:color w:val="auto"/>
                <w:sz w:val="36"/>
                <w:szCs w:val="36"/>
                <w:vertAlign w:val="baseline"/>
                <w:lang w:eastAsia="zh-CN"/>
              </w:rPr>
            </w:pPr>
            <w:r>
              <w:rPr>
                <w:rFonts w:hint="default" w:ascii="Times New Roman" w:hAnsi="Times New Roman" w:eastAsia="仿宋" w:cs="Times New Roman"/>
                <w:color w:val="auto"/>
                <w:sz w:val="24"/>
                <w:szCs w:val="24"/>
              </w:rPr>
              <w:t>水污染物总量控制因子为COD、NH</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-N、TN、TP，总量考核因子为SS。项目排放的水污染物总量在滨湖污水处理厂内平衡。</w:t>
            </w:r>
          </w:p>
        </w:tc>
      </w:tr>
    </w:tbl>
    <w:p w14:paraId="4C0B8E20">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sz w:val="36"/>
          <w:szCs w:val="36"/>
        </w:rPr>
        <w:br w:type="page"/>
      </w:r>
      <w:r>
        <w:rPr>
          <w:rFonts w:hint="default" w:ascii="Times New Roman" w:hAnsi="Times New Roman" w:eastAsia="仿宋" w:cs="Times New Roman"/>
          <w:snapToGrid w:val="0"/>
          <w:color w:val="auto"/>
          <w:sz w:val="30"/>
          <w:szCs w:val="30"/>
        </w:rPr>
        <w:t>四、主要环境影响和保护措施</w:t>
      </w:r>
    </w:p>
    <w:tbl>
      <w:tblPr>
        <w:tblStyle w:val="24"/>
        <w:tblW w:w="89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079"/>
      </w:tblGrid>
      <w:tr w14:paraId="0608F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841" w:type="dxa"/>
            <w:noWrap w:val="0"/>
            <w:tcMar>
              <w:left w:w="28" w:type="dxa"/>
              <w:right w:w="28" w:type="dxa"/>
            </w:tcMar>
            <w:vAlign w:val="center"/>
          </w:tcPr>
          <w:p w14:paraId="562DB105">
            <w:pPr>
              <w:pStyle w:val="20"/>
              <w:keepNext w:val="0"/>
              <w:keepLines w:val="0"/>
              <w:pageBreakBefore w:val="0"/>
              <w:kinsoku/>
              <w:wordWrap/>
              <w:overflowPunct/>
              <w:topLinePunct w:val="0"/>
              <w:autoSpaceDE/>
              <w:autoSpaceDN/>
              <w:bidi w:val="0"/>
              <w:adjustRightInd w:val="0"/>
              <w:snapToGrid w:val="0"/>
              <w:spacing w:before="0" w:beforeAutospacing="0" w:after="0" w:afterAutospacing="0" w:line="400" w:lineRule="exact"/>
              <w:jc w:val="center"/>
              <w:textAlignment w:val="auto"/>
              <w:rPr>
                <w:rFonts w:hint="default" w:ascii="Times New Roman" w:hAnsi="Times New Roman" w:eastAsia="仿宋" w:cs="Times New Roman"/>
                <w:bCs/>
                <w:color w:val="auto"/>
                <w:kern w:val="2"/>
                <w:sz w:val="24"/>
                <w:szCs w:val="24"/>
                <w:lang w:val="en-US" w:eastAsia="zh-CN"/>
              </w:rPr>
            </w:pPr>
            <w:r>
              <w:rPr>
                <w:rFonts w:hint="default" w:ascii="Times New Roman" w:hAnsi="Times New Roman" w:eastAsia="仿宋" w:cs="Times New Roman"/>
                <w:color w:val="auto"/>
                <w:kern w:val="2"/>
                <w:sz w:val="24"/>
                <w:szCs w:val="24"/>
                <w:lang w:val="en-US" w:eastAsia="zh-CN"/>
              </w:rPr>
              <w:t>施工期环境保护措施</w:t>
            </w:r>
          </w:p>
        </w:tc>
        <w:tc>
          <w:tcPr>
            <w:tcW w:w="8079" w:type="dxa"/>
            <w:noWrap w:val="0"/>
            <w:vAlign w:val="center"/>
          </w:tcPr>
          <w:p w14:paraId="416E0F37">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40" w:firstLineChars="200"/>
              <w:textAlignment w:val="auto"/>
              <w:rPr>
                <w:rFonts w:hint="default" w:ascii="Times New Roman" w:hAnsi="Times New Roman" w:eastAsia="仿宋" w:cs="Times New Roman"/>
                <w:bCs/>
                <w:color w:val="auto"/>
                <w:spacing w:val="-10"/>
                <w:sz w:val="24"/>
                <w:szCs w:val="24"/>
              </w:rPr>
            </w:pPr>
            <w:r>
              <w:rPr>
                <w:rFonts w:hint="default" w:ascii="Times New Roman" w:hAnsi="Times New Roman" w:eastAsia="仿宋" w:cs="Times New Roman"/>
                <w:bCs/>
                <w:color w:val="auto"/>
                <w:spacing w:val="-10"/>
                <w:sz w:val="24"/>
                <w:szCs w:val="24"/>
              </w:rPr>
              <w:t>本项目购置坤鼎常州创新产业基地</w:t>
            </w:r>
            <w:r>
              <w:rPr>
                <w:rFonts w:hint="default" w:ascii="Times New Roman" w:hAnsi="Times New Roman" w:eastAsia="仿宋" w:cs="Times New Roman"/>
                <w:bCs/>
                <w:color w:val="auto"/>
                <w:spacing w:val="-10"/>
                <w:sz w:val="24"/>
                <w:szCs w:val="24"/>
                <w:lang w:val="en-US" w:eastAsia="zh-CN"/>
              </w:rPr>
              <w:t>9</w:t>
            </w:r>
            <w:r>
              <w:rPr>
                <w:rFonts w:hint="default" w:ascii="Times New Roman" w:hAnsi="Times New Roman" w:eastAsia="仿宋" w:cs="Times New Roman"/>
                <w:bCs/>
                <w:color w:val="auto"/>
                <w:spacing w:val="-10"/>
                <w:sz w:val="24"/>
                <w:szCs w:val="24"/>
              </w:rPr>
              <w:t>幢闲置厂房进行生产，主要进行设备安装、调试，因此该项目建设期对环境产生的影响不明显。</w:t>
            </w:r>
          </w:p>
        </w:tc>
      </w:tr>
      <w:tr w14:paraId="75B2F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noWrap w:val="0"/>
            <w:tcMar>
              <w:left w:w="28" w:type="dxa"/>
              <w:right w:w="28" w:type="dxa"/>
            </w:tcMar>
            <w:vAlign w:val="center"/>
          </w:tcPr>
          <w:p w14:paraId="21A41A04">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运营</w:t>
            </w:r>
          </w:p>
          <w:p w14:paraId="615CB4FD">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期环</w:t>
            </w:r>
          </w:p>
          <w:p w14:paraId="296A7181">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境影</w:t>
            </w:r>
          </w:p>
          <w:p w14:paraId="66D3E71F">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响和</w:t>
            </w:r>
          </w:p>
          <w:p w14:paraId="40E5B691">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保护</w:t>
            </w:r>
          </w:p>
          <w:p w14:paraId="5F69AF86">
            <w:pPr>
              <w:adjustRightInd w:val="0"/>
              <w:snapToGrid w:val="0"/>
              <w:jc w:val="center"/>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措施</w:t>
            </w:r>
          </w:p>
        </w:tc>
        <w:tc>
          <w:tcPr>
            <w:tcW w:w="8079" w:type="dxa"/>
            <w:noWrap w:val="0"/>
            <w:vAlign w:val="center"/>
          </w:tcPr>
          <w:p w14:paraId="249EB11E">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rPr>
            </w:pPr>
            <w:r>
              <w:rPr>
                <w:rFonts w:hint="default" w:ascii="Times New Roman" w:hAnsi="Times New Roman" w:eastAsia="仿宋" w:cs="Times New Roman"/>
                <w:b/>
                <w:bCs/>
                <w:color w:val="auto"/>
                <w:spacing w:val="-4"/>
                <w:sz w:val="24"/>
                <w:szCs w:val="24"/>
                <w:lang w:val="en-US" w:eastAsia="zh-CN"/>
              </w:rPr>
              <w:t>1</w:t>
            </w:r>
            <w:r>
              <w:rPr>
                <w:rFonts w:hint="default" w:ascii="Times New Roman" w:hAnsi="Times New Roman" w:eastAsia="仿宋" w:cs="Times New Roman"/>
                <w:b/>
                <w:bCs/>
                <w:color w:val="auto"/>
                <w:spacing w:val="-4"/>
                <w:sz w:val="24"/>
                <w:szCs w:val="24"/>
              </w:rPr>
              <w:t>、废水</w:t>
            </w:r>
          </w:p>
          <w:p w14:paraId="7742D988">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.1废污水产生环节</w:t>
            </w:r>
          </w:p>
          <w:p w14:paraId="3FBE2A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rPr>
            </w:pP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切削液配水</w:t>
            </w:r>
          </w:p>
          <w:p w14:paraId="00D94E2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highlight w:val="yellow"/>
              </w:rPr>
            </w:pPr>
            <w:r>
              <w:rPr>
                <w:rFonts w:hint="default" w:ascii="Times New Roman" w:hAnsi="Times New Roman" w:eastAsia="仿宋" w:cs="Times New Roman"/>
                <w:color w:val="auto"/>
                <w:sz w:val="24"/>
                <w:szCs w:val="24"/>
                <w:lang w:val="en-US" w:eastAsia="zh-CN"/>
              </w:rPr>
              <w:t>外圆</w:t>
            </w:r>
            <w:r>
              <w:rPr>
                <w:rFonts w:hint="default" w:ascii="Times New Roman" w:hAnsi="Times New Roman" w:eastAsia="仿宋" w:cs="Times New Roman"/>
                <w:color w:val="auto"/>
                <w:sz w:val="24"/>
                <w:szCs w:val="24"/>
              </w:rPr>
              <w:t>磨加工工序需使用</w:t>
            </w:r>
            <w:r>
              <w:rPr>
                <w:rFonts w:hint="default" w:ascii="Times New Roman" w:hAnsi="Times New Roman" w:eastAsia="仿宋" w:cs="Times New Roman"/>
                <w:color w:val="auto"/>
                <w:sz w:val="24"/>
                <w:szCs w:val="24"/>
                <w:lang w:val="en-US" w:eastAsia="zh-CN"/>
              </w:rPr>
              <w:t>切削</w:t>
            </w:r>
            <w:r>
              <w:rPr>
                <w:rFonts w:hint="default" w:ascii="Times New Roman" w:hAnsi="Times New Roman" w:eastAsia="仿宋" w:cs="Times New Roman"/>
                <w:color w:val="auto"/>
                <w:sz w:val="24"/>
                <w:szCs w:val="24"/>
              </w:rPr>
              <w:t>液进行冷却、润滑，</w:t>
            </w:r>
            <w:r>
              <w:rPr>
                <w:rFonts w:hint="default" w:ascii="Times New Roman" w:hAnsi="Times New Roman" w:eastAsia="仿宋" w:cs="Times New Roman"/>
                <w:color w:val="auto"/>
                <w:sz w:val="24"/>
                <w:szCs w:val="24"/>
                <w:lang w:val="en-US" w:eastAsia="zh-CN"/>
              </w:rPr>
              <w:t>切削</w:t>
            </w:r>
            <w:r>
              <w:rPr>
                <w:rFonts w:hint="default" w:ascii="Times New Roman" w:hAnsi="Times New Roman" w:eastAsia="仿宋" w:cs="Times New Roman"/>
                <w:color w:val="auto"/>
                <w:sz w:val="24"/>
                <w:szCs w:val="24"/>
              </w:rPr>
              <w:t>液按1:20兑水配制后使用，</w:t>
            </w:r>
            <w:r>
              <w:rPr>
                <w:rFonts w:hint="default" w:ascii="Times New Roman" w:hAnsi="Times New Roman" w:eastAsia="仿宋" w:cs="Times New Roman"/>
                <w:color w:val="auto"/>
                <w:sz w:val="24"/>
                <w:szCs w:val="24"/>
                <w:lang w:val="en-US" w:eastAsia="zh-CN"/>
              </w:rPr>
              <w:t>切削液</w:t>
            </w:r>
            <w:r>
              <w:rPr>
                <w:rFonts w:hint="default" w:ascii="Times New Roman" w:hAnsi="Times New Roman" w:eastAsia="仿宋" w:cs="Times New Roman"/>
                <w:color w:val="auto"/>
                <w:sz w:val="24"/>
                <w:szCs w:val="24"/>
              </w:rPr>
              <w:t>年用量</w:t>
            </w:r>
            <w:r>
              <w:rPr>
                <w:rFonts w:hint="default" w:ascii="Times New Roman" w:hAnsi="Times New Roman" w:eastAsia="仿宋" w:cs="Times New Roman"/>
                <w:color w:val="auto"/>
                <w:sz w:val="24"/>
                <w:szCs w:val="24"/>
                <w:lang w:val="en-US" w:eastAsia="zh-CN"/>
              </w:rPr>
              <w:t>0.5t</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则</w:t>
            </w:r>
            <w:r>
              <w:rPr>
                <w:rFonts w:hint="default" w:ascii="Times New Roman" w:hAnsi="Times New Roman" w:eastAsia="仿宋" w:cs="Times New Roman"/>
                <w:color w:val="auto"/>
                <w:sz w:val="24"/>
                <w:szCs w:val="24"/>
              </w:rPr>
              <w:t>配制用水量为</w:t>
            </w:r>
            <w:r>
              <w:rPr>
                <w:rFonts w:hint="default" w:ascii="Times New Roman" w:hAnsi="Times New Roman" w:eastAsia="仿宋" w:cs="Times New Roman"/>
                <w:color w:val="auto"/>
                <w:sz w:val="24"/>
                <w:szCs w:val="24"/>
                <w:lang w:val="en-US" w:eastAsia="zh-CN"/>
              </w:rPr>
              <w:t>10</w:t>
            </w:r>
            <w:r>
              <w:rPr>
                <w:rFonts w:hint="default" w:ascii="Times New Roman" w:hAnsi="Times New Roman" w:eastAsia="仿宋" w:cs="Times New Roman"/>
                <w:color w:val="auto"/>
                <w:sz w:val="24"/>
                <w:szCs w:val="24"/>
              </w:rPr>
              <w:t>t/a。</w:t>
            </w:r>
            <w:r>
              <w:rPr>
                <w:rFonts w:hint="default" w:ascii="Times New Roman" w:hAnsi="Times New Roman" w:eastAsia="仿宋" w:cs="Times New Roman"/>
                <w:color w:val="auto"/>
                <w:sz w:val="24"/>
                <w:szCs w:val="24"/>
                <w:highlight w:val="none"/>
                <w:lang w:val="en-US" w:eastAsia="zh-CN"/>
              </w:rPr>
              <w:t>切削</w:t>
            </w:r>
            <w:r>
              <w:rPr>
                <w:rFonts w:hint="default" w:ascii="Times New Roman" w:hAnsi="Times New Roman" w:eastAsia="仿宋" w:cs="Times New Roman"/>
                <w:color w:val="auto"/>
                <w:sz w:val="24"/>
                <w:szCs w:val="24"/>
                <w:highlight w:val="none"/>
              </w:rPr>
              <w:t>液经</w:t>
            </w:r>
            <w:r>
              <w:rPr>
                <w:rFonts w:hint="default" w:ascii="Times New Roman" w:hAnsi="Times New Roman" w:eastAsia="仿宋" w:cs="Times New Roman"/>
                <w:color w:val="auto"/>
                <w:sz w:val="24"/>
                <w:szCs w:val="24"/>
                <w:highlight w:val="none"/>
                <w:lang w:val="en-US" w:eastAsia="zh-CN"/>
              </w:rPr>
              <w:t>磨床自带过滤系统</w:t>
            </w:r>
            <w:r>
              <w:rPr>
                <w:rFonts w:hint="default" w:ascii="Times New Roman" w:hAnsi="Times New Roman" w:eastAsia="仿宋" w:cs="Times New Roman"/>
                <w:color w:val="auto"/>
                <w:sz w:val="24"/>
                <w:szCs w:val="24"/>
                <w:highlight w:val="none"/>
              </w:rPr>
              <w:t>处理后循环使用，定期补充损耗的</w:t>
            </w:r>
            <w:r>
              <w:rPr>
                <w:rFonts w:hint="default" w:ascii="Times New Roman" w:hAnsi="Times New Roman" w:eastAsia="仿宋" w:cs="Times New Roman"/>
                <w:color w:val="auto"/>
                <w:sz w:val="24"/>
                <w:szCs w:val="24"/>
                <w:highlight w:val="none"/>
                <w:lang w:val="en-US" w:eastAsia="zh-CN"/>
              </w:rPr>
              <w:t>切削</w:t>
            </w:r>
            <w:r>
              <w:rPr>
                <w:rFonts w:hint="default" w:ascii="Times New Roman" w:hAnsi="Times New Roman" w:eastAsia="仿宋" w:cs="Times New Roman"/>
                <w:color w:val="auto"/>
                <w:sz w:val="24"/>
                <w:szCs w:val="24"/>
                <w:highlight w:val="none"/>
              </w:rPr>
              <w:t>液和水</w:t>
            </w:r>
            <w:r>
              <w:rPr>
                <w:rFonts w:hint="default" w:ascii="Times New Roman" w:hAnsi="Times New Roman" w:eastAsia="仿宋" w:cs="Times New Roman"/>
                <w:color w:val="auto"/>
                <w:sz w:val="24"/>
                <w:szCs w:val="24"/>
                <w:highlight w:val="none"/>
                <w:lang w:val="en-US" w:eastAsia="zh-CN"/>
              </w:rPr>
              <w:t>，</w:t>
            </w:r>
            <w:r>
              <w:rPr>
                <w:rFonts w:hint="eastAsia" w:eastAsia="仿宋" w:cs="Times New Roman"/>
                <w:color w:val="auto"/>
                <w:sz w:val="24"/>
                <w:szCs w:val="24"/>
                <w:highlight w:val="none"/>
                <w:lang w:val="en-US" w:eastAsia="zh-CN"/>
              </w:rPr>
              <w:t>损耗量约6.5t/a，</w:t>
            </w:r>
            <w:r>
              <w:rPr>
                <w:rFonts w:hint="default" w:ascii="Times New Roman" w:hAnsi="Times New Roman" w:eastAsia="仿宋" w:cs="Times New Roman"/>
                <w:color w:val="auto"/>
                <w:sz w:val="24"/>
                <w:szCs w:val="24"/>
                <w:highlight w:val="none"/>
                <w:lang w:val="en-US" w:eastAsia="zh-CN"/>
              </w:rPr>
              <w:t>长时间使用切削液会变质，每年更换一次，</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lang w:val="en-US" w:eastAsia="zh-CN"/>
              </w:rPr>
              <w:t>t/a废切削液作为危废处置</w:t>
            </w:r>
            <w:r>
              <w:rPr>
                <w:rFonts w:hint="default" w:ascii="Times New Roman" w:hAnsi="Times New Roman" w:eastAsia="仿宋" w:cs="Times New Roman"/>
                <w:color w:val="auto"/>
                <w:sz w:val="24"/>
                <w:szCs w:val="24"/>
                <w:highlight w:val="none"/>
              </w:rPr>
              <w:t>。</w:t>
            </w:r>
          </w:p>
          <w:p w14:paraId="53B3E39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清洗剂配水</w:t>
            </w:r>
          </w:p>
          <w:p w14:paraId="668AC9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清洗工序</w:t>
            </w:r>
            <w:r>
              <w:rPr>
                <w:rFonts w:hint="eastAsia" w:eastAsia="仿宋" w:cs="Times New Roman"/>
                <w:color w:val="auto"/>
                <w:sz w:val="24"/>
                <w:szCs w:val="24"/>
                <w:lang w:val="en-US" w:eastAsia="zh-CN"/>
              </w:rPr>
              <w:t>清洗槽和漂洗槽均</w:t>
            </w:r>
            <w:r>
              <w:rPr>
                <w:rFonts w:hint="default" w:ascii="Times New Roman" w:hAnsi="Times New Roman" w:eastAsia="仿宋" w:cs="Times New Roman"/>
                <w:color w:val="auto"/>
                <w:sz w:val="24"/>
                <w:szCs w:val="24"/>
                <w:lang w:val="en-US" w:eastAsia="zh-CN"/>
              </w:rPr>
              <w:t>需</w:t>
            </w:r>
            <w:r>
              <w:rPr>
                <w:rFonts w:hint="eastAsia" w:eastAsia="仿宋" w:cs="Times New Roman"/>
                <w:color w:val="auto"/>
                <w:sz w:val="24"/>
                <w:szCs w:val="24"/>
                <w:lang w:val="en-US" w:eastAsia="zh-CN"/>
              </w:rPr>
              <w:t>使用</w:t>
            </w:r>
            <w:r>
              <w:rPr>
                <w:rFonts w:hint="default" w:ascii="Times New Roman" w:hAnsi="Times New Roman" w:eastAsia="仿宋" w:cs="Times New Roman"/>
                <w:color w:val="auto"/>
                <w:sz w:val="24"/>
                <w:szCs w:val="24"/>
                <w:lang w:val="en-US" w:eastAsia="zh-CN"/>
              </w:rPr>
              <w:t>Luna-202清洗剂，与水按1:15配制后使用，清洗剂年用量3t，则配制用水量为45t，</w:t>
            </w:r>
            <w:r>
              <w:rPr>
                <w:rFonts w:hint="eastAsia" w:eastAsia="仿宋" w:cs="Times New Roman"/>
                <w:color w:val="auto"/>
                <w:sz w:val="24"/>
                <w:szCs w:val="24"/>
                <w:lang w:val="en-US" w:eastAsia="zh-CN"/>
              </w:rPr>
              <w:t>损耗量约39.36t/a，</w:t>
            </w:r>
            <w:r>
              <w:rPr>
                <w:rFonts w:hint="default" w:ascii="Times New Roman" w:hAnsi="Times New Roman" w:eastAsia="仿宋" w:cs="Times New Roman"/>
                <w:color w:val="auto"/>
                <w:sz w:val="24"/>
                <w:szCs w:val="24"/>
                <w:lang w:val="en-US" w:eastAsia="zh-CN"/>
              </w:rPr>
              <w:t>清洗用水循环使用，每半个月更换一次。清洗槽和漂洗槽容积均为0.08m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（0.5m×0.4m×0.4m），单台六槽超声波清洗机设有2个清洗槽、1个漂洗槽、</w:t>
            </w:r>
            <w:r>
              <w:rPr>
                <w:rFonts w:hint="eastAsia" w:eastAsia="仿宋" w:cs="Times New Roman"/>
                <w:color w:val="auto"/>
                <w:sz w:val="24"/>
                <w:szCs w:val="24"/>
                <w:lang w:val="en-US" w:eastAsia="zh-CN"/>
              </w:rPr>
              <w:t>3</w:t>
            </w:r>
            <w:r>
              <w:rPr>
                <w:rFonts w:hint="default" w:ascii="Times New Roman" w:hAnsi="Times New Roman" w:eastAsia="仿宋" w:cs="Times New Roman"/>
                <w:color w:val="auto"/>
                <w:sz w:val="24"/>
                <w:szCs w:val="24"/>
                <w:lang w:val="en-US" w:eastAsia="zh-CN"/>
              </w:rPr>
              <w:t>个沥干槽，清洗槽和漂洗槽有效容积为50%，则单台清洗机内水量为0.12m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，本项目共设有3台六槽超声波清洗机，则清洗废液产生量为0.12m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×3×24=8.64m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w:t>
            </w:r>
            <w:r>
              <w:rPr>
                <w:rFonts w:hint="default" w:ascii="Times New Roman" w:hAnsi="Times New Roman" w:eastAsia="仿宋" w:cs="Times New Roman"/>
                <w:color w:val="auto"/>
                <w:sz w:val="24"/>
                <w:szCs w:val="24"/>
                <w:highlight w:val="none"/>
                <w:lang w:val="en-US" w:eastAsia="zh-CN"/>
              </w:rPr>
              <w:t>作为危废处置</w:t>
            </w:r>
            <w:r>
              <w:rPr>
                <w:rFonts w:hint="default" w:ascii="Times New Roman" w:hAnsi="Times New Roman" w:eastAsia="仿宋" w:cs="Times New Roman"/>
                <w:color w:val="auto"/>
                <w:sz w:val="24"/>
                <w:szCs w:val="24"/>
                <w:highlight w:val="none"/>
              </w:rPr>
              <w:t>。</w:t>
            </w:r>
          </w:p>
          <w:p w14:paraId="10F8D42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）生活污水</w:t>
            </w:r>
          </w:p>
          <w:p w14:paraId="7C003C8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w:t>
            </w:r>
            <w:r>
              <w:rPr>
                <w:rFonts w:hint="eastAsia" w:eastAsia="仿宋" w:cs="Times New Roman"/>
                <w:color w:val="auto"/>
                <w:sz w:val="24"/>
                <w:szCs w:val="24"/>
                <w:lang w:val="en-US" w:eastAsia="zh-CN"/>
              </w:rPr>
              <w:t>建成后全厂</w:t>
            </w:r>
            <w:r>
              <w:rPr>
                <w:rFonts w:hint="default" w:ascii="Times New Roman" w:hAnsi="Times New Roman" w:eastAsia="仿宋" w:cs="Times New Roman"/>
                <w:color w:val="auto"/>
                <w:sz w:val="24"/>
                <w:szCs w:val="24"/>
              </w:rPr>
              <w:t>员工</w:t>
            </w:r>
            <w:r>
              <w:rPr>
                <w:rFonts w:hint="default" w:ascii="Times New Roman" w:hAnsi="Times New Roman" w:eastAsia="仿宋" w:cs="Times New Roman"/>
                <w:color w:val="auto"/>
                <w:sz w:val="24"/>
                <w:szCs w:val="24"/>
                <w:lang w:val="en-US" w:eastAsia="zh-CN"/>
              </w:rPr>
              <w:t>80</w:t>
            </w:r>
            <w:r>
              <w:rPr>
                <w:rFonts w:hint="default" w:ascii="Times New Roman" w:hAnsi="Times New Roman" w:eastAsia="仿宋" w:cs="Times New Roman"/>
                <w:color w:val="auto"/>
                <w:sz w:val="24"/>
                <w:szCs w:val="24"/>
              </w:rPr>
              <w:t>人，年工作</w:t>
            </w:r>
            <w:r>
              <w:rPr>
                <w:rFonts w:hint="default" w:ascii="Times New Roman" w:hAnsi="Times New Roman" w:eastAsia="仿宋" w:cs="Times New Roman"/>
                <w:color w:val="auto"/>
                <w:sz w:val="24"/>
                <w:szCs w:val="24"/>
                <w:lang w:val="en-US" w:eastAsia="zh-CN"/>
              </w:rPr>
              <w:t>300</w:t>
            </w:r>
            <w:r>
              <w:rPr>
                <w:rFonts w:hint="default" w:ascii="Times New Roman" w:hAnsi="Times New Roman" w:eastAsia="仿宋" w:cs="Times New Roman"/>
                <w:color w:val="auto"/>
                <w:sz w:val="24"/>
                <w:szCs w:val="24"/>
              </w:rPr>
              <w:t>天，不设宿舍</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浴室，</w:t>
            </w:r>
            <w:r>
              <w:rPr>
                <w:rFonts w:hint="eastAsia" w:eastAsia="仿宋" w:cs="Times New Roman"/>
                <w:color w:val="auto"/>
                <w:sz w:val="24"/>
                <w:szCs w:val="24"/>
                <w:lang w:val="en-US" w:eastAsia="zh-CN"/>
              </w:rPr>
              <w:t>食堂仅提供用餐场所，不进行烹饪作业，</w:t>
            </w:r>
            <w:r>
              <w:rPr>
                <w:rFonts w:hint="default" w:ascii="Times New Roman" w:hAnsi="Times New Roman" w:eastAsia="仿宋" w:cs="Times New Roman"/>
                <w:color w:val="auto"/>
                <w:sz w:val="24"/>
                <w:szCs w:val="24"/>
              </w:rPr>
              <w:t>用水定额按1</w:t>
            </w:r>
            <w:r>
              <w:rPr>
                <w:rFonts w:hint="default" w:ascii="Times New Roman" w:hAnsi="Times New Roman" w:eastAsia="仿宋" w:cs="Times New Roman"/>
                <w:color w:val="auto"/>
                <w:sz w:val="24"/>
                <w:szCs w:val="24"/>
                <w:lang w:val="en-US" w:eastAsia="zh-CN"/>
              </w:rPr>
              <w:t>0</w:t>
            </w:r>
            <w:r>
              <w:rPr>
                <w:rFonts w:hint="default" w:ascii="Times New Roman" w:hAnsi="Times New Roman" w:eastAsia="仿宋" w:cs="Times New Roman"/>
                <w:color w:val="auto"/>
                <w:sz w:val="24"/>
                <w:szCs w:val="24"/>
              </w:rPr>
              <w:t>0L/（人•天）计，则用水量为</w:t>
            </w:r>
            <w:r>
              <w:rPr>
                <w:rFonts w:hint="default" w:ascii="Times New Roman" w:hAnsi="Times New Roman" w:eastAsia="仿宋" w:cs="Times New Roman"/>
                <w:color w:val="auto"/>
                <w:sz w:val="24"/>
                <w:szCs w:val="24"/>
                <w:lang w:val="en-US" w:eastAsia="zh-CN"/>
              </w:rPr>
              <w:t>2400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/a，排放系数取0.8，则排水量为</w:t>
            </w:r>
            <w:r>
              <w:rPr>
                <w:rFonts w:hint="default" w:ascii="Times New Roman" w:hAnsi="Times New Roman" w:eastAsia="仿宋" w:cs="Times New Roman"/>
                <w:color w:val="auto"/>
                <w:sz w:val="24"/>
                <w:szCs w:val="24"/>
                <w:lang w:val="en-US" w:eastAsia="zh-CN"/>
              </w:rPr>
              <w:t>1920</w:t>
            </w:r>
            <w:r>
              <w:rPr>
                <w:rFonts w:hint="default" w:ascii="Times New Roman" w:hAnsi="Times New Roman" w:eastAsia="仿宋" w:cs="Times New Roman"/>
                <w:color w:val="auto"/>
                <w:sz w:val="24"/>
                <w:szCs w:val="24"/>
              </w:rPr>
              <w:t>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/a，经厂区污水管网收集后接管至滨湖污水处理厂处理，最终排入新京杭运河。</w:t>
            </w:r>
          </w:p>
          <w:p w14:paraId="3B85118A">
            <w:pPr>
              <w:pStyle w:val="3"/>
              <w:numPr>
                <w:ilvl w:val="0"/>
                <w:numId w:val="0"/>
              </w:numPr>
              <w:rPr>
                <w:rFonts w:hint="default" w:ascii="Times New Roman" w:hAnsi="Times New Roman" w:eastAsia="仿宋" w:cs="Times New Roman"/>
                <w:color w:val="auto"/>
                <w:szCs w:val="21"/>
              </w:rPr>
            </w:pPr>
          </w:p>
          <w:p w14:paraId="0E3961CC">
            <w:pPr>
              <w:pStyle w:val="3"/>
              <w:numPr>
                <w:ilvl w:val="0"/>
                <w:numId w:val="0"/>
              </w:numPr>
              <w:rPr>
                <w:rFonts w:hint="default" w:ascii="Times New Roman" w:hAnsi="Times New Roman" w:eastAsia="仿宋" w:cs="Times New Roman"/>
                <w:color w:val="auto"/>
                <w:szCs w:val="21"/>
              </w:rPr>
            </w:pPr>
          </w:p>
          <w:p w14:paraId="0C1D6A67">
            <w:pPr>
              <w:pStyle w:val="3"/>
              <w:numPr>
                <w:ilvl w:val="0"/>
                <w:numId w:val="0"/>
              </w:numPr>
              <w:rPr>
                <w:rFonts w:hint="default" w:ascii="Times New Roman" w:hAnsi="Times New Roman" w:eastAsia="仿宋" w:cs="Times New Roman"/>
                <w:color w:val="auto"/>
                <w:szCs w:val="21"/>
              </w:rPr>
            </w:pPr>
          </w:p>
          <w:p w14:paraId="1DA1FB67">
            <w:pPr>
              <w:pStyle w:val="3"/>
              <w:numPr>
                <w:ilvl w:val="0"/>
                <w:numId w:val="0"/>
              </w:numPr>
              <w:rPr>
                <w:rFonts w:hint="default" w:ascii="Times New Roman" w:hAnsi="Times New Roman" w:eastAsia="仿宋" w:cs="Times New Roman"/>
                <w:color w:val="auto"/>
                <w:szCs w:val="21"/>
              </w:rPr>
            </w:pPr>
          </w:p>
          <w:p w14:paraId="2400A808">
            <w:pPr>
              <w:pStyle w:val="3"/>
              <w:numPr>
                <w:ilvl w:val="0"/>
                <w:numId w:val="0"/>
              </w:numPr>
              <w:rPr>
                <w:rFonts w:hint="default" w:ascii="Times New Roman" w:hAnsi="Times New Roman" w:eastAsia="仿宋" w:cs="Times New Roman"/>
                <w:color w:val="auto"/>
                <w:szCs w:val="21"/>
              </w:rPr>
            </w:pPr>
          </w:p>
          <w:p w14:paraId="2BCEC611">
            <w:pPr>
              <w:pStyle w:val="3"/>
              <w:numPr>
                <w:ilvl w:val="0"/>
                <w:numId w:val="0"/>
              </w:numPr>
              <w:rPr>
                <w:rFonts w:hint="default" w:ascii="Times New Roman" w:hAnsi="Times New Roman" w:eastAsia="仿宋" w:cs="Times New Roman"/>
                <w:color w:val="auto"/>
                <w:szCs w:val="21"/>
              </w:rPr>
            </w:pPr>
          </w:p>
          <w:p w14:paraId="0B6E5BBD">
            <w:pPr>
              <w:pStyle w:val="3"/>
              <w:numPr>
                <w:ilvl w:val="0"/>
                <w:numId w:val="0"/>
              </w:numPr>
              <w:rPr>
                <w:rFonts w:hint="default" w:ascii="Times New Roman" w:hAnsi="Times New Roman" w:eastAsia="仿宋" w:cs="Times New Roman"/>
                <w:color w:val="auto"/>
                <w:szCs w:val="21"/>
              </w:rPr>
            </w:pPr>
          </w:p>
        </w:tc>
      </w:tr>
    </w:tbl>
    <w:p w14:paraId="5D880C1D">
      <w:pPr>
        <w:tabs>
          <w:tab w:val="left" w:pos="810"/>
        </w:tabs>
        <w:adjustRightInd w:val="0"/>
        <w:snapToGrid w:val="0"/>
        <w:spacing w:line="360" w:lineRule="auto"/>
        <w:rPr>
          <w:rFonts w:hint="default" w:ascii="Times New Roman" w:hAnsi="Times New Roman" w:eastAsia="仿宋"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2117"/>
      </w:tblGrid>
      <w:tr w14:paraId="50293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11" w:type="dxa"/>
            <w:noWrap w:val="0"/>
            <w:vAlign w:val="center"/>
          </w:tcPr>
          <w:p w14:paraId="003B439B">
            <w:pPr>
              <w:adjustRightInd w:val="0"/>
              <w:snapToGrid w:val="0"/>
              <w:jc w:val="center"/>
              <w:rPr>
                <w:rFonts w:hint="default" w:ascii="Times New Roman" w:hAnsi="Times New Roman" w:eastAsia="仿宋" w:cs="Times New Roman"/>
                <w:color w:val="auto"/>
                <w:sz w:val="24"/>
                <w:szCs w:val="32"/>
              </w:rPr>
            </w:pPr>
            <w:r>
              <w:rPr>
                <w:rFonts w:hint="default" w:ascii="Times New Roman" w:hAnsi="Times New Roman" w:eastAsia="仿宋" w:cs="Times New Roman"/>
                <w:bCs/>
                <w:color w:val="auto"/>
                <w:sz w:val="24"/>
                <w:szCs w:val="24"/>
              </w:rPr>
              <w:t>运营期环境影响和保护措施</w:t>
            </w:r>
          </w:p>
        </w:tc>
        <w:tc>
          <w:tcPr>
            <w:tcW w:w="12117" w:type="dxa"/>
            <w:noWrap w:val="0"/>
            <w:vAlign w:val="top"/>
          </w:tcPr>
          <w:p w14:paraId="11D6F854">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.2废污水排放情况</w:t>
            </w:r>
          </w:p>
          <w:p w14:paraId="3FC6D61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本项目水污染物产生及排放情况见表4-</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w:t>
            </w:r>
          </w:p>
          <w:p w14:paraId="14148F48">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w:t>
            </w:r>
            <w:r>
              <w:rPr>
                <w:rFonts w:hint="default" w:ascii="Times New Roman" w:hAnsi="Times New Roman" w:eastAsia="仿宋" w:cs="Times New Roman"/>
                <w:b/>
                <w:color w:val="auto"/>
                <w:szCs w:val="21"/>
                <w:lang w:val="en-US" w:eastAsia="zh-CN"/>
              </w:rPr>
              <w:t>1</w:t>
            </w:r>
            <w:r>
              <w:rPr>
                <w:rFonts w:hint="default" w:ascii="Times New Roman" w:hAnsi="Times New Roman" w:eastAsia="仿宋" w:cs="Times New Roman"/>
                <w:b/>
                <w:color w:val="auto"/>
                <w:szCs w:val="21"/>
              </w:rPr>
              <w:t xml:space="preserve">  本项目水污染物产生及排放量一览表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1376"/>
              <w:gridCol w:w="1371"/>
              <w:gridCol w:w="1473"/>
              <w:gridCol w:w="1321"/>
              <w:gridCol w:w="1112"/>
              <w:gridCol w:w="1495"/>
              <w:gridCol w:w="1397"/>
              <w:gridCol w:w="1288"/>
            </w:tblGrid>
            <w:tr w14:paraId="3F7C6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vMerge w:val="restart"/>
                  <w:noWrap w:val="0"/>
                  <w:vAlign w:val="center"/>
                </w:tcPr>
                <w:p w14:paraId="14C2E95B">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废水</w:t>
                  </w:r>
                </w:p>
                <w:p w14:paraId="4CC0B1A3">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来源</w:t>
                  </w:r>
                </w:p>
              </w:tc>
              <w:tc>
                <w:tcPr>
                  <w:tcW w:w="578" w:type="pct"/>
                  <w:vMerge w:val="restart"/>
                  <w:noWrap w:val="0"/>
                  <w:vAlign w:val="center"/>
                </w:tcPr>
                <w:p w14:paraId="12E473B9">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废水量</w:t>
                  </w:r>
                  <w:r>
                    <w:rPr>
                      <w:rFonts w:hint="default" w:ascii="Times New Roman" w:hAnsi="Times New Roman" w:eastAsia="仿宋" w:cs="Times New Roman"/>
                      <w:b/>
                      <w:color w:val="auto"/>
                      <w:spacing w:val="-6"/>
                      <w:kern w:val="0"/>
                      <w:sz w:val="21"/>
                      <w:szCs w:val="21"/>
                    </w:rPr>
                    <w:t>（</w:t>
                  </w:r>
                  <w:r>
                    <w:rPr>
                      <w:rFonts w:hint="default" w:ascii="Times New Roman" w:hAnsi="Times New Roman" w:eastAsia="仿宋" w:cs="Times New Roman"/>
                      <w:b/>
                      <w:color w:val="auto"/>
                      <w:spacing w:val="-6"/>
                      <w:sz w:val="21"/>
                      <w:szCs w:val="21"/>
                    </w:rPr>
                    <w:t>m</w:t>
                  </w:r>
                  <w:r>
                    <w:rPr>
                      <w:rFonts w:hint="default" w:ascii="Times New Roman" w:hAnsi="Times New Roman" w:eastAsia="仿宋" w:cs="Times New Roman"/>
                      <w:b/>
                      <w:color w:val="auto"/>
                      <w:spacing w:val="-6"/>
                      <w:sz w:val="21"/>
                      <w:szCs w:val="21"/>
                      <w:vertAlign w:val="superscript"/>
                    </w:rPr>
                    <w:t>3</w:t>
                  </w:r>
                  <w:r>
                    <w:rPr>
                      <w:rFonts w:hint="default" w:ascii="Times New Roman" w:hAnsi="Times New Roman" w:eastAsia="仿宋" w:cs="Times New Roman"/>
                      <w:b/>
                      <w:color w:val="auto"/>
                      <w:spacing w:val="-6"/>
                      <w:kern w:val="0"/>
                      <w:sz w:val="21"/>
                      <w:szCs w:val="21"/>
                    </w:rPr>
                    <w:t>/a）</w:t>
                  </w:r>
                </w:p>
              </w:tc>
              <w:tc>
                <w:tcPr>
                  <w:tcW w:w="576" w:type="pct"/>
                  <w:vMerge w:val="restart"/>
                  <w:noWrap w:val="0"/>
                  <w:vAlign w:val="center"/>
                </w:tcPr>
                <w:p w14:paraId="6C16F715">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污染物</w:t>
                  </w:r>
                </w:p>
                <w:p w14:paraId="0C8B4217">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名称</w:t>
                  </w:r>
                </w:p>
              </w:tc>
              <w:tc>
                <w:tcPr>
                  <w:tcW w:w="1174" w:type="pct"/>
                  <w:gridSpan w:val="2"/>
                  <w:noWrap w:val="0"/>
                  <w:vAlign w:val="center"/>
                </w:tcPr>
                <w:p w14:paraId="2504A590">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污染物产生量</w:t>
                  </w:r>
                </w:p>
              </w:tc>
              <w:tc>
                <w:tcPr>
                  <w:tcW w:w="467" w:type="pct"/>
                  <w:vMerge w:val="restart"/>
                  <w:noWrap w:val="0"/>
                  <w:vAlign w:val="center"/>
                </w:tcPr>
                <w:p w14:paraId="0269D22B">
                  <w:pPr>
                    <w:widowControl/>
                    <w:spacing w:line="240" w:lineRule="auto"/>
                    <w:jc w:val="center"/>
                    <w:rPr>
                      <w:rFonts w:hint="default" w:ascii="Times New Roman" w:hAnsi="Times New Roman" w:eastAsia="仿宋" w:cs="Times New Roman"/>
                      <w:b/>
                      <w:color w:val="auto"/>
                      <w:spacing w:val="-6"/>
                      <w:sz w:val="21"/>
                      <w:szCs w:val="21"/>
                    </w:rPr>
                  </w:pPr>
                  <w:r>
                    <w:rPr>
                      <w:rFonts w:hint="default" w:ascii="Times New Roman" w:hAnsi="Times New Roman" w:eastAsia="仿宋" w:cs="Times New Roman"/>
                      <w:b/>
                      <w:color w:val="auto"/>
                      <w:spacing w:val="-6"/>
                      <w:sz w:val="21"/>
                      <w:szCs w:val="21"/>
                    </w:rPr>
                    <w:t>治理措施</w:t>
                  </w:r>
                </w:p>
              </w:tc>
              <w:tc>
                <w:tcPr>
                  <w:tcW w:w="1215" w:type="pct"/>
                  <w:gridSpan w:val="2"/>
                  <w:noWrap w:val="0"/>
                  <w:vAlign w:val="center"/>
                </w:tcPr>
                <w:p w14:paraId="6D2818C4">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污染物排放量</w:t>
                  </w:r>
                </w:p>
              </w:tc>
              <w:tc>
                <w:tcPr>
                  <w:tcW w:w="541" w:type="pct"/>
                  <w:vMerge w:val="restart"/>
                  <w:noWrap w:val="0"/>
                  <w:vAlign w:val="center"/>
                </w:tcPr>
                <w:p w14:paraId="68791A28">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排放</w:t>
                  </w:r>
                </w:p>
                <w:p w14:paraId="704D762B">
                  <w:pPr>
                    <w:widowControl/>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b/>
                      <w:color w:val="auto"/>
                      <w:kern w:val="0"/>
                      <w:sz w:val="21"/>
                      <w:szCs w:val="21"/>
                    </w:rPr>
                    <w:t>去向</w:t>
                  </w:r>
                </w:p>
              </w:tc>
            </w:tr>
            <w:tr w14:paraId="4A68FB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7" w:type="pct"/>
                  <w:vMerge w:val="continue"/>
                  <w:noWrap w:val="0"/>
                  <w:vAlign w:val="center"/>
                </w:tcPr>
                <w:p w14:paraId="58EE7804">
                  <w:pPr>
                    <w:widowControl/>
                    <w:spacing w:line="240" w:lineRule="auto"/>
                    <w:jc w:val="center"/>
                    <w:rPr>
                      <w:rFonts w:hint="default" w:ascii="Times New Roman" w:hAnsi="Times New Roman" w:eastAsia="仿宋" w:cs="Times New Roman"/>
                      <w:b/>
                      <w:color w:val="auto"/>
                      <w:kern w:val="0"/>
                      <w:sz w:val="21"/>
                      <w:szCs w:val="21"/>
                    </w:rPr>
                  </w:pPr>
                </w:p>
              </w:tc>
              <w:tc>
                <w:tcPr>
                  <w:tcW w:w="578" w:type="pct"/>
                  <w:vMerge w:val="continue"/>
                  <w:noWrap w:val="0"/>
                  <w:vAlign w:val="center"/>
                </w:tcPr>
                <w:p w14:paraId="091BC015">
                  <w:pPr>
                    <w:widowControl/>
                    <w:spacing w:line="240" w:lineRule="auto"/>
                    <w:jc w:val="center"/>
                    <w:rPr>
                      <w:rFonts w:hint="default" w:ascii="Times New Roman" w:hAnsi="Times New Roman" w:eastAsia="仿宋" w:cs="Times New Roman"/>
                      <w:b/>
                      <w:color w:val="auto"/>
                      <w:kern w:val="0"/>
                      <w:sz w:val="21"/>
                      <w:szCs w:val="21"/>
                    </w:rPr>
                  </w:pPr>
                </w:p>
              </w:tc>
              <w:tc>
                <w:tcPr>
                  <w:tcW w:w="576" w:type="pct"/>
                  <w:vMerge w:val="continue"/>
                  <w:noWrap w:val="0"/>
                  <w:vAlign w:val="center"/>
                </w:tcPr>
                <w:p w14:paraId="3992774F">
                  <w:pPr>
                    <w:widowControl/>
                    <w:spacing w:line="240" w:lineRule="auto"/>
                    <w:jc w:val="center"/>
                    <w:rPr>
                      <w:rFonts w:hint="default" w:ascii="Times New Roman" w:hAnsi="Times New Roman" w:eastAsia="仿宋" w:cs="Times New Roman"/>
                      <w:b/>
                      <w:color w:val="auto"/>
                      <w:kern w:val="0"/>
                      <w:sz w:val="21"/>
                      <w:szCs w:val="21"/>
                    </w:rPr>
                  </w:pPr>
                </w:p>
              </w:tc>
              <w:tc>
                <w:tcPr>
                  <w:tcW w:w="619" w:type="pct"/>
                  <w:noWrap w:val="0"/>
                  <w:vAlign w:val="center"/>
                </w:tcPr>
                <w:p w14:paraId="1AF85FD3">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浓度</w:t>
                  </w:r>
                </w:p>
                <w:p w14:paraId="308E2012">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pacing w:val="-6"/>
                      <w:sz w:val="21"/>
                      <w:szCs w:val="21"/>
                    </w:rPr>
                    <w:t>（mg/L）</w:t>
                  </w:r>
                </w:p>
              </w:tc>
              <w:tc>
                <w:tcPr>
                  <w:tcW w:w="555" w:type="pct"/>
                  <w:noWrap w:val="0"/>
                  <w:vAlign w:val="center"/>
                </w:tcPr>
                <w:p w14:paraId="24E950E1">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产生量</w:t>
                  </w:r>
                </w:p>
                <w:p w14:paraId="42800612">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pacing w:val="-6"/>
                      <w:sz w:val="21"/>
                      <w:szCs w:val="21"/>
                    </w:rPr>
                    <w:t>（t/a）</w:t>
                  </w:r>
                </w:p>
              </w:tc>
              <w:tc>
                <w:tcPr>
                  <w:tcW w:w="467" w:type="pct"/>
                  <w:vMerge w:val="continue"/>
                  <w:noWrap w:val="0"/>
                  <w:vAlign w:val="center"/>
                </w:tcPr>
                <w:p w14:paraId="23440D3F">
                  <w:pPr>
                    <w:widowControl/>
                    <w:spacing w:line="240" w:lineRule="auto"/>
                    <w:jc w:val="center"/>
                    <w:rPr>
                      <w:rFonts w:hint="default" w:ascii="Times New Roman" w:hAnsi="Times New Roman" w:eastAsia="仿宋" w:cs="Times New Roman"/>
                      <w:b/>
                      <w:color w:val="auto"/>
                      <w:kern w:val="0"/>
                      <w:sz w:val="21"/>
                      <w:szCs w:val="21"/>
                    </w:rPr>
                  </w:pPr>
                </w:p>
              </w:tc>
              <w:tc>
                <w:tcPr>
                  <w:tcW w:w="628" w:type="pct"/>
                  <w:noWrap w:val="0"/>
                  <w:vAlign w:val="center"/>
                </w:tcPr>
                <w:p w14:paraId="7B73D60E">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浓度</w:t>
                  </w:r>
                </w:p>
                <w:p w14:paraId="1BF50DAE">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spacing w:val="-6"/>
                      <w:kern w:val="0"/>
                      <w:sz w:val="21"/>
                      <w:szCs w:val="21"/>
                    </w:rPr>
                    <w:t>（mg/L）</w:t>
                  </w:r>
                </w:p>
              </w:tc>
              <w:tc>
                <w:tcPr>
                  <w:tcW w:w="586" w:type="pct"/>
                  <w:noWrap w:val="0"/>
                  <w:vAlign w:val="center"/>
                </w:tcPr>
                <w:p w14:paraId="2CC22DCC">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排放量</w:t>
                  </w:r>
                </w:p>
                <w:p w14:paraId="7C50AA9E">
                  <w:pPr>
                    <w:widowControl/>
                    <w:spacing w:line="240" w:lineRule="auto"/>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（t/a）</w:t>
                  </w:r>
                </w:p>
              </w:tc>
              <w:tc>
                <w:tcPr>
                  <w:tcW w:w="541" w:type="pct"/>
                  <w:vMerge w:val="continue"/>
                  <w:noWrap w:val="0"/>
                  <w:vAlign w:val="center"/>
                </w:tcPr>
                <w:p w14:paraId="5C6098A2">
                  <w:pPr>
                    <w:widowControl/>
                    <w:spacing w:line="240" w:lineRule="auto"/>
                    <w:jc w:val="center"/>
                    <w:rPr>
                      <w:rFonts w:hint="default" w:ascii="Times New Roman" w:hAnsi="Times New Roman" w:eastAsia="仿宋" w:cs="Times New Roman"/>
                      <w:color w:val="auto"/>
                      <w:kern w:val="0"/>
                      <w:sz w:val="21"/>
                      <w:szCs w:val="21"/>
                    </w:rPr>
                  </w:pPr>
                </w:p>
              </w:tc>
            </w:tr>
            <w:tr w14:paraId="2C4C51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restart"/>
                  <w:noWrap w:val="0"/>
                  <w:vAlign w:val="center"/>
                </w:tcPr>
                <w:p w14:paraId="702A2A20">
                  <w:pPr>
                    <w:widowControl/>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生活污水</w:t>
                  </w:r>
                </w:p>
              </w:tc>
              <w:tc>
                <w:tcPr>
                  <w:tcW w:w="578" w:type="pct"/>
                  <w:vMerge w:val="restart"/>
                  <w:noWrap w:val="0"/>
                  <w:vAlign w:val="center"/>
                </w:tcPr>
                <w:p w14:paraId="137F85E4">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1920</w:t>
                  </w:r>
                </w:p>
              </w:tc>
              <w:tc>
                <w:tcPr>
                  <w:tcW w:w="576" w:type="pct"/>
                  <w:noWrap w:val="0"/>
                  <w:vAlign w:val="center"/>
                </w:tcPr>
                <w:p w14:paraId="348403DE">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COD</w:t>
                  </w:r>
                </w:p>
              </w:tc>
              <w:tc>
                <w:tcPr>
                  <w:tcW w:w="619" w:type="pct"/>
                  <w:noWrap w:val="0"/>
                  <w:vAlign w:val="center"/>
                </w:tcPr>
                <w:p w14:paraId="0A8BDCFE">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c>
                <w:tcPr>
                  <w:tcW w:w="873" w:type="dxa"/>
                  <w:noWrap w:val="0"/>
                  <w:vAlign w:val="center"/>
                </w:tcPr>
                <w:p w14:paraId="76811B50">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0.768</w:t>
                  </w:r>
                </w:p>
              </w:tc>
              <w:tc>
                <w:tcPr>
                  <w:tcW w:w="467" w:type="pct"/>
                  <w:vMerge w:val="restart"/>
                  <w:noWrap w:val="0"/>
                  <w:vAlign w:val="center"/>
                </w:tcPr>
                <w:p w14:paraId="2DF88D3A">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628" w:type="pct"/>
                  <w:noWrap w:val="0"/>
                  <w:vAlign w:val="center"/>
                </w:tcPr>
                <w:p w14:paraId="26C38447">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c>
                <w:tcPr>
                  <w:tcW w:w="924" w:type="dxa"/>
                  <w:noWrap w:val="0"/>
                  <w:vAlign w:val="center"/>
                </w:tcPr>
                <w:p w14:paraId="53C1F90A">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0.768</w:t>
                  </w:r>
                </w:p>
              </w:tc>
              <w:tc>
                <w:tcPr>
                  <w:tcW w:w="541" w:type="pct"/>
                  <w:vMerge w:val="restart"/>
                  <w:noWrap w:val="0"/>
                  <w:vAlign w:val="center"/>
                </w:tcPr>
                <w:p w14:paraId="64B711AE">
                  <w:pPr>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滨湖污水处理厂</w:t>
                  </w:r>
                </w:p>
              </w:tc>
            </w:tr>
            <w:tr w14:paraId="3FC6D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14D7B029">
                  <w:pPr>
                    <w:widowControl/>
                    <w:spacing w:line="240" w:lineRule="auto"/>
                    <w:jc w:val="center"/>
                    <w:rPr>
                      <w:rFonts w:hint="default" w:ascii="Times New Roman" w:hAnsi="Times New Roman" w:eastAsia="仿宋" w:cs="Times New Roman"/>
                      <w:color w:val="auto"/>
                      <w:kern w:val="0"/>
                      <w:sz w:val="21"/>
                      <w:szCs w:val="21"/>
                    </w:rPr>
                  </w:pPr>
                </w:p>
              </w:tc>
              <w:tc>
                <w:tcPr>
                  <w:tcW w:w="578" w:type="pct"/>
                  <w:vMerge w:val="continue"/>
                  <w:noWrap w:val="0"/>
                  <w:vAlign w:val="center"/>
                </w:tcPr>
                <w:p w14:paraId="713D3724">
                  <w:pPr>
                    <w:widowControl/>
                    <w:spacing w:line="240" w:lineRule="auto"/>
                    <w:jc w:val="center"/>
                    <w:rPr>
                      <w:rFonts w:hint="default" w:ascii="Times New Roman" w:hAnsi="Times New Roman" w:eastAsia="仿宋" w:cs="Times New Roman"/>
                      <w:color w:val="auto"/>
                      <w:kern w:val="0"/>
                      <w:sz w:val="21"/>
                      <w:szCs w:val="21"/>
                    </w:rPr>
                  </w:pPr>
                </w:p>
              </w:tc>
              <w:tc>
                <w:tcPr>
                  <w:tcW w:w="576" w:type="pct"/>
                  <w:noWrap w:val="0"/>
                  <w:vAlign w:val="center"/>
                </w:tcPr>
                <w:p w14:paraId="0676E6C5">
                  <w:pPr>
                    <w:widowControl/>
                    <w:adjustRightInd w:val="0"/>
                    <w:snapToGrid w:val="0"/>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SS</w:t>
                  </w:r>
                </w:p>
              </w:tc>
              <w:tc>
                <w:tcPr>
                  <w:tcW w:w="619" w:type="pct"/>
                  <w:noWrap w:val="0"/>
                  <w:vAlign w:val="center"/>
                </w:tcPr>
                <w:p w14:paraId="38256582">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300</w:t>
                  </w:r>
                </w:p>
              </w:tc>
              <w:tc>
                <w:tcPr>
                  <w:tcW w:w="873" w:type="dxa"/>
                  <w:noWrap w:val="0"/>
                  <w:vAlign w:val="center"/>
                </w:tcPr>
                <w:p w14:paraId="0A786C1D">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0.576</w:t>
                  </w:r>
                </w:p>
              </w:tc>
              <w:tc>
                <w:tcPr>
                  <w:tcW w:w="467" w:type="pct"/>
                  <w:vMerge w:val="continue"/>
                  <w:noWrap w:val="0"/>
                  <w:vAlign w:val="center"/>
                </w:tcPr>
                <w:p w14:paraId="22FE274B">
                  <w:pPr>
                    <w:spacing w:line="240" w:lineRule="auto"/>
                    <w:jc w:val="center"/>
                    <w:rPr>
                      <w:rFonts w:hint="default" w:ascii="Times New Roman" w:hAnsi="Times New Roman" w:eastAsia="仿宋" w:cs="Times New Roman"/>
                      <w:color w:val="auto"/>
                      <w:sz w:val="21"/>
                      <w:szCs w:val="21"/>
                    </w:rPr>
                  </w:pPr>
                </w:p>
              </w:tc>
              <w:tc>
                <w:tcPr>
                  <w:tcW w:w="628" w:type="pct"/>
                  <w:noWrap w:val="0"/>
                  <w:vAlign w:val="center"/>
                </w:tcPr>
                <w:p w14:paraId="20F80BDE">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300</w:t>
                  </w:r>
                </w:p>
              </w:tc>
              <w:tc>
                <w:tcPr>
                  <w:tcW w:w="924" w:type="dxa"/>
                  <w:noWrap w:val="0"/>
                  <w:vAlign w:val="center"/>
                </w:tcPr>
                <w:p w14:paraId="4B6739C6">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0.576</w:t>
                  </w:r>
                </w:p>
              </w:tc>
              <w:tc>
                <w:tcPr>
                  <w:tcW w:w="541" w:type="pct"/>
                  <w:vMerge w:val="continue"/>
                  <w:noWrap w:val="0"/>
                  <w:vAlign w:val="center"/>
                </w:tcPr>
                <w:p w14:paraId="174CE1C6">
                  <w:pPr>
                    <w:widowControl/>
                    <w:spacing w:line="240" w:lineRule="auto"/>
                    <w:jc w:val="center"/>
                    <w:rPr>
                      <w:rFonts w:hint="default" w:ascii="Times New Roman" w:hAnsi="Times New Roman" w:eastAsia="仿宋" w:cs="Times New Roman"/>
                      <w:color w:val="auto"/>
                      <w:kern w:val="0"/>
                      <w:sz w:val="21"/>
                      <w:szCs w:val="21"/>
                    </w:rPr>
                  </w:pPr>
                </w:p>
              </w:tc>
            </w:tr>
            <w:tr w14:paraId="212A9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18AA1451">
                  <w:pPr>
                    <w:widowControl/>
                    <w:spacing w:line="240" w:lineRule="auto"/>
                    <w:jc w:val="center"/>
                    <w:rPr>
                      <w:rFonts w:hint="default" w:ascii="Times New Roman" w:hAnsi="Times New Roman" w:eastAsia="仿宋" w:cs="Times New Roman"/>
                      <w:color w:val="auto"/>
                      <w:kern w:val="0"/>
                      <w:sz w:val="21"/>
                      <w:szCs w:val="21"/>
                    </w:rPr>
                  </w:pPr>
                </w:p>
              </w:tc>
              <w:tc>
                <w:tcPr>
                  <w:tcW w:w="578" w:type="pct"/>
                  <w:vMerge w:val="continue"/>
                  <w:noWrap w:val="0"/>
                  <w:vAlign w:val="center"/>
                </w:tcPr>
                <w:p w14:paraId="6F3A5F16">
                  <w:pPr>
                    <w:widowControl/>
                    <w:spacing w:line="240" w:lineRule="auto"/>
                    <w:jc w:val="center"/>
                    <w:rPr>
                      <w:rFonts w:hint="default" w:ascii="Times New Roman" w:hAnsi="Times New Roman" w:eastAsia="仿宋" w:cs="Times New Roman"/>
                      <w:color w:val="auto"/>
                      <w:kern w:val="0"/>
                      <w:sz w:val="21"/>
                      <w:szCs w:val="21"/>
                    </w:rPr>
                  </w:pPr>
                </w:p>
              </w:tc>
              <w:tc>
                <w:tcPr>
                  <w:tcW w:w="576" w:type="pct"/>
                  <w:noWrap w:val="0"/>
                  <w:vAlign w:val="center"/>
                </w:tcPr>
                <w:p w14:paraId="69670478">
                  <w:pPr>
                    <w:widowControl/>
                    <w:adjustRightInd w:val="0"/>
                    <w:snapToGrid w:val="0"/>
                    <w:spacing w:line="240" w:lineRule="auto"/>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sz w:val="21"/>
                      <w:szCs w:val="21"/>
                    </w:rPr>
                    <w:t>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w:t>
                  </w:r>
                </w:p>
              </w:tc>
              <w:tc>
                <w:tcPr>
                  <w:tcW w:w="619" w:type="pct"/>
                  <w:noWrap w:val="0"/>
                  <w:vAlign w:val="center"/>
                </w:tcPr>
                <w:p w14:paraId="59D4DD25">
                  <w:pPr>
                    <w:spacing w:line="240" w:lineRule="auto"/>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5</w:t>
                  </w:r>
                </w:p>
              </w:tc>
              <w:tc>
                <w:tcPr>
                  <w:tcW w:w="873" w:type="dxa"/>
                  <w:noWrap w:val="0"/>
                  <w:vAlign w:val="center"/>
                </w:tcPr>
                <w:p w14:paraId="322A6C5F">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0.048</w:t>
                  </w:r>
                </w:p>
              </w:tc>
              <w:tc>
                <w:tcPr>
                  <w:tcW w:w="467" w:type="pct"/>
                  <w:vMerge w:val="continue"/>
                  <w:noWrap w:val="0"/>
                  <w:vAlign w:val="center"/>
                </w:tcPr>
                <w:p w14:paraId="1975F30A">
                  <w:pPr>
                    <w:spacing w:line="240" w:lineRule="auto"/>
                    <w:jc w:val="center"/>
                    <w:rPr>
                      <w:rFonts w:hint="default" w:ascii="Times New Roman" w:hAnsi="Times New Roman" w:eastAsia="仿宋" w:cs="Times New Roman"/>
                      <w:color w:val="auto"/>
                      <w:sz w:val="21"/>
                      <w:szCs w:val="21"/>
                    </w:rPr>
                  </w:pPr>
                </w:p>
              </w:tc>
              <w:tc>
                <w:tcPr>
                  <w:tcW w:w="628" w:type="pct"/>
                  <w:noWrap w:val="0"/>
                  <w:vAlign w:val="center"/>
                </w:tcPr>
                <w:p w14:paraId="7D3D05F4">
                  <w:pPr>
                    <w:spacing w:line="240" w:lineRule="auto"/>
                    <w:jc w:val="center"/>
                    <w:rPr>
                      <w:rFonts w:hint="default" w:ascii="Times New Roman" w:hAnsi="Times New Roman" w:eastAsia="仿宋" w:cs="Times New Roman"/>
                      <w:color w:val="auto"/>
                      <w:sz w:val="21"/>
                      <w:szCs w:val="21"/>
                    </w:rPr>
                  </w:pPr>
                  <w:r>
                    <w:rPr>
                      <w:rFonts w:hint="eastAsia"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5</w:t>
                  </w:r>
                </w:p>
              </w:tc>
              <w:tc>
                <w:tcPr>
                  <w:tcW w:w="924" w:type="dxa"/>
                  <w:noWrap w:val="0"/>
                  <w:vAlign w:val="center"/>
                </w:tcPr>
                <w:p w14:paraId="52DBABC1">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0.048</w:t>
                  </w:r>
                </w:p>
              </w:tc>
              <w:tc>
                <w:tcPr>
                  <w:tcW w:w="541" w:type="pct"/>
                  <w:vMerge w:val="continue"/>
                  <w:noWrap w:val="0"/>
                  <w:vAlign w:val="center"/>
                </w:tcPr>
                <w:p w14:paraId="1B6BB453">
                  <w:pPr>
                    <w:widowControl/>
                    <w:spacing w:line="240" w:lineRule="auto"/>
                    <w:jc w:val="center"/>
                    <w:rPr>
                      <w:rFonts w:hint="default" w:ascii="Times New Roman" w:hAnsi="Times New Roman" w:eastAsia="仿宋" w:cs="Times New Roman"/>
                      <w:color w:val="auto"/>
                      <w:kern w:val="0"/>
                      <w:sz w:val="21"/>
                      <w:szCs w:val="21"/>
                    </w:rPr>
                  </w:pPr>
                </w:p>
              </w:tc>
            </w:tr>
            <w:tr w14:paraId="75E185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24164D4A">
                  <w:pPr>
                    <w:widowControl/>
                    <w:spacing w:line="240" w:lineRule="auto"/>
                    <w:jc w:val="center"/>
                    <w:rPr>
                      <w:rFonts w:hint="default" w:ascii="Times New Roman" w:hAnsi="Times New Roman" w:eastAsia="仿宋" w:cs="Times New Roman"/>
                      <w:color w:val="auto"/>
                      <w:kern w:val="0"/>
                      <w:sz w:val="21"/>
                      <w:szCs w:val="21"/>
                    </w:rPr>
                  </w:pPr>
                </w:p>
              </w:tc>
              <w:tc>
                <w:tcPr>
                  <w:tcW w:w="578" w:type="pct"/>
                  <w:vMerge w:val="continue"/>
                  <w:noWrap w:val="0"/>
                  <w:vAlign w:val="center"/>
                </w:tcPr>
                <w:p w14:paraId="616FB8F6">
                  <w:pPr>
                    <w:widowControl/>
                    <w:spacing w:line="240" w:lineRule="auto"/>
                    <w:jc w:val="center"/>
                    <w:rPr>
                      <w:rFonts w:hint="default" w:ascii="Times New Roman" w:hAnsi="Times New Roman" w:eastAsia="仿宋" w:cs="Times New Roman"/>
                      <w:color w:val="auto"/>
                      <w:kern w:val="0"/>
                      <w:sz w:val="21"/>
                      <w:szCs w:val="21"/>
                    </w:rPr>
                  </w:pPr>
                </w:p>
              </w:tc>
              <w:tc>
                <w:tcPr>
                  <w:tcW w:w="576" w:type="pct"/>
                  <w:noWrap w:val="0"/>
                  <w:vAlign w:val="center"/>
                </w:tcPr>
                <w:p w14:paraId="5622C4EA">
                  <w:pPr>
                    <w:widowControl/>
                    <w:adjustRightInd w:val="0"/>
                    <w:snapToGrid w:val="0"/>
                    <w:spacing w:line="240" w:lineRule="auto"/>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T</w:t>
                  </w:r>
                  <w:r>
                    <w:rPr>
                      <w:rFonts w:hint="default" w:ascii="Times New Roman" w:hAnsi="Times New Roman" w:eastAsia="仿宋" w:cs="Times New Roman"/>
                      <w:color w:val="auto"/>
                      <w:sz w:val="21"/>
                      <w:szCs w:val="21"/>
                      <w:lang w:val="en-US" w:eastAsia="zh-CN"/>
                    </w:rPr>
                    <w:t>N</w:t>
                  </w:r>
                </w:p>
              </w:tc>
              <w:tc>
                <w:tcPr>
                  <w:tcW w:w="619" w:type="pct"/>
                  <w:noWrap w:val="0"/>
                  <w:vAlign w:val="center"/>
                </w:tcPr>
                <w:p w14:paraId="74D950F3">
                  <w:pPr>
                    <w:spacing w:line="240" w:lineRule="auto"/>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5</w:t>
                  </w:r>
                  <w:r>
                    <w:rPr>
                      <w:rFonts w:hint="eastAsia" w:eastAsia="仿宋" w:cs="Times New Roman"/>
                      <w:color w:val="auto"/>
                      <w:sz w:val="21"/>
                      <w:szCs w:val="21"/>
                      <w:lang w:val="en-US" w:eastAsia="zh-CN"/>
                    </w:rPr>
                    <w:t>0</w:t>
                  </w:r>
                </w:p>
              </w:tc>
              <w:tc>
                <w:tcPr>
                  <w:tcW w:w="873" w:type="dxa"/>
                  <w:noWrap w:val="0"/>
                  <w:vAlign w:val="center"/>
                </w:tcPr>
                <w:p w14:paraId="515BD1E8">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0.096</w:t>
                  </w:r>
                </w:p>
              </w:tc>
              <w:tc>
                <w:tcPr>
                  <w:tcW w:w="467" w:type="pct"/>
                  <w:vMerge w:val="continue"/>
                  <w:noWrap w:val="0"/>
                  <w:vAlign w:val="center"/>
                </w:tcPr>
                <w:p w14:paraId="5C38CE33">
                  <w:pPr>
                    <w:spacing w:line="240" w:lineRule="auto"/>
                    <w:jc w:val="center"/>
                    <w:rPr>
                      <w:rFonts w:hint="default" w:ascii="Times New Roman" w:hAnsi="Times New Roman" w:eastAsia="仿宋" w:cs="Times New Roman"/>
                      <w:color w:val="auto"/>
                      <w:sz w:val="21"/>
                      <w:szCs w:val="21"/>
                    </w:rPr>
                  </w:pPr>
                </w:p>
              </w:tc>
              <w:tc>
                <w:tcPr>
                  <w:tcW w:w="628" w:type="pct"/>
                  <w:noWrap w:val="0"/>
                  <w:vAlign w:val="center"/>
                </w:tcPr>
                <w:p w14:paraId="704E0839">
                  <w:pPr>
                    <w:spacing w:line="240" w:lineRule="auto"/>
                    <w:jc w:val="center"/>
                    <w:rPr>
                      <w:rFonts w:hint="eastAsia"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5</w:t>
                  </w:r>
                  <w:r>
                    <w:rPr>
                      <w:rFonts w:hint="eastAsia" w:eastAsia="仿宋" w:cs="Times New Roman"/>
                      <w:color w:val="auto"/>
                      <w:sz w:val="21"/>
                      <w:szCs w:val="21"/>
                      <w:lang w:val="en-US" w:eastAsia="zh-CN"/>
                    </w:rPr>
                    <w:t>0</w:t>
                  </w:r>
                </w:p>
              </w:tc>
              <w:tc>
                <w:tcPr>
                  <w:tcW w:w="924" w:type="dxa"/>
                  <w:noWrap w:val="0"/>
                  <w:vAlign w:val="center"/>
                </w:tcPr>
                <w:p w14:paraId="10A4392D">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0.096</w:t>
                  </w:r>
                </w:p>
              </w:tc>
              <w:tc>
                <w:tcPr>
                  <w:tcW w:w="541" w:type="pct"/>
                  <w:vMerge w:val="continue"/>
                  <w:noWrap w:val="0"/>
                  <w:vAlign w:val="center"/>
                </w:tcPr>
                <w:p w14:paraId="1B1386C7">
                  <w:pPr>
                    <w:widowControl/>
                    <w:spacing w:line="240" w:lineRule="auto"/>
                    <w:jc w:val="center"/>
                    <w:rPr>
                      <w:rFonts w:hint="default" w:ascii="Times New Roman" w:hAnsi="Times New Roman" w:eastAsia="仿宋" w:cs="Times New Roman"/>
                      <w:color w:val="auto"/>
                      <w:kern w:val="0"/>
                      <w:sz w:val="21"/>
                      <w:szCs w:val="21"/>
                    </w:rPr>
                  </w:pPr>
                </w:p>
              </w:tc>
            </w:tr>
            <w:tr w14:paraId="0A55C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7" w:type="pct"/>
                  <w:vMerge w:val="continue"/>
                  <w:noWrap w:val="0"/>
                  <w:vAlign w:val="center"/>
                </w:tcPr>
                <w:p w14:paraId="6733D019">
                  <w:pPr>
                    <w:widowControl/>
                    <w:spacing w:line="240" w:lineRule="auto"/>
                    <w:jc w:val="center"/>
                    <w:rPr>
                      <w:rFonts w:hint="default" w:ascii="Times New Roman" w:hAnsi="Times New Roman" w:eastAsia="仿宋" w:cs="Times New Roman"/>
                      <w:color w:val="auto"/>
                      <w:kern w:val="0"/>
                      <w:sz w:val="21"/>
                      <w:szCs w:val="21"/>
                    </w:rPr>
                  </w:pPr>
                </w:p>
              </w:tc>
              <w:tc>
                <w:tcPr>
                  <w:tcW w:w="578" w:type="pct"/>
                  <w:vMerge w:val="continue"/>
                  <w:noWrap w:val="0"/>
                  <w:vAlign w:val="center"/>
                </w:tcPr>
                <w:p w14:paraId="0492A52D">
                  <w:pPr>
                    <w:widowControl/>
                    <w:spacing w:line="240" w:lineRule="auto"/>
                    <w:jc w:val="center"/>
                    <w:rPr>
                      <w:rFonts w:hint="default" w:ascii="Times New Roman" w:hAnsi="Times New Roman" w:eastAsia="仿宋" w:cs="Times New Roman"/>
                      <w:color w:val="auto"/>
                      <w:kern w:val="0"/>
                      <w:sz w:val="21"/>
                      <w:szCs w:val="21"/>
                    </w:rPr>
                  </w:pPr>
                </w:p>
              </w:tc>
              <w:tc>
                <w:tcPr>
                  <w:tcW w:w="576" w:type="pct"/>
                  <w:noWrap w:val="0"/>
                  <w:vAlign w:val="center"/>
                </w:tcPr>
                <w:p w14:paraId="07AD9DFE">
                  <w:pPr>
                    <w:widowControl/>
                    <w:adjustRightInd w:val="0"/>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rPr>
                    <w:t>T</w:t>
                  </w:r>
                  <w:r>
                    <w:rPr>
                      <w:rFonts w:hint="default" w:ascii="Times New Roman" w:hAnsi="Times New Roman" w:eastAsia="仿宋" w:cs="Times New Roman"/>
                      <w:color w:val="auto"/>
                      <w:sz w:val="21"/>
                      <w:szCs w:val="21"/>
                      <w:lang w:val="en-US" w:eastAsia="zh-CN"/>
                    </w:rPr>
                    <w:t>P</w:t>
                  </w:r>
                </w:p>
              </w:tc>
              <w:tc>
                <w:tcPr>
                  <w:tcW w:w="619" w:type="pct"/>
                  <w:noWrap w:val="0"/>
                  <w:vAlign w:val="center"/>
                </w:tcPr>
                <w:p w14:paraId="13BFF33E">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873" w:type="dxa"/>
                  <w:noWrap w:val="0"/>
                  <w:vAlign w:val="center"/>
                </w:tcPr>
                <w:p w14:paraId="5363F97B">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0.0096</w:t>
                  </w:r>
                </w:p>
              </w:tc>
              <w:tc>
                <w:tcPr>
                  <w:tcW w:w="467" w:type="pct"/>
                  <w:vMerge w:val="continue"/>
                  <w:noWrap w:val="0"/>
                  <w:vAlign w:val="center"/>
                </w:tcPr>
                <w:p w14:paraId="2F35CF83">
                  <w:pPr>
                    <w:spacing w:line="240" w:lineRule="auto"/>
                    <w:jc w:val="center"/>
                    <w:rPr>
                      <w:rFonts w:hint="default" w:ascii="Times New Roman" w:hAnsi="Times New Roman" w:eastAsia="仿宋" w:cs="Times New Roman"/>
                      <w:color w:val="auto"/>
                      <w:sz w:val="21"/>
                      <w:szCs w:val="21"/>
                    </w:rPr>
                  </w:pPr>
                </w:p>
              </w:tc>
              <w:tc>
                <w:tcPr>
                  <w:tcW w:w="628" w:type="pct"/>
                  <w:noWrap w:val="0"/>
                  <w:vAlign w:val="center"/>
                </w:tcPr>
                <w:p w14:paraId="16C04F29">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924" w:type="dxa"/>
                  <w:noWrap w:val="0"/>
                  <w:vAlign w:val="center"/>
                </w:tcPr>
                <w:p w14:paraId="5ED04720">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0.0096</w:t>
                  </w:r>
                </w:p>
              </w:tc>
              <w:tc>
                <w:tcPr>
                  <w:tcW w:w="541" w:type="pct"/>
                  <w:vMerge w:val="continue"/>
                  <w:noWrap w:val="0"/>
                  <w:vAlign w:val="center"/>
                </w:tcPr>
                <w:p w14:paraId="7A7A53EB">
                  <w:pPr>
                    <w:widowControl/>
                    <w:spacing w:line="240" w:lineRule="auto"/>
                    <w:jc w:val="center"/>
                    <w:rPr>
                      <w:rFonts w:hint="default" w:ascii="Times New Roman" w:hAnsi="Times New Roman" w:eastAsia="仿宋" w:cs="Times New Roman"/>
                      <w:color w:val="auto"/>
                      <w:kern w:val="0"/>
                      <w:sz w:val="21"/>
                      <w:szCs w:val="21"/>
                    </w:rPr>
                  </w:pPr>
                </w:p>
              </w:tc>
            </w:tr>
          </w:tbl>
          <w:p w14:paraId="54292A5C">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.3项目水污染物排放信息</w:t>
            </w:r>
          </w:p>
          <w:p w14:paraId="6DE72BC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①废水类别、污染物及污染治理设施信息见表4-</w:t>
            </w:r>
            <w:r>
              <w:rPr>
                <w:rFonts w:hint="default"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rPr>
              <w:t>。</w:t>
            </w:r>
          </w:p>
          <w:p w14:paraId="0225D49B">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表4-2  废水类别、污染物及污染治理设施信息表</w:t>
            </w:r>
          </w:p>
          <w:tbl>
            <w:tblPr>
              <w:tblStyle w:val="24"/>
              <w:tblW w:w="4999"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491"/>
              <w:gridCol w:w="1052"/>
              <w:gridCol w:w="1183"/>
              <w:gridCol w:w="895"/>
              <w:gridCol w:w="1493"/>
              <w:gridCol w:w="1017"/>
              <w:gridCol w:w="1212"/>
              <w:gridCol w:w="1074"/>
              <w:gridCol w:w="898"/>
              <w:gridCol w:w="1019"/>
              <w:gridCol w:w="1565"/>
            </w:tblGrid>
            <w:tr w14:paraId="1D4A6F2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0" w:hRule="atLeast"/>
              </w:trPr>
              <w:tc>
                <w:tcPr>
                  <w:tcW w:w="206" w:type="pct"/>
                  <w:vMerge w:val="restart"/>
                  <w:tcBorders>
                    <w:top w:val="single" w:color="auto" w:sz="12" w:space="0"/>
                  </w:tcBorders>
                  <w:noWrap w:val="0"/>
                  <w:vAlign w:val="center"/>
                </w:tcPr>
                <w:p w14:paraId="12A39AD6">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442" w:type="pct"/>
                  <w:vMerge w:val="restart"/>
                  <w:tcBorders>
                    <w:top w:val="single" w:color="auto" w:sz="12" w:space="0"/>
                  </w:tcBorders>
                  <w:noWrap w:val="0"/>
                  <w:vAlign w:val="center"/>
                </w:tcPr>
                <w:p w14:paraId="553EBB2A">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废水类别</w:t>
                  </w:r>
                </w:p>
              </w:tc>
              <w:tc>
                <w:tcPr>
                  <w:tcW w:w="497" w:type="pct"/>
                  <w:vMerge w:val="restart"/>
                  <w:tcBorders>
                    <w:top w:val="single" w:color="auto" w:sz="12" w:space="0"/>
                  </w:tcBorders>
                  <w:noWrap w:val="0"/>
                  <w:vAlign w:val="center"/>
                </w:tcPr>
                <w:p w14:paraId="0A16EEA1">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w:t>
                  </w:r>
                </w:p>
                <w:p w14:paraId="5E13E66A">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种类</w:t>
                  </w:r>
                </w:p>
              </w:tc>
              <w:tc>
                <w:tcPr>
                  <w:tcW w:w="376" w:type="pct"/>
                  <w:vMerge w:val="restart"/>
                  <w:tcBorders>
                    <w:top w:val="single" w:color="auto" w:sz="12" w:space="0"/>
                  </w:tcBorders>
                  <w:noWrap w:val="0"/>
                  <w:vAlign w:val="center"/>
                </w:tcPr>
                <w:p w14:paraId="50F8846A">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排放去向</w:t>
                  </w:r>
                </w:p>
              </w:tc>
              <w:tc>
                <w:tcPr>
                  <w:tcW w:w="627" w:type="pct"/>
                  <w:vMerge w:val="restart"/>
                  <w:tcBorders>
                    <w:top w:val="single" w:color="auto" w:sz="12" w:space="0"/>
                  </w:tcBorders>
                  <w:noWrap w:val="0"/>
                  <w:vAlign w:val="center"/>
                </w:tcPr>
                <w:p w14:paraId="5222A002">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w:t>
                  </w:r>
                </w:p>
                <w:p w14:paraId="511449B6">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规律</w:t>
                  </w:r>
                </w:p>
              </w:tc>
              <w:tc>
                <w:tcPr>
                  <w:tcW w:w="1387" w:type="pct"/>
                  <w:gridSpan w:val="3"/>
                  <w:tcBorders>
                    <w:top w:val="single" w:color="auto" w:sz="12" w:space="0"/>
                  </w:tcBorders>
                  <w:noWrap w:val="0"/>
                  <w:vAlign w:val="center"/>
                </w:tcPr>
                <w:p w14:paraId="71F1E9BD">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污染治理设施</w:t>
                  </w:r>
                </w:p>
              </w:tc>
              <w:tc>
                <w:tcPr>
                  <w:tcW w:w="377" w:type="pct"/>
                  <w:vMerge w:val="restart"/>
                  <w:tcBorders>
                    <w:top w:val="single" w:color="auto" w:sz="12" w:space="0"/>
                  </w:tcBorders>
                  <w:noWrap w:val="0"/>
                  <w:vAlign w:val="center"/>
                </w:tcPr>
                <w:p w14:paraId="4A1BAD3F">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428" w:type="pct"/>
                  <w:vMerge w:val="restart"/>
                  <w:tcBorders>
                    <w:top w:val="single" w:color="auto" w:sz="12" w:space="0"/>
                  </w:tcBorders>
                  <w:noWrap w:val="0"/>
                  <w:vAlign w:val="center"/>
                </w:tcPr>
                <w:p w14:paraId="5D814891">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排放口设置是否符合要求</w:t>
                  </w:r>
                </w:p>
              </w:tc>
              <w:tc>
                <w:tcPr>
                  <w:tcW w:w="657" w:type="pct"/>
                  <w:vMerge w:val="restart"/>
                  <w:tcBorders>
                    <w:top w:val="single" w:color="auto" w:sz="12" w:space="0"/>
                  </w:tcBorders>
                  <w:noWrap w:val="0"/>
                  <w:vAlign w:val="center"/>
                </w:tcPr>
                <w:p w14:paraId="3A600DF9">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排放口类型</w:t>
                  </w:r>
                </w:p>
              </w:tc>
            </w:tr>
            <w:tr w14:paraId="781CF67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0" w:hRule="atLeast"/>
              </w:trPr>
              <w:tc>
                <w:tcPr>
                  <w:tcW w:w="206" w:type="pct"/>
                  <w:vMerge w:val="continue"/>
                  <w:noWrap w:val="0"/>
                  <w:vAlign w:val="center"/>
                </w:tcPr>
                <w:p w14:paraId="26F233F9">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442" w:type="pct"/>
                  <w:vMerge w:val="continue"/>
                  <w:noWrap w:val="0"/>
                  <w:vAlign w:val="center"/>
                </w:tcPr>
                <w:p w14:paraId="16E5E378">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497" w:type="pct"/>
                  <w:vMerge w:val="continue"/>
                  <w:noWrap w:val="0"/>
                  <w:vAlign w:val="center"/>
                </w:tcPr>
                <w:p w14:paraId="1841A969">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376" w:type="pct"/>
                  <w:vMerge w:val="continue"/>
                  <w:noWrap w:val="0"/>
                  <w:vAlign w:val="center"/>
                </w:tcPr>
                <w:p w14:paraId="2F69FD47">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627" w:type="pct"/>
                  <w:vMerge w:val="continue"/>
                  <w:noWrap w:val="0"/>
                  <w:vAlign w:val="center"/>
                </w:tcPr>
                <w:p w14:paraId="7A01A336">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427" w:type="pct"/>
                  <w:noWrap w:val="0"/>
                  <w:vAlign w:val="center"/>
                </w:tcPr>
                <w:p w14:paraId="346BCD3D">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pacing w:val="-11"/>
                      <w:sz w:val="21"/>
                      <w:szCs w:val="21"/>
                      <w:lang w:val="en-US" w:eastAsia="zh-CN"/>
                    </w:rPr>
                  </w:pPr>
                  <w:r>
                    <w:rPr>
                      <w:rFonts w:hint="default" w:ascii="Times New Roman" w:hAnsi="Times New Roman" w:eastAsia="仿宋" w:cs="Times New Roman"/>
                      <w:b/>
                      <w:bCs/>
                      <w:color w:val="auto"/>
                      <w:spacing w:val="-11"/>
                      <w:sz w:val="21"/>
                      <w:szCs w:val="21"/>
                      <w:lang w:val="en-US" w:eastAsia="zh-CN"/>
                    </w:rPr>
                    <w:t>污染治理设施编号</w:t>
                  </w:r>
                </w:p>
              </w:tc>
              <w:tc>
                <w:tcPr>
                  <w:tcW w:w="509" w:type="pct"/>
                  <w:noWrap w:val="0"/>
                  <w:vAlign w:val="center"/>
                </w:tcPr>
                <w:p w14:paraId="2C664C70">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pacing w:val="-11"/>
                      <w:sz w:val="21"/>
                      <w:szCs w:val="21"/>
                      <w:lang w:val="en-US" w:eastAsia="zh-CN"/>
                    </w:rPr>
                  </w:pPr>
                  <w:r>
                    <w:rPr>
                      <w:rFonts w:hint="default" w:ascii="Times New Roman" w:hAnsi="Times New Roman" w:eastAsia="仿宋" w:cs="Times New Roman"/>
                      <w:b/>
                      <w:bCs/>
                      <w:color w:val="auto"/>
                      <w:spacing w:val="-11"/>
                      <w:sz w:val="21"/>
                      <w:szCs w:val="21"/>
                      <w:lang w:val="en-US" w:eastAsia="zh-CN"/>
                    </w:rPr>
                    <w:t>污染治理设施名称</w:t>
                  </w:r>
                </w:p>
              </w:tc>
              <w:tc>
                <w:tcPr>
                  <w:tcW w:w="451" w:type="pct"/>
                  <w:noWrap w:val="0"/>
                  <w:vAlign w:val="center"/>
                </w:tcPr>
                <w:p w14:paraId="0B0DDD1A">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pacing w:val="-11"/>
                      <w:sz w:val="21"/>
                      <w:szCs w:val="21"/>
                      <w:lang w:val="en-US" w:eastAsia="zh-CN"/>
                    </w:rPr>
                  </w:pPr>
                  <w:r>
                    <w:rPr>
                      <w:rFonts w:hint="default" w:ascii="Times New Roman" w:hAnsi="Times New Roman" w:eastAsia="仿宋" w:cs="Times New Roman"/>
                      <w:b/>
                      <w:bCs/>
                      <w:color w:val="auto"/>
                      <w:spacing w:val="-11"/>
                      <w:sz w:val="21"/>
                      <w:szCs w:val="21"/>
                      <w:lang w:val="en-US" w:eastAsia="zh-CN"/>
                    </w:rPr>
                    <w:t>污染治理设置工艺</w:t>
                  </w:r>
                </w:p>
              </w:tc>
              <w:tc>
                <w:tcPr>
                  <w:tcW w:w="377" w:type="pct"/>
                  <w:vMerge w:val="continue"/>
                  <w:noWrap w:val="0"/>
                  <w:vAlign w:val="center"/>
                </w:tcPr>
                <w:p w14:paraId="6733843E">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428" w:type="pct"/>
                  <w:vMerge w:val="continue"/>
                  <w:noWrap w:val="0"/>
                  <w:vAlign w:val="center"/>
                </w:tcPr>
                <w:p w14:paraId="0B037DDB">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657" w:type="pct"/>
                  <w:vMerge w:val="continue"/>
                  <w:noWrap w:val="0"/>
                  <w:vAlign w:val="center"/>
                </w:tcPr>
                <w:p w14:paraId="1CDFCED4">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r>
            <w:tr w14:paraId="32102DE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020" w:hRule="atLeast"/>
              </w:trPr>
              <w:tc>
                <w:tcPr>
                  <w:tcW w:w="206" w:type="pct"/>
                  <w:noWrap w:val="0"/>
                  <w:vAlign w:val="center"/>
                </w:tcPr>
                <w:p w14:paraId="7AF1DAD7">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442" w:type="pct"/>
                  <w:noWrap w:val="0"/>
                  <w:vAlign w:val="center"/>
                </w:tcPr>
                <w:p w14:paraId="3194A562">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生活污水</w:t>
                  </w:r>
                </w:p>
              </w:tc>
              <w:tc>
                <w:tcPr>
                  <w:tcW w:w="497" w:type="pct"/>
                  <w:noWrap w:val="0"/>
                  <w:vAlign w:val="center"/>
                </w:tcPr>
                <w:p w14:paraId="00B726A6">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p w14:paraId="56C85028">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p w14:paraId="3F0D4F15">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-N</w:t>
                  </w:r>
                </w:p>
                <w:p w14:paraId="23FFEB4D">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TP</w:t>
                  </w:r>
                </w:p>
                <w:p w14:paraId="0C620122">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TN</w:t>
                  </w:r>
                </w:p>
              </w:tc>
              <w:tc>
                <w:tcPr>
                  <w:tcW w:w="376" w:type="pct"/>
                  <w:noWrap w:val="0"/>
                  <w:vAlign w:val="center"/>
                </w:tcPr>
                <w:p w14:paraId="4F5ECF34">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滨湖污水处理厂</w:t>
                  </w:r>
                </w:p>
              </w:tc>
              <w:tc>
                <w:tcPr>
                  <w:tcW w:w="627" w:type="pct"/>
                  <w:noWrap w:val="0"/>
                  <w:vAlign w:val="center"/>
                </w:tcPr>
                <w:p w14:paraId="1D0EF26C">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间歇排放、流量不稳定，但有周期性规律</w:t>
                  </w:r>
                </w:p>
              </w:tc>
              <w:tc>
                <w:tcPr>
                  <w:tcW w:w="427" w:type="pct"/>
                  <w:noWrap w:val="0"/>
                  <w:vAlign w:val="center"/>
                </w:tcPr>
                <w:p w14:paraId="72195E3B">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09" w:type="pct"/>
                  <w:noWrap w:val="0"/>
                  <w:vAlign w:val="center"/>
                </w:tcPr>
                <w:p w14:paraId="3D4DB581">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451" w:type="pct"/>
                  <w:noWrap w:val="0"/>
                  <w:vAlign w:val="center"/>
                </w:tcPr>
                <w:p w14:paraId="290631FC">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377" w:type="pct"/>
                  <w:noWrap w:val="0"/>
                  <w:vAlign w:val="center"/>
                </w:tcPr>
                <w:p w14:paraId="59EC13F4">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pacing w:val="-23"/>
                      <w:sz w:val="21"/>
                      <w:szCs w:val="21"/>
                      <w:lang w:val="en-US" w:eastAsia="zh-CN"/>
                    </w:rPr>
                    <w:t>DW001</w:t>
                  </w:r>
                </w:p>
              </w:tc>
              <w:tc>
                <w:tcPr>
                  <w:tcW w:w="428" w:type="pct"/>
                  <w:noWrap w:val="0"/>
                  <w:vAlign w:val="center"/>
                </w:tcPr>
                <w:p w14:paraId="5DDAF671">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☑是</w:t>
                  </w:r>
                </w:p>
                <w:p w14:paraId="18F48C0E">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否</w:t>
                  </w:r>
                </w:p>
              </w:tc>
              <w:tc>
                <w:tcPr>
                  <w:tcW w:w="657" w:type="pct"/>
                  <w:noWrap w:val="0"/>
                  <w:vAlign w:val="center"/>
                </w:tcPr>
                <w:p w14:paraId="25300C89">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left"/>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☑企业总排</w:t>
                  </w:r>
                </w:p>
                <w:p w14:paraId="3BEC814F">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left"/>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雨水排放</w:t>
                  </w:r>
                </w:p>
                <w:p w14:paraId="76D16B83">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left"/>
                    <w:textAlignment w:val="auto"/>
                    <w:rPr>
                      <w:rFonts w:hint="default" w:ascii="Times New Roman" w:hAnsi="Times New Roman" w:eastAsia="仿宋" w:cs="Times New Roman"/>
                      <w:color w:val="auto"/>
                      <w:spacing w:val="-23"/>
                      <w:sz w:val="21"/>
                      <w:szCs w:val="21"/>
                      <w:lang w:val="en-US" w:eastAsia="zh-CN"/>
                    </w:rPr>
                  </w:pPr>
                  <w:r>
                    <w:rPr>
                      <w:rFonts w:hint="eastAsia" w:eastAsia="仿宋" w:cs="Times New Roman"/>
                      <w:color w:val="auto"/>
                      <w:sz w:val="21"/>
                      <w:szCs w:val="21"/>
                      <w:lang w:val="en-US" w:eastAsia="zh-CN"/>
                    </w:rPr>
                    <w:t>□</w:t>
                  </w:r>
                  <w:r>
                    <w:rPr>
                      <w:rFonts w:hint="default" w:ascii="Times New Roman" w:hAnsi="Times New Roman" w:eastAsia="仿宋" w:cs="Times New Roman"/>
                      <w:color w:val="auto"/>
                      <w:spacing w:val="-17"/>
                      <w:sz w:val="21"/>
                      <w:szCs w:val="21"/>
                      <w:lang w:val="en-US" w:eastAsia="zh-CN"/>
                    </w:rPr>
                    <w:t>清</w:t>
                  </w:r>
                  <w:r>
                    <w:rPr>
                      <w:rFonts w:hint="default" w:ascii="Times New Roman" w:hAnsi="Times New Roman" w:eastAsia="仿宋" w:cs="Times New Roman"/>
                      <w:color w:val="auto"/>
                      <w:spacing w:val="-23"/>
                      <w:sz w:val="21"/>
                      <w:szCs w:val="21"/>
                      <w:lang w:val="en-US" w:eastAsia="zh-CN"/>
                    </w:rPr>
                    <w:t>净下水排放</w:t>
                  </w:r>
                </w:p>
                <w:p w14:paraId="334F15C8">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left"/>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default" w:ascii="Times New Roman" w:hAnsi="Times New Roman" w:eastAsia="仿宋" w:cs="Times New Roman"/>
                      <w:color w:val="auto"/>
                      <w:spacing w:val="-11"/>
                      <w:sz w:val="21"/>
                      <w:szCs w:val="21"/>
                      <w:lang w:val="en-US" w:eastAsia="zh-CN"/>
                    </w:rPr>
                    <w:t>温排水排放</w:t>
                  </w:r>
                </w:p>
                <w:p w14:paraId="7439768C">
                  <w:pPr>
                    <w:pStyle w:val="22"/>
                    <w:keepNext w:val="0"/>
                    <w:keepLines w:val="0"/>
                    <w:pageBreakBefore w:val="0"/>
                    <w:widowControl/>
                    <w:kinsoku/>
                    <w:wordWrap/>
                    <w:overflowPunct/>
                    <w:topLinePunct w:val="0"/>
                    <w:autoSpaceDE/>
                    <w:autoSpaceDN/>
                    <w:bidi w:val="0"/>
                    <w:adjustRightInd/>
                    <w:snapToGrid/>
                    <w:spacing w:before="0" w:after="0" w:line="260" w:lineRule="exact"/>
                    <w:ind w:right="0" w:firstLine="0" w:firstLineChars="0"/>
                    <w:jc w:val="left"/>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w:t>
                  </w:r>
                  <w:r>
                    <w:rPr>
                      <w:rFonts w:hint="default" w:ascii="Times New Roman" w:hAnsi="Times New Roman" w:eastAsia="仿宋" w:cs="Times New Roman"/>
                      <w:color w:val="auto"/>
                      <w:spacing w:val="-6"/>
                      <w:sz w:val="21"/>
                      <w:szCs w:val="21"/>
                      <w:lang w:val="en-US" w:eastAsia="zh-CN"/>
                    </w:rPr>
                    <w:t>车间或车间处理设施排放</w:t>
                  </w:r>
                </w:p>
              </w:tc>
            </w:tr>
          </w:tbl>
          <w:p w14:paraId="5BD17A14">
            <w:pPr>
              <w:pStyle w:val="22"/>
              <w:keepNext w:val="0"/>
              <w:keepLines w:val="0"/>
              <w:pageBreakBefore w:val="0"/>
              <w:widowControl/>
              <w:kinsoku/>
              <w:wordWrap/>
              <w:overflowPunct/>
              <w:topLinePunct w:val="0"/>
              <w:autoSpaceDE/>
              <w:autoSpaceDN/>
              <w:bidi w:val="0"/>
              <w:adjustRightInd/>
              <w:snapToGrid/>
              <w:spacing w:before="0" w:after="0" w:line="400" w:lineRule="exact"/>
              <w:ind w:right="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②废水间接排放口基本情况见表4-3。</w:t>
            </w:r>
          </w:p>
          <w:p w14:paraId="78958BC3">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表4-3  废水间接排放口基本情况表（目前执行标准）</w:t>
            </w:r>
          </w:p>
          <w:tbl>
            <w:tblPr>
              <w:tblStyle w:val="24"/>
              <w:tblW w:w="4997"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78"/>
              <w:gridCol w:w="931"/>
              <w:gridCol w:w="1328"/>
              <w:gridCol w:w="1247"/>
              <w:gridCol w:w="1107"/>
              <w:gridCol w:w="888"/>
              <w:gridCol w:w="1254"/>
              <w:gridCol w:w="731"/>
              <w:gridCol w:w="695"/>
              <w:gridCol w:w="1369"/>
              <w:gridCol w:w="1766"/>
            </w:tblGrid>
            <w:tr w14:paraId="08C02F8C">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15" w:hRule="atLeast"/>
              </w:trPr>
              <w:tc>
                <w:tcPr>
                  <w:tcW w:w="243" w:type="pct"/>
                  <w:vMerge w:val="restart"/>
                  <w:tcBorders>
                    <w:top w:val="single" w:color="auto" w:sz="12" w:space="0"/>
                  </w:tcBorders>
                  <w:noWrap w:val="0"/>
                  <w:vAlign w:val="center"/>
                </w:tcPr>
                <w:p w14:paraId="5E1CC534">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391" w:type="pct"/>
                  <w:vMerge w:val="restart"/>
                  <w:tcBorders>
                    <w:top w:val="single" w:color="auto" w:sz="12" w:space="0"/>
                  </w:tcBorders>
                  <w:noWrap w:val="0"/>
                  <w:vAlign w:val="center"/>
                </w:tcPr>
                <w:p w14:paraId="1E44058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1082" w:type="pct"/>
                  <w:gridSpan w:val="2"/>
                  <w:tcBorders>
                    <w:top w:val="single" w:color="auto" w:sz="12" w:space="0"/>
                  </w:tcBorders>
                  <w:noWrap w:val="0"/>
                  <w:vAlign w:val="center"/>
                </w:tcPr>
                <w:p w14:paraId="759ACDE0">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排放口地理坐标</w:t>
                  </w:r>
                </w:p>
              </w:tc>
              <w:tc>
                <w:tcPr>
                  <w:tcW w:w="465" w:type="pct"/>
                  <w:vMerge w:val="restart"/>
                  <w:tcBorders>
                    <w:top w:val="single" w:color="auto" w:sz="12" w:space="0"/>
                  </w:tcBorders>
                  <w:noWrap w:val="0"/>
                  <w:vAlign w:val="center"/>
                </w:tcPr>
                <w:p w14:paraId="0CD5A0F2">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pacing w:val="-17"/>
                      <w:sz w:val="21"/>
                      <w:szCs w:val="21"/>
                      <w:lang w:val="en-US" w:eastAsia="zh-CN"/>
                    </w:rPr>
                  </w:pPr>
                  <w:r>
                    <w:rPr>
                      <w:rFonts w:hint="default" w:ascii="Times New Roman" w:hAnsi="Times New Roman" w:eastAsia="仿宋" w:cs="Times New Roman"/>
                      <w:b/>
                      <w:bCs/>
                      <w:color w:val="auto"/>
                      <w:spacing w:val="-17"/>
                      <w:sz w:val="21"/>
                      <w:szCs w:val="21"/>
                      <w:lang w:val="en-US" w:eastAsia="zh-CN"/>
                    </w:rPr>
                    <w:t>废水排放量</w:t>
                  </w:r>
                </w:p>
                <w:p w14:paraId="4DD9B67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pacing w:val="-17"/>
                      <w:sz w:val="21"/>
                      <w:szCs w:val="21"/>
                      <w:lang w:val="en-US" w:eastAsia="zh-CN"/>
                    </w:rPr>
                    <w:t>（万t/a）</w:t>
                  </w:r>
                </w:p>
              </w:tc>
              <w:tc>
                <w:tcPr>
                  <w:tcW w:w="373" w:type="pct"/>
                  <w:vMerge w:val="restart"/>
                  <w:tcBorders>
                    <w:top w:val="single" w:color="auto" w:sz="12" w:space="0"/>
                  </w:tcBorders>
                  <w:noWrap w:val="0"/>
                  <w:vAlign w:val="center"/>
                </w:tcPr>
                <w:p w14:paraId="441DFBBB">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w:t>
                  </w:r>
                </w:p>
                <w:p w14:paraId="4D1A528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去向</w:t>
                  </w:r>
                </w:p>
              </w:tc>
              <w:tc>
                <w:tcPr>
                  <w:tcW w:w="527" w:type="pct"/>
                  <w:vMerge w:val="restart"/>
                  <w:tcBorders>
                    <w:top w:val="single" w:color="auto" w:sz="12" w:space="0"/>
                  </w:tcBorders>
                  <w:noWrap w:val="0"/>
                  <w:vAlign w:val="center"/>
                </w:tcPr>
                <w:p w14:paraId="7485C35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w:t>
                  </w:r>
                </w:p>
                <w:p w14:paraId="0DD242B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规律</w:t>
                  </w:r>
                </w:p>
              </w:tc>
              <w:tc>
                <w:tcPr>
                  <w:tcW w:w="307" w:type="pct"/>
                  <w:vMerge w:val="restart"/>
                  <w:tcBorders>
                    <w:top w:val="single" w:color="auto" w:sz="12" w:space="0"/>
                  </w:tcBorders>
                  <w:noWrap w:val="0"/>
                  <w:vAlign w:val="center"/>
                </w:tcPr>
                <w:p w14:paraId="75D8E9A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间歇排放时段</w:t>
                  </w:r>
                </w:p>
              </w:tc>
              <w:tc>
                <w:tcPr>
                  <w:tcW w:w="1609" w:type="pct"/>
                  <w:gridSpan w:val="3"/>
                  <w:tcBorders>
                    <w:top w:val="single" w:color="auto" w:sz="12" w:space="0"/>
                  </w:tcBorders>
                  <w:noWrap w:val="0"/>
                  <w:vAlign w:val="center"/>
                </w:tcPr>
                <w:p w14:paraId="0BFC62A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受纳污水处理厂信息</w:t>
                  </w:r>
                </w:p>
              </w:tc>
            </w:tr>
            <w:tr w14:paraId="722BEF37">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243" w:type="pct"/>
                  <w:vMerge w:val="continue"/>
                  <w:noWrap w:val="0"/>
                  <w:vAlign w:val="center"/>
                </w:tcPr>
                <w:p w14:paraId="18A0C25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391" w:type="pct"/>
                  <w:vMerge w:val="continue"/>
                  <w:noWrap w:val="0"/>
                  <w:vAlign w:val="center"/>
                </w:tcPr>
                <w:p w14:paraId="467BEEE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558" w:type="pct"/>
                  <w:noWrap w:val="0"/>
                  <w:vAlign w:val="center"/>
                </w:tcPr>
                <w:p w14:paraId="1378E1DD">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经度</w:t>
                  </w:r>
                </w:p>
              </w:tc>
              <w:tc>
                <w:tcPr>
                  <w:tcW w:w="524" w:type="pct"/>
                  <w:noWrap w:val="0"/>
                  <w:vAlign w:val="center"/>
                </w:tcPr>
                <w:p w14:paraId="538351D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纬度</w:t>
                  </w:r>
                </w:p>
              </w:tc>
              <w:tc>
                <w:tcPr>
                  <w:tcW w:w="465" w:type="pct"/>
                  <w:vMerge w:val="continue"/>
                  <w:noWrap w:val="0"/>
                  <w:vAlign w:val="center"/>
                </w:tcPr>
                <w:p w14:paraId="03629CB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373" w:type="pct"/>
                  <w:vMerge w:val="continue"/>
                  <w:noWrap w:val="0"/>
                  <w:vAlign w:val="center"/>
                </w:tcPr>
                <w:p w14:paraId="070A251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527" w:type="pct"/>
                  <w:vMerge w:val="continue"/>
                  <w:noWrap w:val="0"/>
                  <w:vAlign w:val="center"/>
                </w:tcPr>
                <w:p w14:paraId="550E52F3">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307" w:type="pct"/>
                  <w:vMerge w:val="continue"/>
                  <w:noWrap w:val="0"/>
                  <w:vAlign w:val="center"/>
                </w:tcPr>
                <w:p w14:paraId="67308D5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p>
              </w:tc>
              <w:tc>
                <w:tcPr>
                  <w:tcW w:w="292" w:type="pct"/>
                  <w:noWrap w:val="0"/>
                  <w:vAlign w:val="center"/>
                </w:tcPr>
                <w:p w14:paraId="4D97E8BF">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575" w:type="pct"/>
                  <w:noWrap w:val="0"/>
                  <w:vAlign w:val="center"/>
                </w:tcPr>
                <w:p w14:paraId="2CA28F8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污染物种类</w:t>
                  </w:r>
                </w:p>
              </w:tc>
              <w:tc>
                <w:tcPr>
                  <w:tcW w:w="741" w:type="pct"/>
                  <w:noWrap w:val="0"/>
                  <w:vAlign w:val="center"/>
                </w:tcPr>
                <w:p w14:paraId="3D5E0CE4">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国家或地方污染物排放标准浓度限值/（mg/L）</w:t>
                  </w:r>
                </w:p>
              </w:tc>
            </w:tr>
            <w:tr w14:paraId="6365FBD7">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43" w:type="pct"/>
                  <w:noWrap w:val="0"/>
                  <w:vAlign w:val="center"/>
                </w:tcPr>
                <w:p w14:paraId="44D0F73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91" w:type="pct"/>
                  <w:vMerge w:val="restart"/>
                  <w:noWrap w:val="0"/>
                  <w:vAlign w:val="center"/>
                </w:tcPr>
                <w:p w14:paraId="74F4687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pacing w:val="-20"/>
                      <w:sz w:val="21"/>
                      <w:szCs w:val="21"/>
                      <w:lang w:val="en-US" w:eastAsia="zh-CN"/>
                    </w:rPr>
                  </w:pPr>
                  <w:r>
                    <w:rPr>
                      <w:rFonts w:hint="default" w:ascii="Times New Roman" w:hAnsi="Times New Roman" w:eastAsia="仿宋" w:cs="Times New Roman"/>
                      <w:color w:val="auto"/>
                      <w:spacing w:val="-28"/>
                      <w:sz w:val="21"/>
                      <w:szCs w:val="21"/>
                      <w:lang w:val="en-US" w:eastAsia="zh-CN"/>
                    </w:rPr>
                    <w:t>DW001</w:t>
                  </w:r>
                </w:p>
              </w:tc>
              <w:tc>
                <w:tcPr>
                  <w:tcW w:w="558" w:type="pct"/>
                  <w:vMerge w:val="restart"/>
                  <w:noWrap w:val="0"/>
                  <w:vAlign w:val="center"/>
                </w:tcPr>
                <w:p w14:paraId="03108170">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pacing w:val="-11"/>
                      <w:sz w:val="21"/>
                      <w:szCs w:val="21"/>
                      <w:lang w:val="en-US" w:eastAsia="zh-CN"/>
                    </w:rPr>
                  </w:pPr>
                  <w:r>
                    <w:rPr>
                      <w:rFonts w:hint="default" w:ascii="Times New Roman" w:hAnsi="Times New Roman" w:eastAsia="仿宋" w:cs="Times New Roman"/>
                      <w:color w:val="auto"/>
                      <w:spacing w:val="-11"/>
                      <w:sz w:val="21"/>
                      <w:szCs w:val="21"/>
                      <w:lang w:val="en-US" w:eastAsia="zh-CN"/>
                    </w:rPr>
                    <w:t>119.81340230</w:t>
                  </w:r>
                </w:p>
              </w:tc>
              <w:tc>
                <w:tcPr>
                  <w:tcW w:w="524" w:type="pct"/>
                  <w:vMerge w:val="restart"/>
                  <w:noWrap w:val="0"/>
                  <w:vAlign w:val="center"/>
                </w:tcPr>
                <w:p w14:paraId="0FFA909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pacing w:val="-11"/>
                      <w:sz w:val="21"/>
                      <w:szCs w:val="21"/>
                      <w:lang w:val="en-US" w:eastAsia="zh-CN"/>
                    </w:rPr>
                  </w:pPr>
                  <w:r>
                    <w:rPr>
                      <w:rFonts w:hint="default" w:ascii="Times New Roman" w:hAnsi="Times New Roman" w:eastAsia="仿宋" w:cs="Times New Roman"/>
                      <w:color w:val="auto"/>
                      <w:spacing w:val="-11"/>
                      <w:sz w:val="21"/>
                      <w:szCs w:val="21"/>
                      <w:lang w:val="en-US" w:eastAsia="zh-CN"/>
                    </w:rPr>
                    <w:t>31.73146593</w:t>
                  </w:r>
                </w:p>
              </w:tc>
              <w:tc>
                <w:tcPr>
                  <w:tcW w:w="465" w:type="pct"/>
                  <w:vMerge w:val="restart"/>
                  <w:noWrap w:val="0"/>
                  <w:vAlign w:val="center"/>
                </w:tcPr>
                <w:p w14:paraId="3F503BD4">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0.192</w:t>
                  </w:r>
                </w:p>
              </w:tc>
              <w:tc>
                <w:tcPr>
                  <w:tcW w:w="373" w:type="pct"/>
                  <w:vMerge w:val="restart"/>
                  <w:noWrap w:val="0"/>
                  <w:vAlign w:val="center"/>
                </w:tcPr>
                <w:p w14:paraId="49427C3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进入城市污水处理厂</w:t>
                  </w:r>
                </w:p>
              </w:tc>
              <w:tc>
                <w:tcPr>
                  <w:tcW w:w="527" w:type="pct"/>
                  <w:vMerge w:val="restart"/>
                  <w:noWrap w:val="0"/>
                  <w:vAlign w:val="center"/>
                </w:tcPr>
                <w:p w14:paraId="7E7E8CDE">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间歇排放、流量不稳定，但有周期性规律</w:t>
                  </w:r>
                </w:p>
              </w:tc>
              <w:tc>
                <w:tcPr>
                  <w:tcW w:w="307" w:type="pct"/>
                  <w:vMerge w:val="restart"/>
                  <w:noWrap w:val="0"/>
                  <w:vAlign w:val="center"/>
                </w:tcPr>
                <w:p w14:paraId="7CFAB77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292" w:type="pct"/>
                  <w:vMerge w:val="restart"/>
                  <w:noWrap w:val="0"/>
                  <w:vAlign w:val="center"/>
                </w:tcPr>
                <w:p w14:paraId="20B9800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滨湖污水处理厂</w:t>
                  </w:r>
                </w:p>
              </w:tc>
              <w:tc>
                <w:tcPr>
                  <w:tcW w:w="575" w:type="pct"/>
                  <w:noWrap w:val="0"/>
                  <w:vAlign w:val="center"/>
                </w:tcPr>
                <w:p w14:paraId="7E0C13A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tc>
              <w:tc>
                <w:tcPr>
                  <w:tcW w:w="741" w:type="pct"/>
                  <w:noWrap w:val="0"/>
                  <w:vAlign w:val="center"/>
                </w:tcPr>
                <w:p w14:paraId="016C44AE">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w:t>
                  </w:r>
                </w:p>
              </w:tc>
            </w:tr>
            <w:tr w14:paraId="798A363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43" w:type="pct"/>
                  <w:noWrap w:val="0"/>
                  <w:vAlign w:val="center"/>
                </w:tcPr>
                <w:p w14:paraId="0C0BDC9B">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91" w:type="pct"/>
                  <w:vMerge w:val="continue"/>
                  <w:noWrap w:val="0"/>
                  <w:vAlign w:val="center"/>
                </w:tcPr>
                <w:p w14:paraId="72E8D19F">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58" w:type="pct"/>
                  <w:vMerge w:val="continue"/>
                  <w:noWrap w:val="0"/>
                  <w:vAlign w:val="center"/>
                </w:tcPr>
                <w:p w14:paraId="7ECC2CA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4" w:type="pct"/>
                  <w:vMerge w:val="continue"/>
                  <w:noWrap w:val="0"/>
                  <w:vAlign w:val="center"/>
                </w:tcPr>
                <w:p w14:paraId="54B7768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465" w:type="pct"/>
                  <w:vMerge w:val="continue"/>
                  <w:noWrap w:val="0"/>
                  <w:vAlign w:val="center"/>
                </w:tcPr>
                <w:p w14:paraId="0711331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73" w:type="pct"/>
                  <w:vMerge w:val="continue"/>
                  <w:noWrap w:val="0"/>
                  <w:vAlign w:val="center"/>
                </w:tcPr>
                <w:p w14:paraId="0BBD538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7" w:type="pct"/>
                  <w:vMerge w:val="continue"/>
                  <w:noWrap w:val="0"/>
                  <w:vAlign w:val="center"/>
                </w:tcPr>
                <w:p w14:paraId="2DF3E9A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07" w:type="pct"/>
                  <w:vMerge w:val="continue"/>
                  <w:noWrap w:val="0"/>
                  <w:vAlign w:val="center"/>
                </w:tcPr>
                <w:p w14:paraId="1867FD83">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292" w:type="pct"/>
                  <w:vMerge w:val="continue"/>
                  <w:noWrap w:val="0"/>
                  <w:vAlign w:val="center"/>
                </w:tcPr>
                <w:p w14:paraId="4EE9C2D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75" w:type="pct"/>
                  <w:noWrap w:val="0"/>
                  <w:vAlign w:val="center"/>
                </w:tcPr>
                <w:p w14:paraId="1296AC3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tc>
              <w:tc>
                <w:tcPr>
                  <w:tcW w:w="741" w:type="pct"/>
                  <w:noWrap w:val="0"/>
                  <w:vAlign w:val="center"/>
                </w:tcPr>
                <w:p w14:paraId="00772F6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r>
            <w:tr w14:paraId="58776DA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43" w:type="pct"/>
                  <w:noWrap w:val="0"/>
                  <w:vAlign w:val="center"/>
                </w:tcPr>
                <w:p w14:paraId="26819F46">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391" w:type="pct"/>
                  <w:vMerge w:val="continue"/>
                  <w:noWrap w:val="0"/>
                  <w:vAlign w:val="center"/>
                </w:tcPr>
                <w:p w14:paraId="53367EBF">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58" w:type="pct"/>
                  <w:vMerge w:val="continue"/>
                  <w:noWrap w:val="0"/>
                  <w:vAlign w:val="center"/>
                </w:tcPr>
                <w:p w14:paraId="30578EF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4" w:type="pct"/>
                  <w:vMerge w:val="continue"/>
                  <w:noWrap w:val="0"/>
                  <w:vAlign w:val="center"/>
                </w:tcPr>
                <w:p w14:paraId="00D388F1">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465" w:type="pct"/>
                  <w:vMerge w:val="continue"/>
                  <w:noWrap w:val="0"/>
                  <w:vAlign w:val="center"/>
                </w:tcPr>
                <w:p w14:paraId="51126BF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73" w:type="pct"/>
                  <w:vMerge w:val="continue"/>
                  <w:noWrap w:val="0"/>
                  <w:vAlign w:val="center"/>
                </w:tcPr>
                <w:p w14:paraId="441BBEBE">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7" w:type="pct"/>
                  <w:vMerge w:val="continue"/>
                  <w:noWrap w:val="0"/>
                  <w:vAlign w:val="center"/>
                </w:tcPr>
                <w:p w14:paraId="19CA1232">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07" w:type="pct"/>
                  <w:vMerge w:val="continue"/>
                  <w:noWrap w:val="0"/>
                  <w:vAlign w:val="center"/>
                </w:tcPr>
                <w:p w14:paraId="24B2F10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292" w:type="pct"/>
                  <w:vMerge w:val="continue"/>
                  <w:noWrap w:val="0"/>
                  <w:vAlign w:val="center"/>
                </w:tcPr>
                <w:p w14:paraId="651E5838">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75" w:type="pct"/>
                  <w:noWrap w:val="0"/>
                  <w:vAlign w:val="center"/>
                </w:tcPr>
                <w:p w14:paraId="59F305E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-N</w:t>
                  </w:r>
                </w:p>
              </w:tc>
              <w:tc>
                <w:tcPr>
                  <w:tcW w:w="741" w:type="pct"/>
                  <w:noWrap w:val="0"/>
                  <w:vAlign w:val="center"/>
                </w:tcPr>
                <w:p w14:paraId="1FC6F8D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4（6）</w:t>
                  </w:r>
                </w:p>
              </w:tc>
            </w:tr>
            <w:tr w14:paraId="6063354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43" w:type="pct"/>
                  <w:noWrap w:val="0"/>
                  <w:vAlign w:val="center"/>
                </w:tcPr>
                <w:p w14:paraId="6CB4055D">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391" w:type="pct"/>
                  <w:vMerge w:val="continue"/>
                  <w:noWrap w:val="0"/>
                  <w:vAlign w:val="center"/>
                </w:tcPr>
                <w:p w14:paraId="212172B8">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58" w:type="pct"/>
                  <w:vMerge w:val="continue"/>
                  <w:noWrap w:val="0"/>
                  <w:vAlign w:val="center"/>
                </w:tcPr>
                <w:p w14:paraId="750B11FB">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4" w:type="pct"/>
                  <w:vMerge w:val="continue"/>
                  <w:noWrap w:val="0"/>
                  <w:vAlign w:val="center"/>
                </w:tcPr>
                <w:p w14:paraId="4ED00C98">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465" w:type="pct"/>
                  <w:vMerge w:val="continue"/>
                  <w:noWrap w:val="0"/>
                  <w:vAlign w:val="center"/>
                </w:tcPr>
                <w:p w14:paraId="1A584BC7">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73" w:type="pct"/>
                  <w:vMerge w:val="continue"/>
                  <w:noWrap w:val="0"/>
                  <w:vAlign w:val="center"/>
                </w:tcPr>
                <w:p w14:paraId="25F326FF">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7" w:type="pct"/>
                  <w:vMerge w:val="continue"/>
                  <w:noWrap w:val="0"/>
                  <w:vAlign w:val="center"/>
                </w:tcPr>
                <w:p w14:paraId="464F649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07" w:type="pct"/>
                  <w:vMerge w:val="continue"/>
                  <w:noWrap w:val="0"/>
                  <w:vAlign w:val="center"/>
                </w:tcPr>
                <w:p w14:paraId="1E593A84">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292" w:type="pct"/>
                  <w:vMerge w:val="continue"/>
                  <w:noWrap w:val="0"/>
                  <w:vAlign w:val="center"/>
                </w:tcPr>
                <w:p w14:paraId="2EA91762">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75" w:type="pct"/>
                  <w:noWrap w:val="0"/>
                  <w:vAlign w:val="center"/>
                </w:tcPr>
                <w:p w14:paraId="762E4E9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TP</w:t>
                  </w:r>
                </w:p>
              </w:tc>
              <w:tc>
                <w:tcPr>
                  <w:tcW w:w="741" w:type="pct"/>
                  <w:noWrap w:val="0"/>
                  <w:vAlign w:val="center"/>
                </w:tcPr>
                <w:p w14:paraId="1C9C0627">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0.5</w:t>
                  </w:r>
                </w:p>
              </w:tc>
            </w:tr>
            <w:tr w14:paraId="7661D7D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243" w:type="pct"/>
                  <w:noWrap w:val="0"/>
                  <w:vAlign w:val="center"/>
                </w:tcPr>
                <w:p w14:paraId="52FAFD4D">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391" w:type="pct"/>
                  <w:vMerge w:val="continue"/>
                  <w:noWrap w:val="0"/>
                  <w:vAlign w:val="center"/>
                </w:tcPr>
                <w:p w14:paraId="5CA82EFA">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58" w:type="pct"/>
                  <w:vMerge w:val="continue"/>
                  <w:noWrap w:val="0"/>
                  <w:vAlign w:val="center"/>
                </w:tcPr>
                <w:p w14:paraId="2B4F8A2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4" w:type="pct"/>
                  <w:vMerge w:val="continue"/>
                  <w:noWrap w:val="0"/>
                  <w:vAlign w:val="center"/>
                </w:tcPr>
                <w:p w14:paraId="0D14808B">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465" w:type="pct"/>
                  <w:vMerge w:val="continue"/>
                  <w:noWrap w:val="0"/>
                  <w:vAlign w:val="center"/>
                </w:tcPr>
                <w:p w14:paraId="3FC0CB59">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73" w:type="pct"/>
                  <w:vMerge w:val="continue"/>
                  <w:noWrap w:val="0"/>
                  <w:vAlign w:val="center"/>
                </w:tcPr>
                <w:p w14:paraId="6D9C632E">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27" w:type="pct"/>
                  <w:vMerge w:val="continue"/>
                  <w:noWrap w:val="0"/>
                  <w:vAlign w:val="center"/>
                </w:tcPr>
                <w:p w14:paraId="7707211E">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307" w:type="pct"/>
                  <w:vMerge w:val="continue"/>
                  <w:noWrap w:val="0"/>
                  <w:vAlign w:val="center"/>
                </w:tcPr>
                <w:p w14:paraId="723AB88C">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292" w:type="pct"/>
                  <w:vMerge w:val="continue"/>
                  <w:noWrap w:val="0"/>
                  <w:vAlign w:val="center"/>
                </w:tcPr>
                <w:p w14:paraId="3F3911E3">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p>
              </w:tc>
              <w:tc>
                <w:tcPr>
                  <w:tcW w:w="575" w:type="pct"/>
                  <w:noWrap w:val="0"/>
                  <w:vAlign w:val="center"/>
                </w:tcPr>
                <w:p w14:paraId="151A8245">
                  <w:pPr>
                    <w:pStyle w:val="22"/>
                    <w:keepNext w:val="0"/>
                    <w:keepLines w:val="0"/>
                    <w:pageBreakBefore w:val="0"/>
                    <w:kinsoku/>
                    <w:wordWrap/>
                    <w:overflowPunct/>
                    <w:topLinePunct w:val="0"/>
                    <w:autoSpaceDE/>
                    <w:autoSpaceDN/>
                    <w:bidi w:val="0"/>
                    <w:adjustRightInd/>
                    <w:snapToGrid/>
                    <w:spacing w:before="0" w:after="0" w:line="260" w:lineRule="exact"/>
                    <w:ind w:right="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TN</w:t>
                  </w:r>
                </w:p>
              </w:tc>
              <w:tc>
                <w:tcPr>
                  <w:tcW w:w="741" w:type="pct"/>
                  <w:noWrap w:val="0"/>
                  <w:vAlign w:val="center"/>
                </w:tcPr>
                <w:p w14:paraId="628BAE11">
                  <w:pPr>
                    <w:keepNext w:val="0"/>
                    <w:keepLines w:val="0"/>
                    <w:pageBreakBefore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12（15）</w:t>
                  </w:r>
                </w:p>
              </w:tc>
            </w:tr>
          </w:tbl>
          <w:p w14:paraId="0B5084BE">
            <w:pPr>
              <w:jc w:val="left"/>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注：每年11月1日至次年3月31日执行括号内排放限值。</w:t>
            </w:r>
          </w:p>
          <w:p w14:paraId="1CC9EACE">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表4-4  废水间接排放口基本情况表（2026年3月28日执行标准）</w:t>
            </w:r>
          </w:p>
          <w:tbl>
            <w:tblPr>
              <w:tblStyle w:val="24"/>
              <w:tblW w:w="4996"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581"/>
              <w:gridCol w:w="914"/>
              <w:gridCol w:w="1340"/>
              <w:gridCol w:w="1242"/>
              <w:gridCol w:w="957"/>
              <w:gridCol w:w="1002"/>
              <w:gridCol w:w="1230"/>
              <w:gridCol w:w="845"/>
              <w:gridCol w:w="911"/>
              <w:gridCol w:w="1156"/>
              <w:gridCol w:w="1713"/>
            </w:tblGrid>
            <w:tr w14:paraId="3969C22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vMerge w:val="restart"/>
                  <w:tcBorders>
                    <w:top w:val="single" w:color="auto" w:sz="12" w:space="0"/>
                  </w:tcBorders>
                  <w:noWrap w:val="0"/>
                  <w:vAlign w:val="center"/>
                </w:tcPr>
                <w:p w14:paraId="4BB19122">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384" w:type="pct"/>
                  <w:vMerge w:val="restart"/>
                  <w:tcBorders>
                    <w:top w:val="single" w:color="auto" w:sz="12" w:space="0"/>
                  </w:tcBorders>
                  <w:noWrap w:val="0"/>
                  <w:vAlign w:val="center"/>
                </w:tcPr>
                <w:p w14:paraId="47BB3D19">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1085" w:type="pct"/>
                  <w:gridSpan w:val="2"/>
                  <w:tcBorders>
                    <w:top w:val="single" w:color="auto" w:sz="12" w:space="0"/>
                  </w:tcBorders>
                  <w:noWrap w:val="0"/>
                  <w:vAlign w:val="center"/>
                </w:tcPr>
                <w:p w14:paraId="37AE2E23">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排放口地理坐标</w:t>
                  </w:r>
                </w:p>
              </w:tc>
              <w:tc>
                <w:tcPr>
                  <w:tcW w:w="402" w:type="pct"/>
                  <w:vMerge w:val="restart"/>
                  <w:tcBorders>
                    <w:top w:val="single" w:color="auto" w:sz="12" w:space="0"/>
                  </w:tcBorders>
                  <w:noWrap w:val="0"/>
                  <w:vAlign w:val="center"/>
                </w:tcPr>
                <w:p w14:paraId="01EB22B1">
                  <w:pPr>
                    <w:pStyle w:val="22"/>
                    <w:spacing w:before="0" w:after="0" w:line="280" w:lineRule="exact"/>
                    <w:ind w:right="0" w:firstLine="0" w:firstLineChars="0"/>
                    <w:jc w:val="center"/>
                    <w:rPr>
                      <w:rFonts w:hint="default" w:ascii="Times New Roman" w:hAnsi="Times New Roman" w:eastAsia="仿宋" w:cs="Times New Roman"/>
                      <w:b/>
                      <w:bCs/>
                      <w:color w:val="auto"/>
                      <w:spacing w:val="-17"/>
                      <w:sz w:val="21"/>
                      <w:szCs w:val="21"/>
                      <w:lang w:val="en-US" w:eastAsia="zh-CN"/>
                    </w:rPr>
                  </w:pPr>
                  <w:r>
                    <w:rPr>
                      <w:rFonts w:hint="default" w:ascii="Times New Roman" w:hAnsi="Times New Roman" w:eastAsia="仿宋" w:cs="Times New Roman"/>
                      <w:b/>
                      <w:bCs/>
                      <w:color w:val="auto"/>
                      <w:spacing w:val="-17"/>
                      <w:sz w:val="21"/>
                      <w:szCs w:val="21"/>
                      <w:lang w:val="en-US" w:eastAsia="zh-CN"/>
                    </w:rPr>
                    <w:t>废水排放量</w:t>
                  </w:r>
                </w:p>
                <w:p w14:paraId="7FC15906">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pacing w:val="-17"/>
                      <w:sz w:val="21"/>
                      <w:szCs w:val="21"/>
                      <w:lang w:val="en-US" w:eastAsia="zh-CN"/>
                    </w:rPr>
                    <w:t>（万t/a）</w:t>
                  </w:r>
                </w:p>
              </w:tc>
              <w:tc>
                <w:tcPr>
                  <w:tcW w:w="421" w:type="pct"/>
                  <w:vMerge w:val="restart"/>
                  <w:tcBorders>
                    <w:top w:val="single" w:color="auto" w:sz="12" w:space="0"/>
                  </w:tcBorders>
                  <w:noWrap w:val="0"/>
                  <w:vAlign w:val="center"/>
                </w:tcPr>
                <w:p w14:paraId="01B39B9E">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w:t>
                  </w:r>
                </w:p>
                <w:p w14:paraId="3CEC3CF9">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去向</w:t>
                  </w:r>
                </w:p>
              </w:tc>
              <w:tc>
                <w:tcPr>
                  <w:tcW w:w="517" w:type="pct"/>
                  <w:vMerge w:val="restart"/>
                  <w:tcBorders>
                    <w:top w:val="single" w:color="auto" w:sz="12" w:space="0"/>
                  </w:tcBorders>
                  <w:noWrap w:val="0"/>
                  <w:vAlign w:val="center"/>
                </w:tcPr>
                <w:p w14:paraId="361656BC">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w:t>
                  </w:r>
                </w:p>
                <w:p w14:paraId="35DDD6C8">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规律</w:t>
                  </w:r>
                </w:p>
              </w:tc>
              <w:tc>
                <w:tcPr>
                  <w:tcW w:w="355" w:type="pct"/>
                  <w:vMerge w:val="restart"/>
                  <w:tcBorders>
                    <w:top w:val="single" w:color="auto" w:sz="12" w:space="0"/>
                  </w:tcBorders>
                  <w:noWrap w:val="0"/>
                  <w:vAlign w:val="center"/>
                </w:tcPr>
                <w:p w14:paraId="0F0EED60">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间歇排放时段</w:t>
                  </w:r>
                </w:p>
              </w:tc>
              <w:tc>
                <w:tcPr>
                  <w:tcW w:w="1589" w:type="pct"/>
                  <w:gridSpan w:val="3"/>
                  <w:tcBorders>
                    <w:top w:val="single" w:color="auto" w:sz="12" w:space="0"/>
                  </w:tcBorders>
                  <w:noWrap w:val="0"/>
                  <w:vAlign w:val="center"/>
                </w:tcPr>
                <w:p w14:paraId="687B11A3">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受纳污水处理厂信息</w:t>
                  </w:r>
                </w:p>
              </w:tc>
            </w:tr>
            <w:tr w14:paraId="6A71DFC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vMerge w:val="continue"/>
                  <w:noWrap w:val="0"/>
                  <w:vAlign w:val="center"/>
                </w:tcPr>
                <w:p w14:paraId="396376EF">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384" w:type="pct"/>
                  <w:vMerge w:val="continue"/>
                  <w:noWrap w:val="0"/>
                  <w:vAlign w:val="center"/>
                </w:tcPr>
                <w:p w14:paraId="7BDFA75B">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563" w:type="pct"/>
                  <w:noWrap w:val="0"/>
                  <w:vAlign w:val="center"/>
                </w:tcPr>
                <w:p w14:paraId="74CA8006">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经度</w:t>
                  </w:r>
                </w:p>
              </w:tc>
              <w:tc>
                <w:tcPr>
                  <w:tcW w:w="521" w:type="pct"/>
                  <w:noWrap w:val="0"/>
                  <w:vAlign w:val="center"/>
                </w:tcPr>
                <w:p w14:paraId="120A0032">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纬度</w:t>
                  </w:r>
                </w:p>
              </w:tc>
              <w:tc>
                <w:tcPr>
                  <w:tcW w:w="402" w:type="pct"/>
                  <w:vMerge w:val="continue"/>
                  <w:noWrap w:val="0"/>
                  <w:vAlign w:val="center"/>
                </w:tcPr>
                <w:p w14:paraId="6535E1CF">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421" w:type="pct"/>
                  <w:vMerge w:val="continue"/>
                  <w:noWrap w:val="0"/>
                  <w:vAlign w:val="center"/>
                </w:tcPr>
                <w:p w14:paraId="735CB066">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517" w:type="pct"/>
                  <w:vMerge w:val="continue"/>
                  <w:noWrap w:val="0"/>
                  <w:vAlign w:val="center"/>
                </w:tcPr>
                <w:p w14:paraId="544273BE">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355" w:type="pct"/>
                  <w:vMerge w:val="continue"/>
                  <w:noWrap w:val="0"/>
                  <w:vAlign w:val="center"/>
                </w:tcPr>
                <w:p w14:paraId="10E1EE5E">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383" w:type="pct"/>
                  <w:noWrap w:val="0"/>
                  <w:vAlign w:val="center"/>
                </w:tcPr>
                <w:p w14:paraId="79219416">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486" w:type="pct"/>
                  <w:noWrap w:val="0"/>
                  <w:vAlign w:val="center"/>
                </w:tcPr>
                <w:p w14:paraId="08BFA8B6">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污染物种类</w:t>
                  </w:r>
                </w:p>
              </w:tc>
              <w:tc>
                <w:tcPr>
                  <w:tcW w:w="719" w:type="pct"/>
                  <w:noWrap w:val="0"/>
                  <w:vAlign w:val="center"/>
                </w:tcPr>
                <w:p w14:paraId="178C5BD5">
                  <w:pPr>
                    <w:pStyle w:val="22"/>
                    <w:spacing w:before="0" w:after="0" w:line="28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国家或地方污染物排放标准浓度限值/（mg/L）</w:t>
                  </w:r>
                </w:p>
              </w:tc>
            </w:tr>
            <w:tr w14:paraId="265E5AA4">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noWrap w:val="0"/>
                  <w:vAlign w:val="center"/>
                </w:tcPr>
                <w:p w14:paraId="36B93100">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384" w:type="pct"/>
                  <w:vMerge w:val="restart"/>
                  <w:noWrap w:val="0"/>
                  <w:vAlign w:val="center"/>
                </w:tcPr>
                <w:p w14:paraId="61B8ADC8">
                  <w:pPr>
                    <w:pStyle w:val="22"/>
                    <w:spacing w:before="0" w:after="0" w:line="280" w:lineRule="exact"/>
                    <w:ind w:right="0" w:firstLine="0" w:firstLineChars="0"/>
                    <w:jc w:val="center"/>
                    <w:rPr>
                      <w:rFonts w:hint="default" w:ascii="Times New Roman" w:hAnsi="Times New Roman" w:eastAsia="仿宋" w:cs="Times New Roman"/>
                      <w:color w:val="auto"/>
                      <w:spacing w:val="-20"/>
                      <w:sz w:val="21"/>
                      <w:szCs w:val="21"/>
                      <w:lang w:val="en-US" w:eastAsia="zh-CN"/>
                    </w:rPr>
                  </w:pPr>
                  <w:r>
                    <w:rPr>
                      <w:rFonts w:hint="default" w:ascii="Times New Roman" w:hAnsi="Times New Roman" w:eastAsia="仿宋" w:cs="Times New Roman"/>
                      <w:color w:val="auto"/>
                      <w:spacing w:val="-28"/>
                      <w:sz w:val="21"/>
                      <w:szCs w:val="21"/>
                      <w:lang w:val="en-US" w:eastAsia="zh-CN"/>
                    </w:rPr>
                    <w:t>DW001</w:t>
                  </w:r>
                </w:p>
              </w:tc>
              <w:tc>
                <w:tcPr>
                  <w:tcW w:w="563" w:type="pct"/>
                  <w:vMerge w:val="restart"/>
                  <w:noWrap w:val="0"/>
                  <w:vAlign w:val="center"/>
                </w:tcPr>
                <w:p w14:paraId="102DE674">
                  <w:pPr>
                    <w:pStyle w:val="22"/>
                    <w:keepNext w:val="0"/>
                    <w:keepLines w:val="0"/>
                    <w:pageBreakBefore w:val="0"/>
                    <w:kinsoku/>
                    <w:wordWrap/>
                    <w:overflowPunct/>
                    <w:topLinePunct w:val="0"/>
                    <w:autoSpaceDE/>
                    <w:autoSpaceDN/>
                    <w:bidi w:val="0"/>
                    <w:adjustRightInd/>
                    <w:snapToGrid/>
                    <w:spacing w:before="0" w:after="0" w:line="260" w:lineRule="exact"/>
                    <w:ind w:right="0" w:rightChars="0" w:firstLine="0" w:firstLineChars="0"/>
                    <w:jc w:val="center"/>
                    <w:textAlignment w:val="auto"/>
                    <w:rPr>
                      <w:rFonts w:hint="default" w:ascii="Times New Roman" w:hAnsi="Times New Roman" w:eastAsia="仿宋" w:cs="Times New Roman"/>
                      <w:color w:val="auto"/>
                      <w:spacing w:val="-11"/>
                      <w:kern w:val="0"/>
                      <w:sz w:val="21"/>
                      <w:szCs w:val="21"/>
                      <w:lang w:val="en-US" w:eastAsia="zh-CN" w:bidi="ar-SA"/>
                    </w:rPr>
                  </w:pPr>
                  <w:r>
                    <w:rPr>
                      <w:rFonts w:hint="default" w:ascii="Times New Roman" w:hAnsi="Times New Roman" w:eastAsia="仿宋" w:cs="Times New Roman"/>
                      <w:color w:val="auto"/>
                      <w:spacing w:val="-11"/>
                      <w:sz w:val="21"/>
                      <w:szCs w:val="21"/>
                      <w:lang w:val="en-US" w:eastAsia="zh-CN"/>
                    </w:rPr>
                    <w:t>119.81340230</w:t>
                  </w:r>
                </w:p>
              </w:tc>
              <w:tc>
                <w:tcPr>
                  <w:tcW w:w="521" w:type="pct"/>
                  <w:vMerge w:val="restart"/>
                  <w:noWrap w:val="0"/>
                  <w:vAlign w:val="center"/>
                </w:tcPr>
                <w:p w14:paraId="1E41A2F1">
                  <w:pPr>
                    <w:pStyle w:val="22"/>
                    <w:keepNext w:val="0"/>
                    <w:keepLines w:val="0"/>
                    <w:pageBreakBefore w:val="0"/>
                    <w:kinsoku/>
                    <w:wordWrap/>
                    <w:overflowPunct/>
                    <w:topLinePunct w:val="0"/>
                    <w:autoSpaceDE/>
                    <w:autoSpaceDN/>
                    <w:bidi w:val="0"/>
                    <w:adjustRightInd/>
                    <w:snapToGrid/>
                    <w:spacing w:before="0" w:after="0" w:line="260" w:lineRule="exact"/>
                    <w:ind w:right="0" w:rightChars="0" w:firstLine="0" w:firstLineChars="0"/>
                    <w:jc w:val="center"/>
                    <w:textAlignment w:val="auto"/>
                    <w:rPr>
                      <w:rFonts w:hint="default" w:ascii="Times New Roman" w:hAnsi="Times New Roman" w:eastAsia="仿宋" w:cs="Times New Roman"/>
                      <w:color w:val="auto"/>
                      <w:spacing w:val="-11"/>
                      <w:kern w:val="0"/>
                      <w:sz w:val="21"/>
                      <w:szCs w:val="21"/>
                      <w:lang w:val="en-US" w:eastAsia="zh-CN" w:bidi="ar-SA"/>
                    </w:rPr>
                  </w:pPr>
                  <w:r>
                    <w:rPr>
                      <w:rFonts w:hint="default" w:ascii="Times New Roman" w:hAnsi="Times New Roman" w:eastAsia="仿宋" w:cs="Times New Roman"/>
                      <w:color w:val="auto"/>
                      <w:spacing w:val="-11"/>
                      <w:sz w:val="21"/>
                      <w:szCs w:val="21"/>
                      <w:lang w:val="en-US" w:eastAsia="zh-CN"/>
                    </w:rPr>
                    <w:t>31.73146593</w:t>
                  </w:r>
                </w:p>
              </w:tc>
              <w:tc>
                <w:tcPr>
                  <w:tcW w:w="957" w:type="dxa"/>
                  <w:vMerge w:val="restart"/>
                  <w:noWrap w:val="0"/>
                  <w:vAlign w:val="center"/>
                </w:tcPr>
                <w:p w14:paraId="540199B8">
                  <w:pPr>
                    <w:pStyle w:val="22"/>
                    <w:keepNext w:val="0"/>
                    <w:keepLines w:val="0"/>
                    <w:pageBreakBefore w:val="0"/>
                    <w:kinsoku/>
                    <w:wordWrap/>
                    <w:overflowPunct/>
                    <w:topLinePunct w:val="0"/>
                    <w:autoSpaceDE/>
                    <w:autoSpaceDN/>
                    <w:bidi w:val="0"/>
                    <w:adjustRightInd/>
                    <w:snapToGrid/>
                    <w:spacing w:before="0" w:after="0" w:line="260" w:lineRule="exact"/>
                    <w:ind w:right="0" w:rightChars="0" w:firstLine="0" w:firstLineChars="0"/>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0.192</w:t>
                  </w:r>
                </w:p>
              </w:tc>
              <w:tc>
                <w:tcPr>
                  <w:tcW w:w="421" w:type="pct"/>
                  <w:vMerge w:val="restart"/>
                  <w:noWrap w:val="0"/>
                  <w:vAlign w:val="center"/>
                </w:tcPr>
                <w:p w14:paraId="3EA77EEA">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进入城市污水处理厂</w:t>
                  </w:r>
                </w:p>
              </w:tc>
              <w:tc>
                <w:tcPr>
                  <w:tcW w:w="517" w:type="pct"/>
                  <w:vMerge w:val="restart"/>
                  <w:noWrap w:val="0"/>
                  <w:vAlign w:val="center"/>
                </w:tcPr>
                <w:p w14:paraId="567059F1">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间歇排放、流量不稳定，但有周期性规律</w:t>
                  </w:r>
                </w:p>
              </w:tc>
              <w:tc>
                <w:tcPr>
                  <w:tcW w:w="355" w:type="pct"/>
                  <w:vMerge w:val="restart"/>
                  <w:noWrap w:val="0"/>
                  <w:vAlign w:val="center"/>
                </w:tcPr>
                <w:p w14:paraId="3AFBE0DA">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383" w:type="pct"/>
                  <w:vMerge w:val="restart"/>
                  <w:noWrap w:val="0"/>
                  <w:vAlign w:val="center"/>
                </w:tcPr>
                <w:p w14:paraId="2AB49B7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滨湖污水处理厂</w:t>
                  </w:r>
                </w:p>
              </w:tc>
              <w:tc>
                <w:tcPr>
                  <w:tcW w:w="486" w:type="pct"/>
                  <w:noWrap w:val="0"/>
                  <w:vAlign w:val="center"/>
                </w:tcPr>
                <w:p w14:paraId="6B889735">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tc>
              <w:tc>
                <w:tcPr>
                  <w:tcW w:w="719" w:type="pct"/>
                  <w:noWrap w:val="0"/>
                  <w:vAlign w:val="center"/>
                </w:tcPr>
                <w:p w14:paraId="067B9666">
                  <w:pPr>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w:t>
                  </w:r>
                </w:p>
              </w:tc>
            </w:tr>
            <w:tr w14:paraId="7D00FFB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noWrap w:val="0"/>
                  <w:vAlign w:val="center"/>
                </w:tcPr>
                <w:p w14:paraId="5093D5FA">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384" w:type="pct"/>
                  <w:vMerge w:val="continue"/>
                  <w:noWrap w:val="0"/>
                  <w:vAlign w:val="center"/>
                </w:tcPr>
                <w:p w14:paraId="50D42CB5">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63" w:type="pct"/>
                  <w:vMerge w:val="continue"/>
                  <w:noWrap w:val="0"/>
                  <w:vAlign w:val="center"/>
                </w:tcPr>
                <w:p w14:paraId="196050F4">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21" w:type="pct"/>
                  <w:vMerge w:val="continue"/>
                  <w:noWrap w:val="0"/>
                  <w:vAlign w:val="center"/>
                </w:tcPr>
                <w:p w14:paraId="462E7B73">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02" w:type="pct"/>
                  <w:vMerge w:val="continue"/>
                  <w:noWrap w:val="0"/>
                  <w:vAlign w:val="center"/>
                </w:tcPr>
                <w:p w14:paraId="524E6C20">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21" w:type="pct"/>
                  <w:vMerge w:val="continue"/>
                  <w:noWrap w:val="0"/>
                  <w:vAlign w:val="center"/>
                </w:tcPr>
                <w:p w14:paraId="2095DFC6">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17" w:type="pct"/>
                  <w:vMerge w:val="continue"/>
                  <w:noWrap w:val="0"/>
                  <w:vAlign w:val="center"/>
                </w:tcPr>
                <w:p w14:paraId="2C431C5F">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55" w:type="pct"/>
                  <w:vMerge w:val="continue"/>
                  <w:noWrap w:val="0"/>
                  <w:vAlign w:val="center"/>
                </w:tcPr>
                <w:p w14:paraId="62FACD95">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83" w:type="pct"/>
                  <w:vMerge w:val="continue"/>
                  <w:noWrap w:val="0"/>
                  <w:vAlign w:val="center"/>
                </w:tcPr>
                <w:p w14:paraId="75BEED9F">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86" w:type="pct"/>
                  <w:noWrap w:val="0"/>
                  <w:vAlign w:val="center"/>
                </w:tcPr>
                <w:p w14:paraId="66277EEF">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tc>
              <w:tc>
                <w:tcPr>
                  <w:tcW w:w="719" w:type="pct"/>
                  <w:noWrap w:val="0"/>
                  <w:vAlign w:val="center"/>
                </w:tcPr>
                <w:p w14:paraId="087EC54A">
                  <w:pPr>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w:t>
                  </w:r>
                </w:p>
              </w:tc>
            </w:tr>
            <w:tr w14:paraId="0E811EE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noWrap w:val="0"/>
                  <w:vAlign w:val="center"/>
                </w:tcPr>
                <w:p w14:paraId="6AB72DD7">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384" w:type="pct"/>
                  <w:vMerge w:val="continue"/>
                  <w:noWrap w:val="0"/>
                  <w:vAlign w:val="center"/>
                </w:tcPr>
                <w:p w14:paraId="181DDA67">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63" w:type="pct"/>
                  <w:vMerge w:val="continue"/>
                  <w:noWrap w:val="0"/>
                  <w:vAlign w:val="center"/>
                </w:tcPr>
                <w:p w14:paraId="21B1BC9D">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21" w:type="pct"/>
                  <w:vMerge w:val="continue"/>
                  <w:noWrap w:val="0"/>
                  <w:vAlign w:val="center"/>
                </w:tcPr>
                <w:p w14:paraId="1ED3E02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02" w:type="pct"/>
                  <w:vMerge w:val="continue"/>
                  <w:noWrap w:val="0"/>
                  <w:vAlign w:val="center"/>
                </w:tcPr>
                <w:p w14:paraId="183E2308">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21" w:type="pct"/>
                  <w:vMerge w:val="continue"/>
                  <w:noWrap w:val="0"/>
                  <w:vAlign w:val="center"/>
                </w:tcPr>
                <w:p w14:paraId="24B90FB6">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17" w:type="pct"/>
                  <w:vMerge w:val="continue"/>
                  <w:noWrap w:val="0"/>
                  <w:vAlign w:val="center"/>
                </w:tcPr>
                <w:p w14:paraId="3D3897B4">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55" w:type="pct"/>
                  <w:vMerge w:val="continue"/>
                  <w:noWrap w:val="0"/>
                  <w:vAlign w:val="center"/>
                </w:tcPr>
                <w:p w14:paraId="74C55FFF">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83" w:type="pct"/>
                  <w:vMerge w:val="continue"/>
                  <w:noWrap w:val="0"/>
                  <w:vAlign w:val="center"/>
                </w:tcPr>
                <w:p w14:paraId="64AD47D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86" w:type="pct"/>
                  <w:noWrap w:val="0"/>
                  <w:vAlign w:val="center"/>
                </w:tcPr>
                <w:p w14:paraId="5F04D544">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NH</w:t>
                  </w:r>
                  <w:r>
                    <w:rPr>
                      <w:rFonts w:hint="default" w:ascii="Times New Roman" w:hAnsi="Times New Roman" w:eastAsia="仿宋" w:cs="Times New Roman"/>
                      <w:color w:val="auto"/>
                      <w:sz w:val="21"/>
                      <w:szCs w:val="21"/>
                      <w:vertAlign w:val="subscript"/>
                      <w:lang w:val="en-US" w:eastAsia="zh-CN"/>
                    </w:rPr>
                    <w:t>3</w:t>
                  </w:r>
                  <w:r>
                    <w:rPr>
                      <w:rFonts w:hint="default" w:ascii="Times New Roman" w:hAnsi="Times New Roman" w:eastAsia="仿宋" w:cs="Times New Roman"/>
                      <w:color w:val="auto"/>
                      <w:sz w:val="21"/>
                      <w:szCs w:val="21"/>
                      <w:lang w:val="en-US" w:eastAsia="zh-CN"/>
                    </w:rPr>
                    <w:t>-N</w:t>
                  </w:r>
                </w:p>
              </w:tc>
              <w:tc>
                <w:tcPr>
                  <w:tcW w:w="719" w:type="pct"/>
                  <w:noWrap w:val="0"/>
                  <w:vAlign w:val="center"/>
                </w:tcPr>
                <w:p w14:paraId="49301074">
                  <w:pPr>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3（5）</w:t>
                  </w:r>
                </w:p>
              </w:tc>
            </w:tr>
            <w:tr w14:paraId="128F0CA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noWrap w:val="0"/>
                  <w:vAlign w:val="center"/>
                </w:tcPr>
                <w:p w14:paraId="616D86A2">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384" w:type="pct"/>
                  <w:vMerge w:val="continue"/>
                  <w:noWrap w:val="0"/>
                  <w:vAlign w:val="center"/>
                </w:tcPr>
                <w:p w14:paraId="59770F72">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63" w:type="pct"/>
                  <w:vMerge w:val="continue"/>
                  <w:noWrap w:val="0"/>
                  <w:vAlign w:val="center"/>
                </w:tcPr>
                <w:p w14:paraId="6D35DFA3">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21" w:type="pct"/>
                  <w:vMerge w:val="continue"/>
                  <w:noWrap w:val="0"/>
                  <w:vAlign w:val="center"/>
                </w:tcPr>
                <w:p w14:paraId="5299597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02" w:type="pct"/>
                  <w:vMerge w:val="continue"/>
                  <w:noWrap w:val="0"/>
                  <w:vAlign w:val="center"/>
                </w:tcPr>
                <w:p w14:paraId="5C58E5D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21" w:type="pct"/>
                  <w:vMerge w:val="continue"/>
                  <w:noWrap w:val="0"/>
                  <w:vAlign w:val="center"/>
                </w:tcPr>
                <w:p w14:paraId="7FB3E639">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17" w:type="pct"/>
                  <w:vMerge w:val="continue"/>
                  <w:noWrap w:val="0"/>
                  <w:vAlign w:val="center"/>
                </w:tcPr>
                <w:p w14:paraId="1FBA8F29">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55" w:type="pct"/>
                  <w:vMerge w:val="continue"/>
                  <w:noWrap w:val="0"/>
                  <w:vAlign w:val="center"/>
                </w:tcPr>
                <w:p w14:paraId="2AD7F5E0">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83" w:type="pct"/>
                  <w:vMerge w:val="continue"/>
                  <w:noWrap w:val="0"/>
                  <w:vAlign w:val="center"/>
                </w:tcPr>
                <w:p w14:paraId="2BC9C7E6">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86" w:type="pct"/>
                  <w:noWrap w:val="0"/>
                  <w:vAlign w:val="center"/>
                </w:tcPr>
                <w:p w14:paraId="6FBC91C6">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TP</w:t>
                  </w:r>
                </w:p>
              </w:tc>
              <w:tc>
                <w:tcPr>
                  <w:tcW w:w="719" w:type="pct"/>
                  <w:noWrap w:val="0"/>
                  <w:vAlign w:val="center"/>
                </w:tcPr>
                <w:p w14:paraId="0882D30C">
                  <w:pPr>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0.3</w:t>
                  </w:r>
                </w:p>
              </w:tc>
            </w:tr>
            <w:tr w14:paraId="2982801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44" w:type="pct"/>
                  <w:noWrap w:val="0"/>
                  <w:vAlign w:val="center"/>
                </w:tcPr>
                <w:p w14:paraId="3ABEEEA0">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384" w:type="pct"/>
                  <w:vMerge w:val="continue"/>
                  <w:noWrap w:val="0"/>
                  <w:vAlign w:val="center"/>
                </w:tcPr>
                <w:p w14:paraId="6C4A705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63" w:type="pct"/>
                  <w:vMerge w:val="continue"/>
                  <w:noWrap w:val="0"/>
                  <w:vAlign w:val="center"/>
                </w:tcPr>
                <w:p w14:paraId="620F5E51">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21" w:type="pct"/>
                  <w:vMerge w:val="continue"/>
                  <w:noWrap w:val="0"/>
                  <w:vAlign w:val="center"/>
                </w:tcPr>
                <w:p w14:paraId="480D3AE1">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02" w:type="pct"/>
                  <w:vMerge w:val="continue"/>
                  <w:noWrap w:val="0"/>
                  <w:vAlign w:val="center"/>
                </w:tcPr>
                <w:p w14:paraId="0120AC4A">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21" w:type="pct"/>
                  <w:vMerge w:val="continue"/>
                  <w:noWrap w:val="0"/>
                  <w:vAlign w:val="center"/>
                </w:tcPr>
                <w:p w14:paraId="2BFE2AAA">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517" w:type="pct"/>
                  <w:vMerge w:val="continue"/>
                  <w:noWrap w:val="0"/>
                  <w:vAlign w:val="center"/>
                </w:tcPr>
                <w:p w14:paraId="6A5C2860">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55" w:type="pct"/>
                  <w:vMerge w:val="continue"/>
                  <w:noWrap w:val="0"/>
                  <w:vAlign w:val="center"/>
                </w:tcPr>
                <w:p w14:paraId="102241DB">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383" w:type="pct"/>
                  <w:vMerge w:val="continue"/>
                  <w:noWrap w:val="0"/>
                  <w:vAlign w:val="center"/>
                </w:tcPr>
                <w:p w14:paraId="0753086C">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486" w:type="pct"/>
                  <w:noWrap w:val="0"/>
                  <w:vAlign w:val="center"/>
                </w:tcPr>
                <w:p w14:paraId="77D63F71">
                  <w:pPr>
                    <w:pStyle w:val="22"/>
                    <w:spacing w:before="0" w:after="0" w:line="28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TN</w:t>
                  </w:r>
                </w:p>
              </w:tc>
              <w:tc>
                <w:tcPr>
                  <w:tcW w:w="719" w:type="pct"/>
                  <w:noWrap w:val="0"/>
                  <w:vAlign w:val="center"/>
                </w:tcPr>
                <w:p w14:paraId="65FF60ED">
                  <w:pPr>
                    <w:spacing w:line="28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10（12）</w:t>
                  </w:r>
                </w:p>
              </w:tc>
            </w:tr>
          </w:tbl>
          <w:p w14:paraId="1BB34F39">
            <w:pPr>
              <w:jc w:val="left"/>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注：每年11月1日至次年3月31日执行括号内排放限值。</w:t>
            </w:r>
          </w:p>
          <w:p w14:paraId="399A735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p>
          <w:p w14:paraId="47E6DB7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p>
          <w:p w14:paraId="1F5C233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p>
          <w:p w14:paraId="73A516A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p>
          <w:p w14:paraId="45D741B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p>
          <w:p w14:paraId="7251175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③废水污染物排放执行标准表见表4-</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w:t>
            </w:r>
          </w:p>
          <w:p w14:paraId="36F870FE">
            <w:pPr>
              <w:pStyle w:val="2"/>
              <w:spacing w:before="0" w:after="0" w:line="240" w:lineRule="auto"/>
              <w:ind w:right="0" w:firstLine="422" w:firstLineChars="20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表4-5  废水污染物排放执行标准表</w:t>
            </w:r>
          </w:p>
          <w:tbl>
            <w:tblPr>
              <w:tblStyle w:val="24"/>
              <w:tblW w:w="4998" w:type="pct"/>
              <w:tblInd w:w="0" w:type="dxa"/>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83"/>
              <w:gridCol w:w="1540"/>
              <w:gridCol w:w="1989"/>
              <w:gridCol w:w="4543"/>
              <w:gridCol w:w="2841"/>
            </w:tblGrid>
            <w:tr w14:paraId="4B4C8B41">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Merge w:val="restart"/>
                  <w:tcBorders>
                    <w:top w:val="single" w:color="auto" w:sz="12" w:space="0"/>
                  </w:tcBorders>
                  <w:noWrap w:val="0"/>
                  <w:vAlign w:val="center"/>
                </w:tcPr>
                <w:p w14:paraId="3FC3EF15">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序号</w:t>
                  </w:r>
                </w:p>
              </w:tc>
              <w:tc>
                <w:tcPr>
                  <w:tcW w:w="647" w:type="pct"/>
                  <w:vMerge w:val="restart"/>
                  <w:tcBorders>
                    <w:top w:val="single" w:color="auto" w:sz="12" w:space="0"/>
                  </w:tcBorders>
                  <w:noWrap w:val="0"/>
                  <w:vAlign w:val="center"/>
                </w:tcPr>
                <w:p w14:paraId="7C81B985">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排放口编号</w:t>
                  </w:r>
                </w:p>
              </w:tc>
              <w:tc>
                <w:tcPr>
                  <w:tcW w:w="836" w:type="pct"/>
                  <w:vMerge w:val="restart"/>
                  <w:tcBorders>
                    <w:top w:val="single" w:color="auto" w:sz="12" w:space="0"/>
                  </w:tcBorders>
                  <w:noWrap w:val="0"/>
                  <w:vAlign w:val="center"/>
                </w:tcPr>
                <w:p w14:paraId="5BA67034">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污染物种类</w:t>
                  </w:r>
                </w:p>
              </w:tc>
              <w:tc>
                <w:tcPr>
                  <w:tcW w:w="3103" w:type="pct"/>
                  <w:gridSpan w:val="2"/>
                  <w:tcBorders>
                    <w:top w:val="single" w:color="auto" w:sz="12" w:space="0"/>
                  </w:tcBorders>
                  <w:noWrap w:val="0"/>
                  <w:vAlign w:val="center"/>
                </w:tcPr>
                <w:p w14:paraId="3911B8F8">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国家或地方污染物排放标准及其他按规定商定的排放协议</w:t>
                  </w:r>
                </w:p>
              </w:tc>
            </w:tr>
            <w:tr w14:paraId="5EEE209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vMerge w:val="continue"/>
                  <w:noWrap w:val="0"/>
                  <w:vAlign w:val="center"/>
                </w:tcPr>
                <w:p w14:paraId="7EB62657">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647" w:type="pct"/>
                  <w:vMerge w:val="continue"/>
                  <w:noWrap w:val="0"/>
                  <w:vAlign w:val="center"/>
                </w:tcPr>
                <w:p w14:paraId="6321A22F">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836" w:type="pct"/>
                  <w:vMerge w:val="continue"/>
                  <w:noWrap w:val="0"/>
                  <w:vAlign w:val="center"/>
                </w:tcPr>
                <w:p w14:paraId="404F9D1F">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p>
              </w:tc>
              <w:tc>
                <w:tcPr>
                  <w:tcW w:w="1909" w:type="pct"/>
                  <w:noWrap w:val="0"/>
                  <w:vAlign w:val="center"/>
                </w:tcPr>
                <w:p w14:paraId="44576F49">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名称</w:t>
                  </w:r>
                </w:p>
              </w:tc>
              <w:tc>
                <w:tcPr>
                  <w:tcW w:w="1194" w:type="pct"/>
                  <w:noWrap w:val="0"/>
                  <w:vAlign w:val="center"/>
                </w:tcPr>
                <w:p w14:paraId="37E66762">
                  <w:pPr>
                    <w:pStyle w:val="22"/>
                    <w:spacing w:before="0" w:after="0" w:line="300" w:lineRule="exact"/>
                    <w:ind w:right="0" w:firstLine="0" w:firstLineChars="0"/>
                    <w:jc w:val="center"/>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浓度限值/mg/L</w:t>
                  </w:r>
                </w:p>
              </w:tc>
            </w:tr>
            <w:tr w14:paraId="35AE3125">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6FB6D4BB">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w:t>
                  </w:r>
                </w:p>
              </w:tc>
              <w:tc>
                <w:tcPr>
                  <w:tcW w:w="647" w:type="pct"/>
                  <w:vMerge w:val="restart"/>
                  <w:noWrap w:val="0"/>
                  <w:vAlign w:val="center"/>
                </w:tcPr>
                <w:p w14:paraId="23ABD7C6">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DW001</w:t>
                  </w:r>
                </w:p>
              </w:tc>
              <w:tc>
                <w:tcPr>
                  <w:tcW w:w="836" w:type="pct"/>
                  <w:noWrap w:val="0"/>
                  <w:vAlign w:val="center"/>
                </w:tcPr>
                <w:p w14:paraId="777FCF4B">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pH</w:t>
                  </w:r>
                </w:p>
              </w:tc>
              <w:tc>
                <w:tcPr>
                  <w:tcW w:w="1909" w:type="pct"/>
                  <w:vMerge w:val="restart"/>
                  <w:noWrap w:val="0"/>
                  <w:vAlign w:val="center"/>
                </w:tcPr>
                <w:p w14:paraId="4214F5C2">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《污水排入城镇下水道水质标准》（GB/T31962-2015）</w:t>
                  </w:r>
                </w:p>
              </w:tc>
              <w:tc>
                <w:tcPr>
                  <w:tcW w:w="1194" w:type="pct"/>
                  <w:noWrap w:val="0"/>
                  <w:vAlign w:val="center"/>
                </w:tcPr>
                <w:p w14:paraId="3464AD38">
                  <w:pPr>
                    <w:spacing w:line="300" w:lineRule="exact"/>
                    <w:jc w:val="center"/>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6.5~9.5</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无量纲</w:t>
                  </w:r>
                  <w:r>
                    <w:rPr>
                      <w:rFonts w:hint="default" w:ascii="Times New Roman" w:hAnsi="Times New Roman" w:eastAsia="仿宋" w:cs="Times New Roman"/>
                      <w:color w:val="auto"/>
                      <w:sz w:val="21"/>
                      <w:szCs w:val="21"/>
                      <w:lang w:eastAsia="zh-CN"/>
                    </w:rPr>
                    <w:t>）</w:t>
                  </w:r>
                </w:p>
              </w:tc>
            </w:tr>
            <w:tr w14:paraId="3EB2803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365E99ED">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647" w:type="pct"/>
                  <w:vMerge w:val="continue"/>
                  <w:noWrap w:val="0"/>
                  <w:vAlign w:val="center"/>
                </w:tcPr>
                <w:p w14:paraId="508750C4">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836" w:type="pct"/>
                  <w:noWrap w:val="0"/>
                  <w:vAlign w:val="center"/>
                </w:tcPr>
                <w:p w14:paraId="20F4A25C">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COD</w:t>
                  </w:r>
                </w:p>
              </w:tc>
              <w:tc>
                <w:tcPr>
                  <w:tcW w:w="1909" w:type="pct"/>
                  <w:vMerge w:val="continue"/>
                  <w:noWrap w:val="0"/>
                  <w:vAlign w:val="center"/>
                </w:tcPr>
                <w:p w14:paraId="1D9DE672">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1194" w:type="pct"/>
                  <w:noWrap w:val="0"/>
                  <w:vAlign w:val="center"/>
                </w:tcPr>
                <w:p w14:paraId="5E46E7EE">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500</w:t>
                  </w:r>
                </w:p>
              </w:tc>
            </w:tr>
            <w:tr w14:paraId="5D2CE22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3EEF5BE1">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w:t>
                  </w:r>
                </w:p>
              </w:tc>
              <w:tc>
                <w:tcPr>
                  <w:tcW w:w="647" w:type="pct"/>
                  <w:vMerge w:val="continue"/>
                  <w:noWrap w:val="0"/>
                  <w:vAlign w:val="center"/>
                </w:tcPr>
                <w:p w14:paraId="1E45659B">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836" w:type="pct"/>
                  <w:noWrap w:val="0"/>
                  <w:vAlign w:val="center"/>
                </w:tcPr>
                <w:p w14:paraId="73B6E196">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SS</w:t>
                  </w:r>
                </w:p>
              </w:tc>
              <w:tc>
                <w:tcPr>
                  <w:tcW w:w="1909" w:type="pct"/>
                  <w:vMerge w:val="continue"/>
                  <w:noWrap w:val="0"/>
                  <w:vAlign w:val="center"/>
                </w:tcPr>
                <w:p w14:paraId="69F371DF">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1194" w:type="pct"/>
                  <w:noWrap w:val="0"/>
                  <w:vAlign w:val="center"/>
                </w:tcPr>
                <w:p w14:paraId="71A81909">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400</w:t>
                  </w:r>
                </w:p>
              </w:tc>
            </w:tr>
            <w:tr w14:paraId="5455445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015ABB11">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647" w:type="pct"/>
                  <w:vMerge w:val="continue"/>
                  <w:noWrap w:val="0"/>
                  <w:vAlign w:val="center"/>
                </w:tcPr>
                <w:p w14:paraId="5AD354D9">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836" w:type="pct"/>
                  <w:noWrap w:val="0"/>
                  <w:vAlign w:val="center"/>
                </w:tcPr>
                <w:p w14:paraId="7FFA30DA">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NH3-N</w:t>
                  </w:r>
                </w:p>
              </w:tc>
              <w:tc>
                <w:tcPr>
                  <w:tcW w:w="1909" w:type="pct"/>
                  <w:vMerge w:val="continue"/>
                  <w:noWrap w:val="0"/>
                  <w:vAlign w:val="center"/>
                </w:tcPr>
                <w:p w14:paraId="5F87E3AF">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1194" w:type="pct"/>
                  <w:noWrap w:val="0"/>
                  <w:vAlign w:val="center"/>
                </w:tcPr>
                <w:p w14:paraId="298C95C5">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45</w:t>
                  </w:r>
                </w:p>
              </w:tc>
            </w:tr>
            <w:tr w14:paraId="4092BCA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434B54FC">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w:t>
                  </w:r>
                </w:p>
              </w:tc>
              <w:tc>
                <w:tcPr>
                  <w:tcW w:w="647" w:type="pct"/>
                  <w:vMerge w:val="continue"/>
                  <w:noWrap w:val="0"/>
                  <w:vAlign w:val="center"/>
                </w:tcPr>
                <w:p w14:paraId="70B48D15">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836" w:type="pct"/>
                  <w:noWrap w:val="0"/>
                  <w:vAlign w:val="center"/>
                </w:tcPr>
                <w:p w14:paraId="313052CF">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TP</w:t>
                  </w:r>
                </w:p>
              </w:tc>
              <w:tc>
                <w:tcPr>
                  <w:tcW w:w="1909" w:type="pct"/>
                  <w:vMerge w:val="continue"/>
                  <w:noWrap w:val="0"/>
                  <w:vAlign w:val="center"/>
                </w:tcPr>
                <w:p w14:paraId="45FF577D">
                  <w:pPr>
                    <w:spacing w:line="300" w:lineRule="exact"/>
                    <w:jc w:val="center"/>
                    <w:rPr>
                      <w:rFonts w:hint="default" w:ascii="Times New Roman" w:hAnsi="Times New Roman" w:eastAsia="仿宋" w:cs="Times New Roman"/>
                      <w:color w:val="auto"/>
                      <w:sz w:val="21"/>
                      <w:szCs w:val="21"/>
                    </w:rPr>
                  </w:pPr>
                </w:p>
              </w:tc>
              <w:tc>
                <w:tcPr>
                  <w:tcW w:w="1194" w:type="pct"/>
                  <w:noWrap w:val="0"/>
                  <w:vAlign w:val="center"/>
                </w:tcPr>
                <w:p w14:paraId="552293B6">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r>
            <w:tr w14:paraId="2B5B95B2">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13" w:type="pct"/>
                  <w:noWrap w:val="0"/>
                  <w:vAlign w:val="center"/>
                </w:tcPr>
                <w:p w14:paraId="73F07130">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6</w:t>
                  </w:r>
                </w:p>
              </w:tc>
              <w:tc>
                <w:tcPr>
                  <w:tcW w:w="647" w:type="pct"/>
                  <w:vMerge w:val="continue"/>
                  <w:noWrap w:val="0"/>
                  <w:vAlign w:val="center"/>
                </w:tcPr>
                <w:p w14:paraId="6CB19440">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p>
              </w:tc>
              <w:tc>
                <w:tcPr>
                  <w:tcW w:w="836" w:type="pct"/>
                  <w:noWrap w:val="0"/>
                  <w:vAlign w:val="center"/>
                </w:tcPr>
                <w:p w14:paraId="0AFE1D5A">
                  <w:pPr>
                    <w:pStyle w:val="22"/>
                    <w:spacing w:before="0" w:after="0" w:line="300" w:lineRule="exact"/>
                    <w:ind w:right="0" w:firstLine="0" w:firstLineChars="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TN</w:t>
                  </w:r>
                </w:p>
              </w:tc>
              <w:tc>
                <w:tcPr>
                  <w:tcW w:w="1909" w:type="pct"/>
                  <w:vMerge w:val="continue"/>
                  <w:noWrap w:val="0"/>
                  <w:vAlign w:val="center"/>
                </w:tcPr>
                <w:p w14:paraId="4DBD269E">
                  <w:pPr>
                    <w:spacing w:line="300" w:lineRule="exact"/>
                    <w:jc w:val="center"/>
                    <w:rPr>
                      <w:rFonts w:hint="default" w:ascii="Times New Roman" w:hAnsi="Times New Roman" w:eastAsia="仿宋" w:cs="Times New Roman"/>
                      <w:color w:val="auto"/>
                      <w:sz w:val="21"/>
                      <w:szCs w:val="21"/>
                    </w:rPr>
                  </w:pPr>
                </w:p>
              </w:tc>
              <w:tc>
                <w:tcPr>
                  <w:tcW w:w="1194" w:type="pct"/>
                  <w:noWrap w:val="0"/>
                  <w:vAlign w:val="center"/>
                </w:tcPr>
                <w:p w14:paraId="6F1CDCF9">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70</w:t>
                  </w:r>
                </w:p>
              </w:tc>
            </w:tr>
          </w:tbl>
          <w:p w14:paraId="1DDAFB8F">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bCs/>
                <w:color w:val="auto"/>
                <w:sz w:val="24"/>
                <w:szCs w:val="24"/>
                <w:lang w:val="en-US" w:eastAsia="zh-CN"/>
              </w:rPr>
              <w:t>4</w:t>
            </w:r>
            <w:r>
              <w:rPr>
                <w:rFonts w:hint="default" w:ascii="Times New Roman" w:hAnsi="Times New Roman" w:eastAsia="仿宋" w:cs="Times New Roman"/>
                <w:b/>
                <w:bCs/>
                <w:color w:val="auto"/>
                <w:sz w:val="24"/>
                <w:szCs w:val="24"/>
              </w:rPr>
              <w:t>废水监测计划</w:t>
            </w:r>
          </w:p>
          <w:p w14:paraId="034981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监测点位：污水接管口。</w:t>
            </w:r>
          </w:p>
          <w:p w14:paraId="7ED578D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z w:val="24"/>
                <w:szCs w:val="24"/>
              </w:rPr>
              <w:t>监测频次：</w:t>
            </w:r>
            <w:r>
              <w:rPr>
                <w:rFonts w:hint="default" w:ascii="Times New Roman" w:hAnsi="Times New Roman" w:eastAsia="仿宋" w:cs="Times New Roman"/>
                <w:color w:val="auto"/>
                <w:spacing w:val="-2"/>
                <w:sz w:val="24"/>
                <w:szCs w:val="24"/>
              </w:rPr>
              <w:t>按《排污单位自行监测技术指南 总则》（HJ819-2017）要求每年监测一次</w:t>
            </w:r>
            <w:r>
              <w:rPr>
                <w:rFonts w:hint="default" w:ascii="Times New Roman" w:hAnsi="Times New Roman" w:eastAsia="仿宋" w:cs="Times New Roman"/>
                <w:color w:val="auto"/>
                <w:spacing w:val="-6"/>
                <w:sz w:val="24"/>
                <w:szCs w:val="24"/>
              </w:rPr>
              <w:t>。</w:t>
            </w:r>
          </w:p>
          <w:p w14:paraId="097C7EB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监测因子：pH、COD、SS、NH</w:t>
            </w:r>
            <w:r>
              <w:rPr>
                <w:rFonts w:hint="default" w:ascii="Times New Roman" w:hAnsi="Times New Roman" w:eastAsia="仿宋" w:cs="Times New Roman"/>
                <w:color w:val="auto"/>
                <w:sz w:val="24"/>
                <w:szCs w:val="24"/>
                <w:vertAlign w:val="subscript"/>
              </w:rPr>
              <w:t>3</w:t>
            </w:r>
            <w:r>
              <w:rPr>
                <w:rFonts w:hint="default" w:ascii="Times New Roman" w:hAnsi="Times New Roman" w:eastAsia="仿宋" w:cs="Times New Roman"/>
                <w:color w:val="auto"/>
                <w:sz w:val="24"/>
                <w:szCs w:val="24"/>
              </w:rPr>
              <w:t>-N、TP、TN。</w:t>
            </w:r>
          </w:p>
          <w:p w14:paraId="06E96031">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废水监测位置、监测因子、频率等详见表4-</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rPr>
              <w:t>。</w:t>
            </w:r>
          </w:p>
          <w:p w14:paraId="3468B388">
            <w:pPr>
              <w:pStyle w:val="55"/>
              <w:spacing w:before="0" w:beforeLines="0" w:line="240" w:lineRule="auto"/>
              <w:ind w:firstLine="0" w:firstLineChars="0"/>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表4-6  废水监测因子及频次表</w:t>
            </w:r>
          </w:p>
          <w:tbl>
            <w:tblPr>
              <w:tblStyle w:val="24"/>
              <w:tblW w:w="4997"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28" w:type="dxa"/>
                <w:bottom w:w="0" w:type="dxa"/>
                <w:right w:w="28" w:type="dxa"/>
              </w:tblCellMar>
            </w:tblPr>
            <w:tblGrid>
              <w:gridCol w:w="1361"/>
              <w:gridCol w:w="3286"/>
              <w:gridCol w:w="7247"/>
            </w:tblGrid>
            <w:tr w14:paraId="0BDD8C45">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72" w:type="pct"/>
                  <w:tcBorders>
                    <w:top w:val="single" w:color="auto" w:sz="12" w:space="0"/>
                  </w:tcBorders>
                  <w:noWrap w:val="0"/>
                  <w:vAlign w:val="center"/>
                </w:tcPr>
                <w:p w14:paraId="62F42A93">
                  <w:pPr>
                    <w:snapToGrid w:val="0"/>
                    <w:spacing w:line="32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监测点位</w:t>
                  </w:r>
                </w:p>
              </w:tc>
              <w:tc>
                <w:tcPr>
                  <w:tcW w:w="1381" w:type="pct"/>
                  <w:tcBorders>
                    <w:top w:val="single" w:color="auto" w:sz="12" w:space="0"/>
                  </w:tcBorders>
                  <w:noWrap w:val="0"/>
                  <w:vAlign w:val="center"/>
                </w:tcPr>
                <w:p w14:paraId="2C1352E9">
                  <w:pPr>
                    <w:snapToGrid w:val="0"/>
                    <w:spacing w:line="32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监测因子</w:t>
                  </w:r>
                </w:p>
              </w:tc>
              <w:tc>
                <w:tcPr>
                  <w:tcW w:w="3046" w:type="pct"/>
                  <w:tcBorders>
                    <w:top w:val="single" w:color="auto" w:sz="12" w:space="0"/>
                  </w:tcBorders>
                  <w:noWrap w:val="0"/>
                  <w:vAlign w:val="center"/>
                </w:tcPr>
                <w:p w14:paraId="194B55A9">
                  <w:pPr>
                    <w:snapToGrid w:val="0"/>
                    <w:spacing w:line="32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监测频次</w:t>
                  </w:r>
                </w:p>
              </w:tc>
            </w:tr>
            <w:tr w14:paraId="71241FBF">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572" w:type="pct"/>
                  <w:tcBorders>
                    <w:bottom w:val="single" w:color="auto" w:sz="12" w:space="0"/>
                  </w:tcBorders>
                  <w:noWrap w:val="0"/>
                  <w:vAlign w:val="center"/>
                </w:tcPr>
                <w:p w14:paraId="2DBCF79F">
                  <w:pPr>
                    <w:snapToGrid w:val="0"/>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w:t>
                  </w:r>
                  <w:r>
                    <w:rPr>
                      <w:rFonts w:hint="default" w:ascii="Times New Roman" w:hAnsi="Times New Roman" w:eastAsia="仿宋" w:cs="Times New Roman"/>
                      <w:color w:val="auto"/>
                      <w:sz w:val="21"/>
                      <w:szCs w:val="21"/>
                      <w:lang w:val="en-US" w:eastAsia="zh-CN"/>
                    </w:rPr>
                    <w:t>接管</w:t>
                  </w:r>
                  <w:r>
                    <w:rPr>
                      <w:rFonts w:hint="default" w:ascii="Times New Roman" w:hAnsi="Times New Roman" w:eastAsia="仿宋" w:cs="Times New Roman"/>
                      <w:color w:val="auto"/>
                      <w:sz w:val="21"/>
                      <w:szCs w:val="21"/>
                    </w:rPr>
                    <w:t>口</w:t>
                  </w:r>
                </w:p>
              </w:tc>
              <w:tc>
                <w:tcPr>
                  <w:tcW w:w="1381" w:type="pct"/>
                  <w:tcBorders>
                    <w:bottom w:val="single" w:color="auto" w:sz="12" w:space="0"/>
                  </w:tcBorders>
                  <w:noWrap w:val="0"/>
                  <w:vAlign w:val="center"/>
                </w:tcPr>
                <w:p w14:paraId="3D030ADD">
                  <w:pPr>
                    <w:snapToGrid w:val="0"/>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pH、COD、SS、NH</w:t>
                  </w:r>
                  <w:r>
                    <w:rPr>
                      <w:rFonts w:hint="default" w:ascii="Times New Roman" w:hAnsi="Times New Roman" w:eastAsia="仿宋" w:cs="Times New Roman"/>
                      <w:color w:val="auto"/>
                      <w:sz w:val="21"/>
                      <w:szCs w:val="21"/>
                      <w:vertAlign w:val="subscript"/>
                    </w:rPr>
                    <w:t>3</w:t>
                  </w:r>
                  <w:r>
                    <w:rPr>
                      <w:rFonts w:hint="default" w:ascii="Times New Roman" w:hAnsi="Times New Roman" w:eastAsia="仿宋" w:cs="Times New Roman"/>
                      <w:color w:val="auto"/>
                      <w:sz w:val="21"/>
                      <w:szCs w:val="21"/>
                    </w:rPr>
                    <w:t>-N、TP、TN</w:t>
                  </w:r>
                </w:p>
              </w:tc>
              <w:tc>
                <w:tcPr>
                  <w:tcW w:w="3046" w:type="pct"/>
                  <w:tcBorders>
                    <w:bottom w:val="single" w:color="auto" w:sz="12" w:space="0"/>
                  </w:tcBorders>
                  <w:noWrap w:val="0"/>
                  <w:vAlign w:val="center"/>
                </w:tcPr>
                <w:p w14:paraId="71DAFD45">
                  <w:pPr>
                    <w:snapToGrid w:val="0"/>
                    <w:spacing w:line="32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按《排污单位自行监测技术指南 总则》（HJ819-2017）要求每年监测一次</w:t>
                  </w:r>
                </w:p>
              </w:tc>
            </w:tr>
          </w:tbl>
          <w:p w14:paraId="5C2EEB84">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1</w:t>
            </w:r>
            <w:r>
              <w:rPr>
                <w:rFonts w:hint="default" w:ascii="Times New Roman" w:hAnsi="Times New Roman" w:eastAsia="仿宋" w:cs="Times New Roman"/>
                <w:b/>
                <w:bCs/>
                <w:color w:val="auto"/>
                <w:sz w:val="24"/>
                <w:szCs w:val="24"/>
              </w:rPr>
              <w:t>.</w:t>
            </w:r>
            <w:r>
              <w:rPr>
                <w:rFonts w:hint="default" w:ascii="Times New Roman" w:hAnsi="Times New Roman" w:eastAsia="仿宋" w:cs="Times New Roman"/>
                <w:b/>
                <w:bCs/>
                <w:color w:val="auto"/>
                <w:sz w:val="24"/>
                <w:szCs w:val="24"/>
                <w:lang w:val="en-US" w:eastAsia="zh-CN"/>
              </w:rPr>
              <w:t>5</w:t>
            </w:r>
            <w:r>
              <w:rPr>
                <w:rFonts w:hint="default" w:ascii="Times New Roman" w:hAnsi="Times New Roman" w:eastAsia="仿宋" w:cs="Times New Roman"/>
                <w:b/>
                <w:bCs/>
                <w:color w:val="auto"/>
                <w:sz w:val="24"/>
                <w:szCs w:val="24"/>
              </w:rPr>
              <w:t>接管可行性分析</w:t>
            </w:r>
          </w:p>
          <w:p w14:paraId="48EBE0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①滨湖污水处理厂概况</w:t>
            </w:r>
          </w:p>
          <w:p w14:paraId="6121E99F">
            <w:pPr>
              <w:pStyle w:val="60"/>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滨湖污水处理厂一期位于常州市武进经发区东北部，河新路以南、锦虹北路以西、长塘路以北、凤苑路以东的位置。滨湖污水处理厂总体规划规模为10万m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/d，一期工程规模为5万m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/d，收集系统服务范围北至振东路，南至沿江高速，西至金坛界，东至长江路（淹城路），包括滨湖新城北片区、滨湖新城南片区、嘉泽以及牛塘4个片区，总服务面积约为175km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，服务人口约为52万</w:t>
            </w:r>
            <w:r>
              <w:rPr>
                <w:rFonts w:hint="default" w:ascii="Times New Roman" w:hAnsi="Times New Roman" w:eastAsia="仿宋" w:cs="Times New Roman"/>
                <w:color w:val="auto"/>
                <w:kern w:val="0"/>
                <w:sz w:val="24"/>
                <w:szCs w:val="24"/>
              </w:rPr>
              <w:t>。</w:t>
            </w:r>
            <w:r>
              <w:rPr>
                <w:rFonts w:hint="default" w:ascii="Times New Roman" w:hAnsi="Times New Roman" w:eastAsia="仿宋" w:cs="Times New Roman"/>
                <w:color w:val="auto"/>
                <w:sz w:val="24"/>
                <w:szCs w:val="24"/>
              </w:rPr>
              <w:t>目前一期工程（5万m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/d）已建成，</w:t>
            </w:r>
            <w:r>
              <w:rPr>
                <w:rFonts w:hint="default" w:ascii="Times New Roman" w:hAnsi="Times New Roman" w:eastAsia="仿宋" w:cs="Times New Roman"/>
                <w:color w:val="auto"/>
                <w:kern w:val="0"/>
                <w:sz w:val="24"/>
                <w:szCs w:val="24"/>
              </w:rPr>
              <w:t>污水处理采用的工艺</w:t>
            </w:r>
            <w:r>
              <w:rPr>
                <w:rFonts w:hint="default" w:ascii="Times New Roman" w:hAnsi="Times New Roman" w:eastAsia="仿宋" w:cs="Times New Roman"/>
                <w:color w:val="auto"/>
                <w:sz w:val="24"/>
                <w:szCs w:val="24"/>
              </w:rPr>
              <w:t>为“粗格栅+进水泵房+细格栅+曝气沉砂池+膜格栅＋A</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/O+</w:t>
            </w:r>
            <w:r>
              <w:rPr>
                <w:rFonts w:hint="default" w:ascii="Times New Roman" w:hAnsi="Times New Roman" w:eastAsia="仿宋" w:cs="Times New Roman"/>
                <w:color w:val="auto"/>
                <w:kern w:val="0"/>
                <w:sz w:val="24"/>
                <w:szCs w:val="24"/>
              </w:rPr>
              <w:t>膜生物反应器（MBR）＋消毒接触”。尾水排放口设置在新京杭运河，</w:t>
            </w:r>
            <w:r>
              <w:rPr>
                <w:rFonts w:hint="default" w:ascii="Times New Roman" w:hAnsi="Times New Roman" w:eastAsia="仿宋" w:cs="Times New Roman"/>
                <w:color w:val="auto"/>
                <w:sz w:val="24"/>
                <w:szCs w:val="24"/>
              </w:rPr>
              <w:t>其中3.5万m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/d尾水达《太湖地区城镇污水处理厂及重点工业行业</w:t>
            </w:r>
            <w:r>
              <w:rPr>
                <w:rFonts w:hint="default" w:ascii="Times New Roman" w:hAnsi="Times New Roman" w:eastAsia="仿宋" w:cs="Times New Roman"/>
                <w:color w:val="auto"/>
                <w:sz w:val="24"/>
                <w:szCs w:val="24"/>
                <w:lang w:val="en-US" w:eastAsia="zh-CN"/>
              </w:rPr>
              <w:t>主要</w:t>
            </w:r>
            <w:r>
              <w:rPr>
                <w:rFonts w:hint="default" w:ascii="Times New Roman" w:hAnsi="Times New Roman" w:eastAsia="仿宋" w:cs="Times New Roman"/>
                <w:color w:val="auto"/>
                <w:sz w:val="24"/>
                <w:szCs w:val="24"/>
              </w:rPr>
              <w:t>水污染物排放限值》（</w:t>
            </w:r>
            <w:r>
              <w:rPr>
                <w:rFonts w:hint="default" w:ascii="Times New Roman" w:hAnsi="Times New Roman" w:eastAsia="仿宋" w:cs="Times New Roman"/>
                <w:color w:val="auto"/>
                <w:sz w:val="24"/>
                <w:szCs w:val="24"/>
                <w:lang w:eastAsia="zh-CN"/>
              </w:rPr>
              <w:t>DB32/1072-2018</w:t>
            </w:r>
            <w:r>
              <w:rPr>
                <w:rFonts w:hint="default" w:ascii="Times New Roman" w:hAnsi="Times New Roman" w:eastAsia="仿宋" w:cs="Times New Roman"/>
                <w:color w:val="auto"/>
                <w:sz w:val="24"/>
                <w:szCs w:val="24"/>
              </w:rPr>
              <w:t>）表2以及《城镇污水处理厂污染物排放标准》（GB18918-2002）表1一级A标准后或《城镇污水处理厂污染物排放标准》（DB32/4440-2022）排入新京杭大运河，1.5万m</w:t>
            </w:r>
            <w:r>
              <w:rPr>
                <w:rFonts w:hint="default" w:ascii="Times New Roman" w:hAnsi="Times New Roman" w:eastAsia="仿宋" w:cs="Times New Roman"/>
                <w:color w:val="auto"/>
                <w:sz w:val="24"/>
                <w:szCs w:val="24"/>
                <w:vertAlign w:val="superscript"/>
              </w:rPr>
              <w:t>3</w:t>
            </w:r>
            <w:r>
              <w:rPr>
                <w:rFonts w:hint="default" w:ascii="Times New Roman" w:hAnsi="Times New Roman" w:eastAsia="仿宋" w:cs="Times New Roman"/>
                <w:color w:val="auto"/>
                <w:sz w:val="24"/>
                <w:szCs w:val="24"/>
              </w:rPr>
              <w:t>/d再经过厂区湿地系统深度处理后达到《地表水环境质量标准》（GB3838-2002）Ⅳ类标准后排入长汀浜作为景观生态补水。</w:t>
            </w:r>
          </w:p>
          <w:p w14:paraId="79DDFD36">
            <w:pPr>
              <w:pStyle w:val="60"/>
              <w:keepNext w:val="0"/>
              <w:keepLines w:val="0"/>
              <w:pageBreakBefore w:val="0"/>
              <w:widowControl w:val="0"/>
              <w:kinsoku/>
              <w:wordWrap/>
              <w:overflowPunct/>
              <w:topLinePunct w:val="0"/>
              <w:autoSpaceDE/>
              <w:autoSpaceDN/>
              <w:bidi w:val="0"/>
              <w:adjustRightInd/>
              <w:snapToGrid/>
              <w:spacing w:line="480" w:lineRule="exact"/>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滨湖污水处理厂建设情况见表4-</w:t>
            </w:r>
            <w:r>
              <w:rPr>
                <w:rFonts w:hint="default" w:ascii="Times New Roman" w:hAnsi="Times New Roman" w:eastAsia="仿宋" w:cs="Times New Roman"/>
                <w:color w:val="auto"/>
                <w:sz w:val="24"/>
                <w:szCs w:val="24"/>
                <w:lang w:val="en-US" w:eastAsia="zh-CN"/>
              </w:rPr>
              <w:t>7</w:t>
            </w:r>
            <w:r>
              <w:rPr>
                <w:rFonts w:hint="default" w:ascii="Times New Roman" w:hAnsi="Times New Roman" w:eastAsia="仿宋" w:cs="Times New Roman"/>
                <w:color w:val="auto"/>
                <w:sz w:val="24"/>
                <w:szCs w:val="24"/>
              </w:rPr>
              <w:t>。</w:t>
            </w:r>
          </w:p>
          <w:p w14:paraId="5E747869">
            <w:pPr>
              <w:pStyle w:val="58"/>
              <w:spacing w:before="0" w:beforeLines="0" w:line="240" w:lineRule="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表4-</w:t>
            </w: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 xml:space="preserve">  滨湖污水处理厂建设情况一览表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53"/>
              <w:gridCol w:w="2105"/>
              <w:gridCol w:w="9038"/>
            </w:tblGrid>
            <w:tr w14:paraId="6EE0687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7DBF916C">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1047" w:type="pct"/>
                  <w:noWrap/>
                  <w:vAlign w:val="center"/>
                </w:tcPr>
                <w:p w14:paraId="31C9FF1D">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项目</w:t>
                  </w:r>
                </w:p>
              </w:tc>
              <w:tc>
                <w:tcPr>
                  <w:tcW w:w="3472" w:type="pct"/>
                  <w:noWrap/>
                  <w:vAlign w:val="center"/>
                </w:tcPr>
                <w:p w14:paraId="114DB29A">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内容</w:t>
                  </w:r>
                </w:p>
              </w:tc>
            </w:tr>
            <w:tr w14:paraId="264DA25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193A151A">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047" w:type="pct"/>
                  <w:noWrap/>
                  <w:vAlign w:val="center"/>
                </w:tcPr>
                <w:p w14:paraId="418C24AA">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污水处理设施</w:t>
                  </w:r>
                </w:p>
              </w:tc>
              <w:tc>
                <w:tcPr>
                  <w:tcW w:w="3472" w:type="pct"/>
                  <w:noWrap/>
                  <w:vAlign w:val="center"/>
                </w:tcPr>
                <w:p w14:paraId="7DF73ABE">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滨湖污水处理厂一期工程</w:t>
                  </w:r>
                </w:p>
              </w:tc>
            </w:tr>
            <w:tr w14:paraId="4D9E9A5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4E2A0099">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w:t>
                  </w:r>
                </w:p>
              </w:tc>
              <w:tc>
                <w:tcPr>
                  <w:tcW w:w="1047" w:type="pct"/>
                  <w:noWrap/>
                  <w:vAlign w:val="center"/>
                </w:tcPr>
                <w:p w14:paraId="63CB9E5C">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批复规模</w:t>
                  </w:r>
                </w:p>
              </w:tc>
              <w:tc>
                <w:tcPr>
                  <w:tcW w:w="3472" w:type="pct"/>
                  <w:noWrap/>
                  <w:vAlign w:val="center"/>
                </w:tcPr>
                <w:p w14:paraId="3118438D">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/d</w:t>
                  </w:r>
                </w:p>
              </w:tc>
            </w:tr>
            <w:tr w14:paraId="0AE2445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39061B09">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w:t>
                  </w:r>
                </w:p>
              </w:tc>
              <w:tc>
                <w:tcPr>
                  <w:tcW w:w="1047" w:type="pct"/>
                  <w:noWrap/>
                  <w:vAlign w:val="center"/>
                </w:tcPr>
                <w:p w14:paraId="4038A18D">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建成规模</w:t>
                  </w:r>
                </w:p>
              </w:tc>
              <w:tc>
                <w:tcPr>
                  <w:tcW w:w="3472" w:type="pct"/>
                  <w:noWrap/>
                  <w:vAlign w:val="center"/>
                </w:tcPr>
                <w:p w14:paraId="1076AB8A">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/d</w:t>
                  </w:r>
                </w:p>
              </w:tc>
            </w:tr>
            <w:tr w14:paraId="778BA6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479" w:type="pct"/>
                  <w:noWrap/>
                  <w:vAlign w:val="center"/>
                </w:tcPr>
                <w:p w14:paraId="5D450BF1">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w:t>
                  </w:r>
                </w:p>
              </w:tc>
              <w:tc>
                <w:tcPr>
                  <w:tcW w:w="1047" w:type="pct"/>
                  <w:noWrap/>
                  <w:vAlign w:val="center"/>
                </w:tcPr>
                <w:p w14:paraId="077BA5CF">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处理工艺</w:t>
                  </w:r>
                </w:p>
              </w:tc>
              <w:tc>
                <w:tcPr>
                  <w:tcW w:w="3472" w:type="pct"/>
                  <w:noWrap/>
                  <w:vAlign w:val="center"/>
                </w:tcPr>
                <w:p w14:paraId="63BD1B45">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粗格栅+进水泵房+细格栅+曝气沉砂池+膜格栅＋A</w:t>
                  </w:r>
                  <w:r>
                    <w:rPr>
                      <w:rFonts w:hint="default" w:ascii="Times New Roman" w:hAnsi="Times New Roman" w:eastAsia="仿宋" w:cs="Times New Roman"/>
                      <w:color w:val="auto"/>
                      <w:sz w:val="21"/>
                      <w:szCs w:val="21"/>
                      <w:vertAlign w:val="superscript"/>
                    </w:rPr>
                    <w:t>2</w:t>
                  </w:r>
                  <w:r>
                    <w:rPr>
                      <w:rFonts w:hint="default" w:ascii="Times New Roman" w:hAnsi="Times New Roman" w:eastAsia="仿宋" w:cs="Times New Roman"/>
                      <w:color w:val="auto"/>
                      <w:sz w:val="21"/>
                      <w:szCs w:val="21"/>
                    </w:rPr>
                    <w:t>/O+膜生物反应器（MBR）＋消毒接触</w:t>
                  </w:r>
                </w:p>
              </w:tc>
            </w:tr>
            <w:tr w14:paraId="51EB070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6CD0ADB8">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047" w:type="pct"/>
                  <w:noWrap/>
                  <w:vAlign w:val="center"/>
                </w:tcPr>
                <w:p w14:paraId="47D4674F">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环评情况及批复</w:t>
                  </w:r>
                </w:p>
              </w:tc>
              <w:tc>
                <w:tcPr>
                  <w:tcW w:w="3472" w:type="pct"/>
                  <w:noWrap/>
                  <w:vAlign w:val="center"/>
                </w:tcPr>
                <w:p w14:paraId="6C0A24AA">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滨湖污水处理厂一期工程项目；武环开复[2015]24号</w:t>
                  </w:r>
                </w:p>
              </w:tc>
            </w:tr>
            <w:tr w14:paraId="6BDB13F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6330CF0B">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w:t>
                  </w:r>
                </w:p>
              </w:tc>
              <w:tc>
                <w:tcPr>
                  <w:tcW w:w="1047" w:type="pct"/>
                  <w:noWrap/>
                  <w:vAlign w:val="center"/>
                </w:tcPr>
                <w:p w14:paraId="167D7A80">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“三同时”验收</w:t>
                  </w:r>
                </w:p>
              </w:tc>
              <w:tc>
                <w:tcPr>
                  <w:tcW w:w="3472" w:type="pct"/>
                  <w:noWrap/>
                  <w:vAlign w:val="center"/>
                </w:tcPr>
                <w:p w14:paraId="60F46DCD">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2018年12月24日完成验收</w:t>
                  </w:r>
                </w:p>
              </w:tc>
            </w:tr>
            <w:tr w14:paraId="4CA54EF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1E672C58">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7</w:t>
                  </w:r>
                </w:p>
              </w:tc>
              <w:tc>
                <w:tcPr>
                  <w:tcW w:w="1047" w:type="pct"/>
                  <w:noWrap/>
                  <w:vAlign w:val="center"/>
                </w:tcPr>
                <w:p w14:paraId="04F51D3C">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排放去向</w:t>
                  </w:r>
                </w:p>
              </w:tc>
              <w:tc>
                <w:tcPr>
                  <w:tcW w:w="3472" w:type="pct"/>
                  <w:noWrap/>
                  <w:vAlign w:val="center"/>
                </w:tcPr>
                <w:p w14:paraId="7C1CF0E5">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其中3.5万m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/d尾水达标排入新京杭运河，1.5万m</w:t>
                  </w:r>
                  <w:r>
                    <w:rPr>
                      <w:rFonts w:hint="default" w:ascii="Times New Roman" w:hAnsi="Times New Roman" w:eastAsia="仿宋" w:cs="Times New Roman"/>
                      <w:color w:val="auto"/>
                      <w:sz w:val="21"/>
                      <w:szCs w:val="21"/>
                      <w:vertAlign w:val="superscript"/>
                    </w:rPr>
                    <w:t>3</w:t>
                  </w:r>
                  <w:r>
                    <w:rPr>
                      <w:rFonts w:hint="default" w:ascii="Times New Roman" w:hAnsi="Times New Roman" w:eastAsia="仿宋" w:cs="Times New Roman"/>
                      <w:color w:val="auto"/>
                      <w:sz w:val="21"/>
                      <w:szCs w:val="21"/>
                    </w:rPr>
                    <w:t>/d尾水达标后排入长汀浜作为景观生态补水</w:t>
                  </w:r>
                </w:p>
              </w:tc>
            </w:tr>
            <w:tr w14:paraId="485E8BD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c>
                <w:tcPr>
                  <w:tcW w:w="479" w:type="pct"/>
                  <w:noWrap/>
                  <w:vAlign w:val="center"/>
                </w:tcPr>
                <w:p w14:paraId="0321203B">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8</w:t>
                  </w:r>
                </w:p>
              </w:tc>
              <w:tc>
                <w:tcPr>
                  <w:tcW w:w="1047" w:type="pct"/>
                  <w:noWrap/>
                  <w:vAlign w:val="center"/>
                </w:tcPr>
                <w:p w14:paraId="3F85E5D5">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批复总量</w:t>
                  </w:r>
                </w:p>
              </w:tc>
              <w:tc>
                <w:tcPr>
                  <w:tcW w:w="3472" w:type="pct"/>
                  <w:noWrap/>
                  <w:vAlign w:val="center"/>
                </w:tcPr>
                <w:p w14:paraId="67718AE6">
                  <w:pPr>
                    <w:pStyle w:val="52"/>
                    <w:spacing w:line="300" w:lineRule="exact"/>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废水量≦18250000t/a、COD≦ 803t/a，氨氮≦72.0875t/a，总氮≦273.75t/a，总磷≦8.03t/a</w:t>
                  </w:r>
                </w:p>
              </w:tc>
            </w:tr>
          </w:tbl>
          <w:p w14:paraId="065C21E4">
            <w:pPr>
              <w:pStyle w:val="60"/>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default" w:ascii="Times New Roman" w:hAnsi="Times New Roman" w:eastAsia="仿宋" w:cs="Times New Roman"/>
                <w:color w:val="auto"/>
                <w:sz w:val="24"/>
                <w:szCs w:val="24"/>
              </w:rPr>
            </w:pPr>
          </w:p>
          <w:p w14:paraId="4FE2F53F">
            <w:pPr>
              <w:pStyle w:val="60"/>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default" w:ascii="Times New Roman" w:hAnsi="Times New Roman" w:eastAsia="仿宋" w:cs="Times New Roman"/>
                <w:color w:val="auto"/>
                <w:sz w:val="24"/>
                <w:szCs w:val="24"/>
              </w:rPr>
            </w:pPr>
          </w:p>
          <w:p w14:paraId="16088376">
            <w:pPr>
              <w:pStyle w:val="60"/>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default" w:ascii="Times New Roman" w:hAnsi="Times New Roman" w:eastAsia="仿宋" w:cs="Times New Roman"/>
                <w:color w:val="auto"/>
                <w:sz w:val="24"/>
                <w:szCs w:val="24"/>
              </w:rPr>
            </w:pPr>
          </w:p>
          <w:p w14:paraId="60ACBD69">
            <w:pPr>
              <w:pStyle w:val="60"/>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default" w:ascii="Times New Roman" w:hAnsi="Times New Roman" w:eastAsia="仿宋" w:cs="Times New Roman"/>
                <w:color w:val="auto"/>
                <w:sz w:val="24"/>
                <w:szCs w:val="24"/>
              </w:rPr>
            </w:pPr>
          </w:p>
          <w:p w14:paraId="57038F6B">
            <w:pPr>
              <w:pStyle w:val="60"/>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滨湖污水处理厂工艺流程见图4-</w:t>
            </w:r>
            <w:r>
              <w:rPr>
                <w:rFonts w:hint="default" w:ascii="Times New Roman" w:hAnsi="Times New Roman" w:eastAsia="仿宋" w:cs="Times New Roman"/>
                <w:color w:val="auto"/>
                <w:sz w:val="24"/>
                <w:szCs w:val="24"/>
                <w:lang w:val="en-US" w:eastAsia="zh-CN"/>
              </w:rPr>
              <w:t>1</w:t>
            </w:r>
            <w:r>
              <w:rPr>
                <w:rFonts w:hint="default" w:ascii="Times New Roman" w:hAnsi="Times New Roman" w:eastAsia="仿宋" w:cs="Times New Roman"/>
                <w:color w:val="auto"/>
                <w:sz w:val="24"/>
                <w:szCs w:val="24"/>
              </w:rPr>
              <w:t>。</w:t>
            </w:r>
          </w:p>
          <w:p w14:paraId="6CFC21B2">
            <w:pPr>
              <w:pStyle w:val="23"/>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eastAsia="仿宋" w:cs="Times New Roman"/>
                <w:color w:val="auto"/>
                <w:szCs w:val="22"/>
                <w:lang w:val="en-US" w:eastAsia="zh-CN"/>
              </w:rPr>
            </w:pPr>
            <w:r>
              <w:rPr>
                <w:rFonts w:hint="default" w:ascii="Times New Roman" w:hAnsi="Times New Roman" w:eastAsia="仿宋" w:cs="Times New Roman"/>
                <w:color w:val="auto"/>
                <w:szCs w:val="22"/>
                <w:lang w:val="en-US" w:eastAsia="zh-CN"/>
              </w:rPr>
              <w:drawing>
                <wp:inline distT="0" distB="0" distL="114300" distR="114300">
                  <wp:extent cx="4143375" cy="2894330"/>
                  <wp:effectExtent l="0" t="0" r="9525" b="1270"/>
                  <wp:docPr id="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4"/>
                          <pic:cNvPicPr>
                            <a:picLocks noChangeAspect="1"/>
                          </pic:cNvPicPr>
                        </pic:nvPicPr>
                        <pic:blipFill>
                          <a:blip r:embed="rId14"/>
                          <a:stretch>
                            <a:fillRect/>
                          </a:stretch>
                        </pic:blipFill>
                        <pic:spPr>
                          <a:xfrm>
                            <a:off x="0" y="0"/>
                            <a:ext cx="4143375" cy="2894330"/>
                          </a:xfrm>
                          <a:prstGeom prst="rect">
                            <a:avLst/>
                          </a:prstGeom>
                          <a:noFill/>
                          <a:ln>
                            <a:noFill/>
                          </a:ln>
                        </pic:spPr>
                      </pic:pic>
                    </a:graphicData>
                  </a:graphic>
                </wp:inline>
              </w:drawing>
            </w:r>
          </w:p>
          <w:p w14:paraId="233816A3">
            <w:pPr>
              <w:spacing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图4-</w:t>
            </w:r>
            <w:r>
              <w:rPr>
                <w:rFonts w:hint="default" w:ascii="Times New Roman" w:hAnsi="Times New Roman" w:eastAsia="仿宋" w:cs="Times New Roman"/>
                <w:b/>
                <w:bCs/>
                <w:color w:val="auto"/>
                <w:szCs w:val="21"/>
                <w:lang w:val="en-US" w:eastAsia="zh-CN"/>
              </w:rPr>
              <w:t>1</w:t>
            </w:r>
            <w:r>
              <w:rPr>
                <w:rFonts w:hint="default" w:ascii="Times New Roman" w:hAnsi="Times New Roman" w:eastAsia="仿宋" w:cs="Times New Roman"/>
                <w:b/>
                <w:bCs/>
                <w:color w:val="auto"/>
                <w:szCs w:val="21"/>
              </w:rPr>
              <w:t xml:space="preserve">  滨湖污水处理厂工艺流程图</w:t>
            </w:r>
          </w:p>
          <w:p w14:paraId="4B52A8E0">
            <w:pPr>
              <w:keepNext w:val="0"/>
              <w:keepLines w:val="0"/>
              <w:pageBreakBefore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②污水接管可行性</w:t>
            </w:r>
          </w:p>
          <w:p w14:paraId="1D9C0E16">
            <w:pPr>
              <w:pStyle w:val="22"/>
              <w:keepNext w:val="0"/>
              <w:keepLines w:val="0"/>
              <w:pageBreakBefore w:val="0"/>
              <w:kinsoku/>
              <w:wordWrap/>
              <w:overflowPunct/>
              <w:topLinePunct w:val="0"/>
              <w:autoSpaceDE/>
              <w:autoSpaceDN/>
              <w:bidi w:val="0"/>
              <w:adjustRightInd/>
              <w:snapToGrid/>
              <w:spacing w:before="0" w:after="0" w:afterLines="0" w:line="480" w:lineRule="exact"/>
              <w:ind w:right="0" w:firstLine="482"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b/>
                <w:bCs/>
                <w:color w:val="auto"/>
                <w:kern w:val="2"/>
                <w:sz w:val="24"/>
                <w:szCs w:val="24"/>
                <w:lang w:val="en-US" w:eastAsia="zh-CN"/>
              </w:rPr>
              <w:t>水量的可行性分析：</w:t>
            </w:r>
            <w:r>
              <w:rPr>
                <w:rFonts w:hint="default" w:ascii="Times New Roman" w:hAnsi="Times New Roman" w:eastAsia="仿宋" w:cs="Times New Roman"/>
                <w:color w:val="auto"/>
                <w:sz w:val="24"/>
                <w:szCs w:val="24"/>
                <w:lang w:val="en-US" w:eastAsia="zh-CN"/>
              </w:rPr>
              <w:t>本项目废水主要为员工产生的生活污水，新增排水量约为1920m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/a（6.4m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/d），占滨湖污水处理厂处理规模的0.0128%（处理规模为5万m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/d）；并根据调查，现该污水处理厂已签约的水量仅为3.0万m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/d，其剩余总量约2.0万m</w:t>
            </w:r>
            <w:r>
              <w:rPr>
                <w:rFonts w:hint="default" w:ascii="Times New Roman" w:hAnsi="Times New Roman" w:eastAsia="仿宋" w:cs="Times New Roman"/>
                <w:color w:val="auto"/>
                <w:sz w:val="24"/>
                <w:szCs w:val="24"/>
                <w:vertAlign w:val="superscript"/>
                <w:lang w:val="en-US" w:eastAsia="zh-CN"/>
              </w:rPr>
              <w:t>3</w:t>
            </w:r>
            <w:r>
              <w:rPr>
                <w:rFonts w:hint="default" w:ascii="Times New Roman" w:hAnsi="Times New Roman" w:eastAsia="仿宋" w:cs="Times New Roman"/>
                <w:color w:val="auto"/>
                <w:sz w:val="24"/>
                <w:szCs w:val="24"/>
                <w:lang w:val="en-US" w:eastAsia="zh-CN"/>
              </w:rPr>
              <w:t>/d，本项目废水仅占其剩余总量0.032%。可见，本项目废水排放量很小，接入滨湖污水处理厂完全可行。因此，从废水量来看，滨湖污水处理厂完全有能力接收本项目废水。</w:t>
            </w:r>
          </w:p>
          <w:p w14:paraId="7D4AB6E1">
            <w:pPr>
              <w:pStyle w:val="60"/>
              <w:keepNext w:val="0"/>
              <w:keepLines w:val="0"/>
              <w:pageBreakBefore w:val="0"/>
              <w:kinsoku/>
              <w:wordWrap/>
              <w:overflowPunct/>
              <w:topLinePunct w:val="0"/>
              <w:autoSpaceDE/>
              <w:autoSpaceDN/>
              <w:bidi w:val="0"/>
              <w:adjustRightInd/>
              <w:snapToGrid/>
              <w:spacing w:line="480" w:lineRule="exact"/>
              <w:ind w:right="0" w:firstLine="422"/>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b/>
                <w:bCs/>
                <w:color w:val="auto"/>
                <w:sz w:val="24"/>
                <w:szCs w:val="24"/>
              </w:rPr>
              <w:t>水质的可行性分析：</w:t>
            </w:r>
            <w:r>
              <w:rPr>
                <w:rFonts w:hint="default" w:ascii="Times New Roman" w:hAnsi="Times New Roman" w:eastAsia="仿宋" w:cs="Times New Roman"/>
                <w:color w:val="auto"/>
                <w:sz w:val="24"/>
                <w:szCs w:val="24"/>
              </w:rPr>
              <w:t>本项目废水仅为生活污水，水质简单，可满足滨湖污水处理厂的接管要求，接管后不会对污水处理厂的处理工艺产生冲击，也不会对污水厂的正常运营产生冲击负荷，不影响其出水水质稳定达标排放。因此从水质上来说，本项目废水接管可行。管网和污水处理厂建设进度：本项目位于滨湖污水处理厂的服务范围内，且项目所在地的污水管网已铺设到位</w:t>
            </w:r>
            <w:r>
              <w:rPr>
                <w:rFonts w:hint="default" w:ascii="Times New Roman" w:hAnsi="Times New Roman" w:eastAsia="仿宋" w:cs="Times New Roman"/>
                <w:color w:val="auto"/>
                <w:kern w:val="0"/>
                <w:sz w:val="24"/>
                <w:szCs w:val="24"/>
              </w:rPr>
              <w:t>。</w:t>
            </w:r>
          </w:p>
          <w:p w14:paraId="111DFFFA">
            <w:pPr>
              <w:pStyle w:val="60"/>
              <w:keepNext w:val="0"/>
              <w:keepLines w:val="0"/>
              <w:pageBreakBefore w:val="0"/>
              <w:kinsoku/>
              <w:wordWrap/>
              <w:overflowPunct/>
              <w:topLinePunct w:val="0"/>
              <w:autoSpaceDE/>
              <w:autoSpaceDN/>
              <w:bidi w:val="0"/>
              <w:adjustRightInd/>
              <w:snapToGrid/>
              <w:spacing w:line="480" w:lineRule="exact"/>
              <w:ind w:right="0" w:firstLine="420"/>
              <w:textAlignment w:val="auto"/>
              <w:rPr>
                <w:rFonts w:hint="default" w:ascii="Times New Roman" w:hAnsi="Times New Roman" w:eastAsia="仿宋" w:cs="Times New Roman"/>
                <w:color w:val="auto"/>
                <w:kern w:val="0"/>
                <w:sz w:val="24"/>
                <w:szCs w:val="24"/>
              </w:rPr>
            </w:pPr>
            <w:r>
              <w:rPr>
                <w:rFonts w:hint="default" w:ascii="Times New Roman" w:hAnsi="Times New Roman" w:eastAsia="仿宋" w:cs="Times New Roman"/>
                <w:color w:val="auto"/>
                <w:kern w:val="0"/>
                <w:sz w:val="24"/>
                <w:szCs w:val="24"/>
              </w:rPr>
              <w:t>综上所述，从水质水量、接管标准及建设进度等方面综合考虑，本项目废水接管进滨湖污水处理厂处理可行。</w:t>
            </w:r>
          </w:p>
          <w:p w14:paraId="11934227">
            <w:pPr>
              <w:keepNext w:val="0"/>
              <w:keepLines w:val="0"/>
              <w:pageBreakBefore w:val="0"/>
              <w:widowControl w:val="0"/>
              <w:numPr>
                <w:ilvl w:val="0"/>
                <w:numId w:val="13"/>
              </w:numPr>
              <w:kinsoku/>
              <w:wordWrap/>
              <w:overflowPunct/>
              <w:topLinePunct w:val="0"/>
              <w:autoSpaceDE/>
              <w:autoSpaceDN/>
              <w:bidi w:val="0"/>
              <w:adjustRightInd/>
              <w:snapToGrid/>
              <w:spacing w:line="480" w:lineRule="exact"/>
              <w:ind w:left="0" w:leftChars="0" w:right="0" w:firstLine="0" w:firstLineChars="0"/>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废气</w:t>
            </w:r>
          </w:p>
          <w:p w14:paraId="2E9D23EC">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2.1废气源强分析</w:t>
            </w:r>
          </w:p>
          <w:p w14:paraId="47F98AEA">
            <w:pPr>
              <w:keepNext w:val="0"/>
              <w:keepLines w:val="0"/>
              <w:pageBreakBefore w:val="0"/>
              <w:widowControl w:val="0"/>
              <w:kinsoku/>
              <w:wordWrap/>
              <w:overflowPunct/>
              <w:topLinePunct w:val="0"/>
              <w:autoSpaceDE/>
              <w:autoSpaceDN/>
              <w:bidi w:val="0"/>
              <w:adjustRightInd/>
              <w:snapToGrid/>
              <w:spacing w:line="480" w:lineRule="exact"/>
              <w:ind w:right="0" w:firstLine="482" w:firstLineChars="200"/>
              <w:textAlignment w:val="auto"/>
              <w:rPr>
                <w:rFonts w:hint="default" w:eastAsia="仿宋" w:cs="Times New Roman"/>
                <w:b/>
                <w:bCs w:val="0"/>
                <w:color w:val="auto"/>
                <w:sz w:val="24"/>
                <w:szCs w:val="24"/>
                <w:lang w:val="en-US" w:eastAsia="zh-CN"/>
              </w:rPr>
            </w:pPr>
            <w:r>
              <w:rPr>
                <w:rFonts w:hint="eastAsia" w:eastAsia="仿宋" w:cs="Times New Roman"/>
                <w:b/>
                <w:bCs w:val="0"/>
                <w:color w:val="auto"/>
                <w:sz w:val="24"/>
                <w:szCs w:val="24"/>
                <w:lang w:val="en-US" w:eastAsia="zh-CN"/>
              </w:rPr>
              <w:t>（1）涂胶及固化废气</w:t>
            </w:r>
          </w:p>
          <w:p w14:paraId="03A062B8">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eastAsia" w:eastAsia="仿宋" w:cs="Times New Roman"/>
                <w:bCs/>
                <w:color w:val="auto"/>
                <w:sz w:val="24"/>
                <w:szCs w:val="24"/>
                <w:lang w:val="en-US" w:eastAsia="zh-CN"/>
              </w:rPr>
              <w:t>根据提供的胶水VOCs检测报告，胶水中VOC含量未检出，且本项目胶水用量较小，因此本环评不对涂胶废气进行定量分析。本项目</w:t>
            </w:r>
            <w:r>
              <w:rPr>
                <w:rFonts w:hint="default" w:ascii="Times New Roman" w:hAnsi="Times New Roman" w:eastAsia="仿宋" w:cs="Times New Roman"/>
                <w:bCs/>
                <w:color w:val="auto"/>
                <w:sz w:val="24"/>
                <w:szCs w:val="24"/>
                <w:lang w:val="en-US" w:eastAsia="zh-CN"/>
              </w:rPr>
              <w:t>产生焊接烟尘，经移动式焊烟净化器收集处理后在车间无组织排放。</w:t>
            </w:r>
          </w:p>
          <w:p w14:paraId="1FC3C181">
            <w:pPr>
              <w:keepNext w:val="0"/>
              <w:keepLines w:val="0"/>
              <w:pageBreakBefore w:val="0"/>
              <w:widowControl w:val="0"/>
              <w:kinsoku/>
              <w:wordWrap/>
              <w:overflowPunct/>
              <w:topLinePunct w:val="0"/>
              <w:autoSpaceDE/>
              <w:autoSpaceDN/>
              <w:bidi w:val="0"/>
              <w:adjustRightInd/>
              <w:snapToGrid/>
              <w:spacing w:line="480" w:lineRule="exact"/>
              <w:ind w:right="0" w:firstLine="482" w:firstLineChars="200"/>
              <w:textAlignment w:val="auto"/>
              <w:rPr>
                <w:rFonts w:hint="default" w:ascii="Times New Roman" w:hAnsi="Times New Roman" w:eastAsia="仿宋" w:cs="Times New Roman"/>
                <w:b/>
                <w:bCs w:val="0"/>
                <w:color w:val="auto"/>
                <w:sz w:val="24"/>
                <w:szCs w:val="24"/>
                <w:lang w:val="en-US" w:eastAsia="zh-CN"/>
              </w:rPr>
            </w:pPr>
            <w:r>
              <w:rPr>
                <w:rFonts w:hint="eastAsia" w:eastAsia="仿宋" w:cs="Times New Roman"/>
                <w:b/>
                <w:bCs w:val="0"/>
                <w:color w:val="auto"/>
                <w:sz w:val="24"/>
                <w:szCs w:val="24"/>
                <w:lang w:val="en-US" w:eastAsia="zh-CN"/>
              </w:rPr>
              <w:t>（2）焊接废气</w:t>
            </w:r>
          </w:p>
          <w:p w14:paraId="50DB56A1">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eastAsia="仿宋" w:cs="Times New Roman"/>
                <w:bCs/>
                <w:color w:val="auto"/>
                <w:sz w:val="24"/>
                <w:szCs w:val="24"/>
                <w:lang w:val="en-US" w:eastAsia="zh-CN"/>
              </w:rPr>
            </w:pPr>
            <w:r>
              <w:rPr>
                <w:rFonts w:hint="eastAsia" w:eastAsia="仿宋" w:cs="Times New Roman"/>
                <w:bCs/>
                <w:color w:val="auto"/>
                <w:sz w:val="24"/>
                <w:szCs w:val="24"/>
                <w:lang w:val="en-US" w:eastAsia="zh-CN"/>
              </w:rPr>
              <w:t>参照</w:t>
            </w:r>
            <w:r>
              <w:rPr>
                <w:rFonts w:hint="default" w:eastAsia="仿宋" w:cs="Times New Roman"/>
                <w:bCs/>
                <w:color w:val="auto"/>
                <w:sz w:val="24"/>
                <w:szCs w:val="24"/>
                <w:lang w:val="en-US" w:eastAsia="zh-CN"/>
              </w:rPr>
              <w:t>《</w:t>
            </w:r>
            <w:r>
              <w:rPr>
                <w:rFonts w:hint="eastAsia" w:eastAsia="仿宋" w:cs="Times New Roman"/>
                <w:bCs/>
                <w:color w:val="auto"/>
                <w:sz w:val="24"/>
                <w:szCs w:val="24"/>
                <w:lang w:val="en-US" w:eastAsia="zh-CN"/>
              </w:rPr>
              <w:t>排放源统计调查产排污核算方法和系数手册</w:t>
            </w:r>
            <w:r>
              <w:rPr>
                <w:rFonts w:hint="default" w:eastAsia="仿宋" w:cs="Times New Roman"/>
                <w:bCs/>
                <w:color w:val="auto"/>
                <w:sz w:val="24"/>
                <w:szCs w:val="24"/>
                <w:lang w:val="en-US" w:eastAsia="zh-CN"/>
              </w:rPr>
              <w:t>》“</w:t>
            </w:r>
            <w:r>
              <w:rPr>
                <w:rFonts w:hint="eastAsia" w:eastAsia="仿宋" w:cs="Times New Roman"/>
                <w:bCs/>
                <w:color w:val="auto"/>
                <w:sz w:val="24"/>
                <w:szCs w:val="24"/>
                <w:lang w:val="en-US" w:eastAsia="zh-CN"/>
              </w:rPr>
              <w:t>机械行业系数手册</w:t>
            </w:r>
            <w:r>
              <w:rPr>
                <w:rFonts w:hint="default" w:eastAsia="仿宋" w:cs="Times New Roman"/>
                <w:bCs/>
                <w:color w:val="auto"/>
                <w:sz w:val="24"/>
                <w:szCs w:val="24"/>
                <w:lang w:val="en-US" w:eastAsia="zh-CN"/>
              </w:rPr>
              <w:t>”</w:t>
            </w:r>
            <w:r>
              <w:rPr>
                <w:rFonts w:hint="eastAsia" w:eastAsia="仿宋" w:cs="Times New Roman"/>
                <w:bCs/>
                <w:color w:val="auto"/>
                <w:sz w:val="24"/>
                <w:szCs w:val="24"/>
                <w:lang w:val="en-US" w:eastAsia="zh-CN"/>
              </w:rPr>
              <w:t>中</w:t>
            </w:r>
            <w:r>
              <w:rPr>
                <w:rFonts w:hint="default" w:eastAsia="仿宋" w:cs="Times New Roman"/>
                <w:bCs/>
                <w:color w:val="auto"/>
                <w:sz w:val="24"/>
                <w:szCs w:val="24"/>
                <w:lang w:val="en-US" w:eastAsia="zh-CN"/>
              </w:rPr>
              <w:t>“</w:t>
            </w:r>
            <w:r>
              <w:rPr>
                <w:rFonts w:hint="eastAsia" w:eastAsia="仿宋" w:cs="Times New Roman"/>
                <w:bCs/>
                <w:color w:val="auto"/>
                <w:sz w:val="24"/>
                <w:szCs w:val="24"/>
                <w:lang w:val="en-US" w:eastAsia="zh-CN"/>
              </w:rPr>
              <w:t>焊接工段-手工电弧焊</w:t>
            </w:r>
            <w:r>
              <w:rPr>
                <w:rFonts w:hint="default" w:eastAsia="仿宋" w:cs="Times New Roman"/>
                <w:bCs/>
                <w:color w:val="auto"/>
                <w:sz w:val="24"/>
                <w:szCs w:val="24"/>
                <w:lang w:val="en-US" w:eastAsia="zh-CN"/>
              </w:rPr>
              <w:t>”</w:t>
            </w:r>
            <w:r>
              <w:rPr>
                <w:rFonts w:hint="eastAsia" w:eastAsia="仿宋" w:cs="Times New Roman"/>
                <w:bCs/>
                <w:color w:val="auto"/>
                <w:sz w:val="24"/>
                <w:szCs w:val="24"/>
                <w:lang w:val="en-US" w:eastAsia="zh-CN"/>
              </w:rPr>
              <w:t>的产污系数为20.2</w:t>
            </w:r>
            <w:r>
              <w:rPr>
                <w:rFonts w:hint="default" w:eastAsia="仿宋" w:cs="Times New Roman"/>
                <w:bCs/>
                <w:color w:val="auto"/>
                <w:sz w:val="24"/>
                <w:szCs w:val="24"/>
                <w:lang w:val="en-US" w:eastAsia="zh-CN"/>
              </w:rPr>
              <w:t>kg/t-</w:t>
            </w:r>
            <w:r>
              <w:rPr>
                <w:rFonts w:hint="eastAsia" w:eastAsia="仿宋" w:cs="Times New Roman"/>
                <w:bCs/>
                <w:color w:val="auto"/>
                <w:sz w:val="24"/>
                <w:szCs w:val="24"/>
                <w:lang w:val="en-US" w:eastAsia="zh-CN"/>
              </w:rPr>
              <w:t>原料</w:t>
            </w:r>
            <w:r>
              <w:rPr>
                <w:rFonts w:hint="default" w:eastAsia="仿宋" w:cs="Times New Roman"/>
                <w:bCs/>
                <w:color w:val="auto"/>
                <w:sz w:val="24"/>
                <w:szCs w:val="24"/>
                <w:lang w:val="en-US" w:eastAsia="zh-CN"/>
              </w:rPr>
              <w:t>，本项目锡条用量为0.8t/a，则焊接工段锡及其化合物产生量为0.8×</w:t>
            </w:r>
            <w:r>
              <w:rPr>
                <w:rFonts w:hint="eastAsia" w:eastAsia="仿宋" w:cs="Times New Roman"/>
                <w:bCs/>
                <w:color w:val="auto"/>
                <w:sz w:val="24"/>
                <w:szCs w:val="24"/>
                <w:lang w:val="en-US" w:eastAsia="zh-CN"/>
              </w:rPr>
              <w:t>20.2/1000</w:t>
            </w:r>
            <w:r>
              <w:rPr>
                <w:rFonts w:hint="default" w:eastAsia="仿宋" w:cs="Times New Roman"/>
                <w:bCs/>
                <w:color w:val="auto"/>
                <w:sz w:val="24"/>
                <w:szCs w:val="24"/>
                <w:lang w:val="en-US" w:eastAsia="zh-CN"/>
              </w:rPr>
              <w:t>=0.0</w:t>
            </w:r>
            <w:r>
              <w:rPr>
                <w:rFonts w:hint="eastAsia" w:eastAsia="仿宋" w:cs="Times New Roman"/>
                <w:bCs/>
                <w:color w:val="auto"/>
                <w:sz w:val="24"/>
                <w:szCs w:val="24"/>
                <w:lang w:val="en-US" w:eastAsia="zh-CN"/>
              </w:rPr>
              <w:t>16</w:t>
            </w:r>
            <w:r>
              <w:rPr>
                <w:rFonts w:hint="default" w:eastAsia="仿宋" w:cs="Times New Roman"/>
                <w:bCs/>
                <w:color w:val="auto"/>
                <w:sz w:val="24"/>
                <w:szCs w:val="24"/>
                <w:lang w:val="en-US" w:eastAsia="zh-CN"/>
              </w:rPr>
              <w:t>t/a，移动式焊烟净化器收集效率取90%，处理效率取80%，则锡及其化合物无组织排放量为0.00</w:t>
            </w:r>
            <w:r>
              <w:rPr>
                <w:rFonts w:hint="eastAsia" w:eastAsia="仿宋" w:cs="Times New Roman"/>
                <w:bCs/>
                <w:color w:val="auto"/>
                <w:sz w:val="24"/>
                <w:szCs w:val="24"/>
                <w:lang w:val="en-US" w:eastAsia="zh-CN"/>
              </w:rPr>
              <w:t>4</w:t>
            </w:r>
            <w:r>
              <w:rPr>
                <w:rFonts w:hint="default" w:eastAsia="仿宋" w:cs="Times New Roman"/>
                <w:bCs/>
                <w:color w:val="auto"/>
                <w:sz w:val="24"/>
                <w:szCs w:val="24"/>
                <w:lang w:val="en-US" w:eastAsia="zh-CN"/>
              </w:rPr>
              <w:t>t/a。</w:t>
            </w:r>
          </w:p>
          <w:p w14:paraId="6B4F5CEE">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eastAsia="仿宋" w:cs="Times New Roman"/>
                <w:bCs/>
                <w:color w:val="auto"/>
                <w:sz w:val="24"/>
                <w:szCs w:val="24"/>
                <w:lang w:val="en-US" w:eastAsia="zh-CN"/>
              </w:rPr>
            </w:pPr>
            <w:r>
              <w:rPr>
                <w:rFonts w:hint="default" w:eastAsia="仿宋" w:cs="Times New Roman"/>
                <w:bCs/>
                <w:color w:val="auto"/>
                <w:sz w:val="24"/>
                <w:szCs w:val="24"/>
                <w:lang w:val="en-US" w:eastAsia="zh-CN"/>
              </w:rPr>
              <w:t>本项目废气具体排放情况见下表。</w:t>
            </w:r>
          </w:p>
          <w:p w14:paraId="47DBD33D">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w:t>
            </w:r>
            <w:r>
              <w:rPr>
                <w:rFonts w:hint="default" w:ascii="Times New Roman" w:hAnsi="Times New Roman" w:eastAsia="仿宋" w:cs="Times New Roman"/>
                <w:b/>
                <w:color w:val="auto"/>
                <w:szCs w:val="21"/>
                <w:lang w:val="en-US" w:eastAsia="zh-CN"/>
              </w:rPr>
              <w:t xml:space="preserve">4-8  </w:t>
            </w:r>
            <w:r>
              <w:rPr>
                <w:rFonts w:hint="default" w:ascii="Times New Roman" w:hAnsi="Times New Roman" w:eastAsia="仿宋" w:cs="Times New Roman"/>
                <w:b/>
                <w:color w:val="auto"/>
                <w:szCs w:val="21"/>
              </w:rPr>
              <w:t>本项目无组织废气</w:t>
            </w:r>
            <w:r>
              <w:rPr>
                <w:rFonts w:hint="default" w:ascii="Times New Roman" w:hAnsi="Times New Roman" w:eastAsia="仿宋" w:cs="Times New Roman"/>
                <w:b/>
                <w:color w:val="auto"/>
                <w:szCs w:val="21"/>
                <w:lang w:val="en-US" w:eastAsia="zh-CN"/>
              </w:rPr>
              <w:t>产生及</w:t>
            </w:r>
            <w:r>
              <w:rPr>
                <w:rFonts w:hint="default" w:ascii="Times New Roman" w:hAnsi="Times New Roman" w:eastAsia="仿宋" w:cs="Times New Roman"/>
                <w:b/>
                <w:color w:val="auto"/>
                <w:szCs w:val="21"/>
              </w:rPr>
              <w:t>排放</w:t>
            </w:r>
            <w:r>
              <w:rPr>
                <w:rFonts w:hint="default" w:ascii="Times New Roman" w:hAnsi="Times New Roman" w:eastAsia="仿宋" w:cs="Times New Roman"/>
                <w:b/>
                <w:color w:val="auto"/>
                <w:szCs w:val="21"/>
                <w:lang w:val="en-US" w:eastAsia="zh-CN"/>
              </w:rPr>
              <w:t>情况</w:t>
            </w:r>
            <w:r>
              <w:rPr>
                <w:rFonts w:hint="default" w:ascii="Times New Roman" w:hAnsi="Times New Roman" w:eastAsia="仿宋" w:cs="Times New Roman"/>
                <w:b/>
                <w:color w:val="auto"/>
                <w:szCs w:val="21"/>
              </w:rPr>
              <w:t>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8"/>
              <w:gridCol w:w="1110"/>
              <w:gridCol w:w="1531"/>
              <w:gridCol w:w="1381"/>
              <w:gridCol w:w="1143"/>
              <w:gridCol w:w="1603"/>
              <w:gridCol w:w="2060"/>
              <w:gridCol w:w="1748"/>
            </w:tblGrid>
            <w:tr w14:paraId="515256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554" w:type="pct"/>
                  <w:noWrap w:val="0"/>
                  <w:vAlign w:val="center"/>
                </w:tcPr>
                <w:p w14:paraId="1B03595E">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污染源位置</w:t>
                  </w:r>
                </w:p>
              </w:tc>
              <w:tc>
                <w:tcPr>
                  <w:tcW w:w="466" w:type="pct"/>
                  <w:noWrap w:val="0"/>
                  <w:vAlign w:val="center"/>
                </w:tcPr>
                <w:p w14:paraId="16D2CF91">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产生工序</w:t>
                  </w:r>
                </w:p>
              </w:tc>
              <w:tc>
                <w:tcPr>
                  <w:tcW w:w="643" w:type="pct"/>
                  <w:noWrap w:val="0"/>
                  <w:vAlign w:val="center"/>
                </w:tcPr>
                <w:p w14:paraId="3ADA041D">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污染物</w:t>
                  </w:r>
                </w:p>
              </w:tc>
              <w:tc>
                <w:tcPr>
                  <w:tcW w:w="580" w:type="pct"/>
                  <w:noWrap w:val="0"/>
                  <w:vAlign w:val="center"/>
                </w:tcPr>
                <w:p w14:paraId="39D8AB70">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产生</w:t>
                  </w:r>
                  <w:r>
                    <w:rPr>
                      <w:rFonts w:hint="default" w:ascii="Times New Roman" w:hAnsi="Times New Roman" w:eastAsia="仿宋" w:cs="Times New Roman"/>
                      <w:b/>
                      <w:color w:val="auto"/>
                      <w:sz w:val="21"/>
                      <w:szCs w:val="21"/>
                    </w:rPr>
                    <w:t>量t/a</w:t>
                  </w:r>
                </w:p>
              </w:tc>
              <w:tc>
                <w:tcPr>
                  <w:tcW w:w="480" w:type="pct"/>
                  <w:noWrap w:val="0"/>
                  <w:vAlign w:val="center"/>
                </w:tcPr>
                <w:p w14:paraId="2683D917">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削减量</w:t>
                  </w:r>
                  <w:r>
                    <w:rPr>
                      <w:rFonts w:hint="default" w:ascii="Times New Roman" w:hAnsi="Times New Roman" w:eastAsia="仿宋" w:cs="Times New Roman"/>
                      <w:b/>
                      <w:color w:val="auto"/>
                      <w:sz w:val="21"/>
                      <w:szCs w:val="21"/>
                    </w:rPr>
                    <w:t>t/a</w:t>
                  </w:r>
                </w:p>
              </w:tc>
              <w:tc>
                <w:tcPr>
                  <w:tcW w:w="673" w:type="pct"/>
                  <w:noWrap w:val="0"/>
                  <w:vAlign w:val="center"/>
                </w:tcPr>
                <w:p w14:paraId="39BFF316">
                  <w:pPr>
                    <w:pStyle w:val="52"/>
                    <w:spacing w:line="300" w:lineRule="exact"/>
                    <w:rPr>
                      <w:rFonts w:hint="default" w:ascii="Times New Roman" w:hAnsi="Times New Roman" w:eastAsia="仿宋" w:cs="Times New Roman"/>
                      <w:b/>
                      <w:color w:val="auto"/>
                      <w:kern w:val="2"/>
                      <w:sz w:val="21"/>
                      <w:szCs w:val="21"/>
                      <w:lang w:val="en-US" w:eastAsia="zh-CN" w:bidi="ar-SA"/>
                    </w:rPr>
                  </w:pPr>
                  <w:r>
                    <w:rPr>
                      <w:rFonts w:hint="default" w:ascii="Times New Roman" w:hAnsi="Times New Roman" w:eastAsia="仿宋" w:cs="Times New Roman"/>
                      <w:b/>
                      <w:color w:val="auto"/>
                      <w:sz w:val="21"/>
                      <w:szCs w:val="21"/>
                    </w:rPr>
                    <w:t>排放量t/a</w:t>
                  </w:r>
                </w:p>
              </w:tc>
              <w:tc>
                <w:tcPr>
                  <w:tcW w:w="865" w:type="pct"/>
                  <w:noWrap w:val="0"/>
                  <w:vAlign w:val="center"/>
                </w:tcPr>
                <w:p w14:paraId="153D60B2">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面源面积m</w:t>
                  </w:r>
                  <w:r>
                    <w:rPr>
                      <w:rFonts w:hint="default" w:ascii="Times New Roman" w:hAnsi="Times New Roman" w:eastAsia="仿宋" w:cs="Times New Roman"/>
                      <w:b/>
                      <w:color w:val="auto"/>
                      <w:sz w:val="21"/>
                      <w:szCs w:val="21"/>
                      <w:vertAlign w:val="superscript"/>
                    </w:rPr>
                    <w:t>2</w:t>
                  </w:r>
                </w:p>
              </w:tc>
              <w:tc>
                <w:tcPr>
                  <w:tcW w:w="734" w:type="pct"/>
                  <w:noWrap w:val="0"/>
                  <w:tcMar>
                    <w:left w:w="28" w:type="dxa"/>
                    <w:right w:w="28" w:type="dxa"/>
                  </w:tcMar>
                  <w:vAlign w:val="center"/>
                </w:tcPr>
                <w:p w14:paraId="32AFD490">
                  <w:pPr>
                    <w:pStyle w:val="52"/>
                    <w:spacing w:line="300" w:lineRule="exact"/>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面源高度m</w:t>
                  </w:r>
                </w:p>
              </w:tc>
            </w:tr>
            <w:tr w14:paraId="006590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4" w:type="pct"/>
                  <w:noWrap w:val="0"/>
                  <w:vAlign w:val="center"/>
                </w:tcPr>
                <w:p w14:paraId="0A39239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2F</w:t>
                  </w:r>
                </w:p>
              </w:tc>
              <w:tc>
                <w:tcPr>
                  <w:tcW w:w="466" w:type="pct"/>
                  <w:noWrap w:val="0"/>
                  <w:vAlign w:val="center"/>
                </w:tcPr>
                <w:p w14:paraId="215721E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焊接</w:t>
                  </w:r>
                </w:p>
              </w:tc>
              <w:tc>
                <w:tcPr>
                  <w:tcW w:w="643" w:type="pct"/>
                  <w:noWrap w:val="0"/>
                  <w:vAlign w:val="center"/>
                </w:tcPr>
                <w:p w14:paraId="5107A5D0">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rPr>
                  </w:pPr>
                  <w:r>
                    <w:rPr>
                      <w:rFonts w:hint="default" w:ascii="Times New Roman" w:hAnsi="Times New Roman" w:eastAsia="仿宋" w:cs="Times New Roman"/>
                      <w:sz w:val="21"/>
                      <w:szCs w:val="21"/>
                      <w:lang w:val="en-US" w:eastAsia="zh-CN"/>
                    </w:rPr>
                    <w:t>锡及其化合物</w:t>
                  </w:r>
                </w:p>
              </w:tc>
              <w:tc>
                <w:tcPr>
                  <w:tcW w:w="580" w:type="pct"/>
                  <w:noWrap w:val="0"/>
                  <w:vAlign w:val="center"/>
                </w:tcPr>
                <w:p w14:paraId="2561E2FE">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w:t>
                  </w:r>
                  <w:r>
                    <w:rPr>
                      <w:rFonts w:hint="eastAsia" w:eastAsia="仿宋" w:cs="Times New Roman"/>
                      <w:b w:val="0"/>
                      <w:bCs w:val="0"/>
                      <w:sz w:val="21"/>
                      <w:szCs w:val="21"/>
                      <w:lang w:val="en-US" w:eastAsia="zh-CN"/>
                    </w:rPr>
                    <w:t>16</w:t>
                  </w:r>
                </w:p>
              </w:tc>
              <w:tc>
                <w:tcPr>
                  <w:tcW w:w="480" w:type="pct"/>
                  <w:noWrap w:val="0"/>
                  <w:vAlign w:val="center"/>
                </w:tcPr>
                <w:p w14:paraId="4514349D">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w:t>
                  </w:r>
                  <w:r>
                    <w:rPr>
                      <w:rFonts w:hint="eastAsia" w:eastAsia="仿宋" w:cs="Times New Roman"/>
                      <w:b w:val="0"/>
                      <w:bCs w:val="0"/>
                      <w:sz w:val="21"/>
                      <w:szCs w:val="21"/>
                      <w:lang w:val="en-US" w:eastAsia="zh-CN"/>
                    </w:rPr>
                    <w:t>12</w:t>
                  </w:r>
                </w:p>
              </w:tc>
              <w:tc>
                <w:tcPr>
                  <w:tcW w:w="673" w:type="pct"/>
                  <w:noWrap w:val="0"/>
                  <w:vAlign w:val="center"/>
                </w:tcPr>
                <w:p w14:paraId="19356B84">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0.00</w:t>
                  </w:r>
                  <w:r>
                    <w:rPr>
                      <w:rFonts w:hint="eastAsia" w:eastAsia="仿宋" w:cs="Times New Roman"/>
                      <w:b w:val="0"/>
                      <w:bCs w:val="0"/>
                      <w:sz w:val="21"/>
                      <w:szCs w:val="21"/>
                      <w:lang w:val="en-US" w:eastAsia="zh-CN"/>
                    </w:rPr>
                    <w:t>4</w:t>
                  </w:r>
                </w:p>
              </w:tc>
              <w:tc>
                <w:tcPr>
                  <w:tcW w:w="865" w:type="pct"/>
                  <w:noWrap w:val="0"/>
                  <w:vAlign w:val="center"/>
                </w:tcPr>
                <w:p w14:paraId="5FD4EF7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2"/>
                      <w:sz w:val="21"/>
                      <w:szCs w:val="21"/>
                      <w:highlight w:val="none"/>
                      <w:lang w:val="en-US" w:eastAsia="zh-CN" w:bidi="ar-SA"/>
                    </w:rPr>
                    <w:t>842.3</w:t>
                  </w:r>
                </w:p>
              </w:tc>
              <w:tc>
                <w:tcPr>
                  <w:tcW w:w="734" w:type="pct"/>
                  <w:noWrap w:val="0"/>
                  <w:tcMar>
                    <w:left w:w="28" w:type="dxa"/>
                    <w:right w:w="28" w:type="dxa"/>
                  </w:tcMar>
                  <w:vAlign w:val="center"/>
                </w:tcPr>
                <w:p w14:paraId="7C997EF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kern w:val="2"/>
                      <w:sz w:val="21"/>
                      <w:szCs w:val="21"/>
                      <w:highlight w:val="none"/>
                      <w:lang w:val="en-US" w:eastAsia="zh-CN" w:bidi="ar-SA"/>
                    </w:rPr>
                  </w:pPr>
                  <w:r>
                    <w:rPr>
                      <w:rFonts w:hint="default" w:ascii="Times New Roman" w:hAnsi="Times New Roman" w:eastAsia="仿宋" w:cs="Times New Roman"/>
                      <w:kern w:val="2"/>
                      <w:sz w:val="21"/>
                      <w:szCs w:val="21"/>
                      <w:highlight w:val="none"/>
                      <w:lang w:val="en-US" w:eastAsia="zh-CN" w:bidi="ar-SA"/>
                    </w:rPr>
                    <w:t>12.4</w:t>
                  </w:r>
                </w:p>
              </w:tc>
            </w:tr>
          </w:tbl>
          <w:p w14:paraId="75A2DE2E">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lang w:val="en-US" w:eastAsia="zh-CN"/>
              </w:rPr>
              <w:t>注：焊接工段每天工作11小时，年工作300天。</w:t>
            </w:r>
          </w:p>
          <w:p w14:paraId="6415DED4">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2.2污染防治措施</w:t>
            </w:r>
          </w:p>
          <w:p w14:paraId="5F9F9F59">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焊接烟尘经移动式焊烟净化器收集处理后在车间无组织排放。</w:t>
            </w:r>
          </w:p>
          <w:p w14:paraId="698DCBEC">
            <w:pPr>
              <w:keepNext w:val="0"/>
              <w:keepLines w:val="0"/>
              <w:pageBreakBefore w:val="0"/>
              <w:widowControl w:val="0"/>
              <w:tabs>
                <w:tab w:val="left" w:pos="1684"/>
              </w:tabs>
              <w:kinsoku/>
              <w:wordWrap/>
              <w:overflowPunct/>
              <w:topLinePunct w:val="0"/>
              <w:autoSpaceDE/>
              <w:autoSpaceDN/>
              <w:bidi w:val="0"/>
              <w:adjustRightInd/>
              <w:snapToGrid/>
              <w:spacing w:line="240" w:lineRule="auto"/>
              <w:ind w:right="0"/>
              <w:jc w:val="center"/>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drawing>
                <wp:inline distT="0" distB="0" distL="114300" distR="114300">
                  <wp:extent cx="3566795" cy="646430"/>
                  <wp:effectExtent l="0" t="0" r="14605" b="0"/>
                  <wp:docPr id="14" name="ECB019B1-382A-4266-B25C-5B523AA43C14-5"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CB019B1-382A-4266-B25C-5B523AA43C14-5" descr="wps"/>
                          <pic:cNvPicPr>
                            <a:picLocks noChangeAspect="1"/>
                          </pic:cNvPicPr>
                        </pic:nvPicPr>
                        <pic:blipFill>
                          <a:blip r:embed="rId15"/>
                          <a:srcRect l="9628" t="18097" r="4734" b="15633"/>
                          <a:stretch>
                            <a:fillRect/>
                          </a:stretch>
                        </pic:blipFill>
                        <pic:spPr>
                          <a:xfrm>
                            <a:off x="0" y="0"/>
                            <a:ext cx="3566795" cy="646430"/>
                          </a:xfrm>
                          <a:prstGeom prst="rect">
                            <a:avLst/>
                          </a:prstGeom>
                        </pic:spPr>
                      </pic:pic>
                    </a:graphicData>
                  </a:graphic>
                </wp:inline>
              </w:drawing>
            </w:r>
          </w:p>
          <w:p w14:paraId="7566DABF">
            <w:pPr>
              <w:spacing w:line="240" w:lineRule="auto"/>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图4-</w:t>
            </w:r>
            <w:r>
              <w:rPr>
                <w:rFonts w:hint="default" w:ascii="Times New Roman" w:hAnsi="Times New Roman" w:eastAsia="仿宋" w:cs="Times New Roman"/>
                <w:b/>
                <w:bCs/>
                <w:color w:val="auto"/>
                <w:szCs w:val="21"/>
                <w:lang w:val="en-US" w:eastAsia="zh-CN"/>
              </w:rPr>
              <w:t>2</w:t>
            </w:r>
            <w:r>
              <w:rPr>
                <w:rFonts w:hint="default" w:ascii="Times New Roman" w:hAnsi="Times New Roman" w:eastAsia="仿宋" w:cs="Times New Roman"/>
                <w:b/>
                <w:bCs/>
                <w:color w:val="auto"/>
                <w:szCs w:val="21"/>
              </w:rPr>
              <w:t xml:space="preserve">  </w:t>
            </w:r>
            <w:r>
              <w:rPr>
                <w:rFonts w:hint="default" w:ascii="Times New Roman" w:hAnsi="Times New Roman" w:eastAsia="仿宋" w:cs="Times New Roman"/>
                <w:b/>
                <w:bCs/>
                <w:color w:val="auto"/>
                <w:szCs w:val="21"/>
                <w:lang w:val="en-US" w:eastAsia="zh-CN"/>
              </w:rPr>
              <w:t>废气处理</w:t>
            </w:r>
            <w:r>
              <w:rPr>
                <w:rFonts w:hint="default" w:ascii="Times New Roman" w:hAnsi="Times New Roman" w:eastAsia="仿宋" w:cs="Times New Roman"/>
                <w:b/>
                <w:bCs/>
                <w:color w:val="auto"/>
                <w:szCs w:val="21"/>
              </w:rPr>
              <w:t>工艺流程图</w:t>
            </w:r>
          </w:p>
          <w:p w14:paraId="0F48BDE3">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2.3技术可行性分析</w:t>
            </w:r>
          </w:p>
          <w:p w14:paraId="2A6D402A">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移动式焊烟净化器工作原理：通过风机引力作用，焊接烟尘经万向吸尘罩吸入设备进风口，设备进风口处设有阻火器，火花经阻火器被阻留，烟尘气体进入</w:t>
            </w:r>
            <w:r>
              <w:rPr>
                <w:rFonts w:hint="default" w:ascii="Times New Roman" w:hAnsi="Times New Roman" w:eastAsia="仿宋" w:cs="Times New Roman"/>
                <w:bCs/>
                <w:color w:val="auto"/>
                <w:sz w:val="24"/>
                <w:szCs w:val="24"/>
                <w:lang w:val="en-US" w:eastAsia="zh-CN"/>
              </w:rPr>
              <w:fldChar w:fldCharType="begin"/>
            </w:r>
            <w:r>
              <w:rPr>
                <w:rFonts w:hint="default" w:ascii="Times New Roman" w:hAnsi="Times New Roman" w:eastAsia="仿宋" w:cs="Times New Roman"/>
                <w:bCs/>
                <w:color w:val="auto"/>
                <w:sz w:val="24"/>
                <w:szCs w:val="24"/>
                <w:lang w:val="en-US" w:eastAsia="zh-CN"/>
              </w:rPr>
              <w:instrText xml:space="preserve"> HYPERLINK "https://baike.baidu.com/item/%E6%B2%89%E9%99%8D%E5%AE%A4/5413720?fromModule=lemma_inlink" \t "https://baike.baidu.com/item/%E7%A7%BB%E5%8A%A8%E5%BC%8F%E7%84%8A%E7%83%9F%E5%87%80%E5%8C%96%E5%99%A8/_blank" </w:instrText>
            </w:r>
            <w:r>
              <w:rPr>
                <w:rFonts w:hint="default" w:ascii="Times New Roman" w:hAnsi="Times New Roman" w:eastAsia="仿宋" w:cs="Times New Roman"/>
                <w:bCs/>
                <w:color w:val="auto"/>
                <w:sz w:val="24"/>
                <w:szCs w:val="24"/>
                <w:lang w:val="en-US" w:eastAsia="zh-CN"/>
              </w:rPr>
              <w:fldChar w:fldCharType="separate"/>
            </w:r>
            <w:r>
              <w:rPr>
                <w:rFonts w:hint="default" w:ascii="Times New Roman" w:hAnsi="Times New Roman" w:eastAsia="仿宋" w:cs="Times New Roman"/>
                <w:bCs/>
                <w:color w:val="auto"/>
                <w:sz w:val="24"/>
                <w:szCs w:val="24"/>
                <w:lang w:val="en-US" w:eastAsia="zh-CN"/>
              </w:rPr>
              <w:t>沉降室</w:t>
            </w:r>
            <w:r>
              <w:rPr>
                <w:rFonts w:hint="default" w:ascii="Times New Roman" w:hAnsi="Times New Roman" w:eastAsia="仿宋" w:cs="Times New Roman"/>
                <w:bCs/>
                <w:color w:val="auto"/>
                <w:sz w:val="24"/>
                <w:szCs w:val="24"/>
                <w:lang w:val="en-US" w:eastAsia="zh-CN"/>
              </w:rPr>
              <w:fldChar w:fldCharType="end"/>
            </w:r>
            <w:r>
              <w:rPr>
                <w:rFonts w:hint="default" w:ascii="Times New Roman" w:hAnsi="Times New Roman" w:eastAsia="仿宋" w:cs="Times New Roman"/>
                <w:bCs/>
                <w:color w:val="auto"/>
                <w:sz w:val="24"/>
                <w:szCs w:val="24"/>
                <w:lang w:val="en-US" w:eastAsia="zh-CN"/>
              </w:rPr>
              <w:t>，利用重力与上行气流，首先将</w:t>
            </w:r>
            <w:r>
              <w:rPr>
                <w:rFonts w:hint="default" w:ascii="Times New Roman" w:hAnsi="Times New Roman" w:eastAsia="仿宋" w:cs="Times New Roman"/>
                <w:bCs/>
                <w:color w:val="auto"/>
                <w:sz w:val="24"/>
                <w:szCs w:val="24"/>
                <w:lang w:val="en-US" w:eastAsia="zh-CN"/>
              </w:rPr>
              <w:fldChar w:fldCharType="begin"/>
            </w:r>
            <w:r>
              <w:rPr>
                <w:rFonts w:hint="default" w:ascii="Times New Roman" w:hAnsi="Times New Roman" w:eastAsia="仿宋" w:cs="Times New Roman"/>
                <w:bCs/>
                <w:color w:val="auto"/>
                <w:sz w:val="24"/>
                <w:szCs w:val="24"/>
                <w:lang w:val="en-US" w:eastAsia="zh-CN"/>
              </w:rPr>
              <w:instrText xml:space="preserve"> HYPERLINK "https://baike.baidu.com/item/%E7%B2%97%E7%B2%92/9212895?fromModule=lemma_inlink" \t "https://baike.baidu.com/item/%E7%A7%BB%E5%8A%A8%E5%BC%8F%E7%84%8A%E7%83%9F%E5%87%80%E5%8C%96%E5%99%A8/_blank" </w:instrText>
            </w:r>
            <w:r>
              <w:rPr>
                <w:rFonts w:hint="default" w:ascii="Times New Roman" w:hAnsi="Times New Roman" w:eastAsia="仿宋" w:cs="Times New Roman"/>
                <w:bCs/>
                <w:color w:val="auto"/>
                <w:sz w:val="24"/>
                <w:szCs w:val="24"/>
                <w:lang w:val="en-US" w:eastAsia="zh-CN"/>
              </w:rPr>
              <w:fldChar w:fldCharType="separate"/>
            </w:r>
            <w:r>
              <w:rPr>
                <w:rFonts w:hint="default" w:ascii="Times New Roman" w:hAnsi="Times New Roman" w:eastAsia="仿宋" w:cs="Times New Roman"/>
                <w:bCs/>
                <w:color w:val="auto"/>
                <w:sz w:val="24"/>
                <w:szCs w:val="24"/>
                <w:lang w:val="en-US" w:eastAsia="zh-CN"/>
              </w:rPr>
              <w:t>粗粒</w:t>
            </w:r>
            <w:r>
              <w:rPr>
                <w:rFonts w:hint="default" w:ascii="Times New Roman" w:hAnsi="Times New Roman" w:eastAsia="仿宋" w:cs="Times New Roman"/>
                <w:bCs/>
                <w:color w:val="auto"/>
                <w:sz w:val="24"/>
                <w:szCs w:val="24"/>
                <w:lang w:val="en-US" w:eastAsia="zh-CN"/>
              </w:rPr>
              <w:fldChar w:fldCharType="end"/>
            </w:r>
            <w:r>
              <w:rPr>
                <w:rFonts w:hint="default" w:ascii="Times New Roman" w:hAnsi="Times New Roman" w:eastAsia="仿宋" w:cs="Times New Roman"/>
                <w:bCs/>
                <w:color w:val="auto"/>
                <w:sz w:val="24"/>
                <w:szCs w:val="24"/>
                <w:lang w:val="en-US" w:eastAsia="zh-CN"/>
              </w:rPr>
              <w:t>尘直接降至灰斗，微粒烟尘被滤芯捕集在外表面，洁净气体经滤芯过滤净化后，由滤芯中心流入洁净室，洁净空气又经</w:t>
            </w:r>
            <w:r>
              <w:rPr>
                <w:rFonts w:hint="default" w:ascii="Times New Roman" w:hAnsi="Times New Roman" w:eastAsia="仿宋" w:cs="Times New Roman"/>
                <w:bCs/>
                <w:color w:val="auto"/>
                <w:sz w:val="24"/>
                <w:szCs w:val="24"/>
                <w:lang w:val="en-US" w:eastAsia="zh-CN"/>
              </w:rPr>
              <w:fldChar w:fldCharType="begin"/>
            </w:r>
            <w:r>
              <w:rPr>
                <w:rFonts w:hint="default" w:ascii="Times New Roman" w:hAnsi="Times New Roman" w:eastAsia="仿宋" w:cs="Times New Roman"/>
                <w:bCs/>
                <w:color w:val="auto"/>
                <w:sz w:val="24"/>
                <w:szCs w:val="24"/>
                <w:lang w:val="en-US" w:eastAsia="zh-CN"/>
              </w:rPr>
              <w:instrText xml:space="preserve"> HYPERLINK "https://baike.baidu.com/item/%E6%B4%BB%E6%80%A7%E7%A2%B3%E8%BF%87%E6%BB%A4%E5%99%A8/3127637?fromModule=lemma_inlink" \t "https://baike.baidu.com/item/%E7%A7%BB%E5%8A%A8%E5%BC%8F%E7%84%8A%E7%83%9F%E5%87%80%E5%8C%96%E5%99%A8/_blank" </w:instrText>
            </w:r>
            <w:r>
              <w:rPr>
                <w:rFonts w:hint="default" w:ascii="Times New Roman" w:hAnsi="Times New Roman" w:eastAsia="仿宋" w:cs="Times New Roman"/>
                <w:bCs/>
                <w:color w:val="auto"/>
                <w:sz w:val="24"/>
                <w:szCs w:val="24"/>
                <w:lang w:val="en-US" w:eastAsia="zh-CN"/>
              </w:rPr>
              <w:fldChar w:fldCharType="separate"/>
            </w:r>
            <w:r>
              <w:rPr>
                <w:rFonts w:hint="default" w:ascii="Times New Roman" w:hAnsi="Times New Roman" w:eastAsia="仿宋" w:cs="Times New Roman"/>
                <w:bCs/>
                <w:color w:val="auto"/>
                <w:sz w:val="24"/>
                <w:szCs w:val="24"/>
                <w:lang w:val="en-US" w:eastAsia="zh-CN"/>
              </w:rPr>
              <w:t>过滤器</w:t>
            </w:r>
            <w:r>
              <w:rPr>
                <w:rFonts w:hint="default" w:ascii="Times New Roman" w:hAnsi="Times New Roman" w:eastAsia="仿宋" w:cs="Times New Roman"/>
                <w:bCs/>
                <w:color w:val="auto"/>
                <w:sz w:val="24"/>
                <w:szCs w:val="24"/>
                <w:lang w:val="en-US" w:eastAsia="zh-CN"/>
              </w:rPr>
              <w:fldChar w:fldCharType="end"/>
            </w:r>
            <w:r>
              <w:rPr>
                <w:rFonts w:hint="default" w:ascii="Times New Roman" w:hAnsi="Times New Roman" w:eastAsia="仿宋" w:cs="Times New Roman"/>
                <w:bCs/>
                <w:color w:val="auto"/>
                <w:sz w:val="24"/>
                <w:szCs w:val="24"/>
                <w:lang w:val="en-US" w:eastAsia="zh-CN"/>
              </w:rPr>
              <w:t>吸附进一步净化后经出风口达标排出。</w:t>
            </w:r>
          </w:p>
          <w:p w14:paraId="55F7EE64">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2.4非正常工况</w:t>
            </w:r>
          </w:p>
          <w:p w14:paraId="566A2795">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非正常排放主要包括设备开停车、检修状况以及废气处理设施发生故障导致污染物排放达不到应有的效率。生产车间开工时，需要首先运行废气处理设施；生产车间停工时，废气处理设施需要继续运行，待工艺废气没有排出后再关闭。这样，生产车间在开、停车时排出的污染物均得到有效处理。同时企业电气、排风等系统均设置了备用系统，同时每年检修一次，基本上能保障无故障运行。</w:t>
            </w:r>
          </w:p>
          <w:p w14:paraId="36344839">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本项目焊接废气经移动式焊烟净化装置收集处理后在车间无组织排放，废气处理装置中集气系统运转异常（漏气、风机故障等）的概率较低，本次评价不予考虑；废气处理装置因除尘效果差等多种因素影响，其处理效率达不到预期效果的概率较高，本次评价以最不利情况考虑，即废气处理装置对污染物的处理效率为“0%”。本项目非正常工况下有组织废气产生及排放情况见表4-9。若废气处理设施出现故障，检修人员立即到现场进行维修，历时不超过1h，发生频次不超过3次。</w:t>
            </w:r>
          </w:p>
          <w:p w14:paraId="72B6668A">
            <w:pPr>
              <w:spacing w:line="240" w:lineRule="auto"/>
              <w:jc w:val="center"/>
              <w:rPr>
                <w:rFonts w:hint="default" w:ascii="Times New Roman" w:hAnsi="Times New Roman" w:eastAsia="仿宋" w:cs="Times New Roman"/>
                <w:b/>
                <w:color w:val="auto"/>
                <w:szCs w:val="21"/>
                <w:lang w:val="en-US" w:eastAsia="zh-CN"/>
              </w:rPr>
            </w:pPr>
          </w:p>
          <w:p w14:paraId="69B53B3F">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表4-9  大气污染物非正常排放量核算表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97"/>
              <w:gridCol w:w="1171"/>
              <w:gridCol w:w="1194"/>
              <w:gridCol w:w="873"/>
              <w:gridCol w:w="1708"/>
              <w:gridCol w:w="1449"/>
              <w:gridCol w:w="1159"/>
              <w:gridCol w:w="1218"/>
              <w:gridCol w:w="2518"/>
            </w:tblGrid>
            <w:tr w14:paraId="5718B0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35" w:hRule="atLeast"/>
                <w:jc w:val="center"/>
              </w:trPr>
              <w:tc>
                <w:tcPr>
                  <w:tcW w:w="251" w:type="pct"/>
                  <w:noWrap w:val="0"/>
                  <w:vAlign w:val="center"/>
                </w:tcPr>
                <w:p w14:paraId="406A2C51">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序号</w:t>
                  </w:r>
                </w:p>
              </w:tc>
              <w:tc>
                <w:tcPr>
                  <w:tcW w:w="492" w:type="pct"/>
                  <w:noWrap w:val="0"/>
                  <w:vAlign w:val="center"/>
                </w:tcPr>
                <w:p w14:paraId="78E09A27">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排放位置</w:t>
                  </w:r>
                </w:p>
              </w:tc>
              <w:tc>
                <w:tcPr>
                  <w:tcW w:w="502" w:type="pct"/>
                  <w:noWrap w:val="0"/>
                  <w:vAlign w:val="center"/>
                </w:tcPr>
                <w:p w14:paraId="4E8779A4">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非正常排放原因</w:t>
                  </w:r>
                </w:p>
              </w:tc>
              <w:tc>
                <w:tcPr>
                  <w:tcW w:w="367" w:type="pct"/>
                  <w:noWrap w:val="0"/>
                  <w:vAlign w:val="center"/>
                </w:tcPr>
                <w:p w14:paraId="5524ACEA">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污染物</w:t>
                  </w:r>
                </w:p>
              </w:tc>
              <w:tc>
                <w:tcPr>
                  <w:tcW w:w="718" w:type="pct"/>
                  <w:noWrap w:val="0"/>
                  <w:vAlign w:val="center"/>
                </w:tcPr>
                <w:p w14:paraId="1719655A">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非正常排放浓度（mg/m</w:t>
                  </w:r>
                  <w:r>
                    <w:rPr>
                      <w:rFonts w:hint="default" w:ascii="Times New Roman" w:hAnsi="Times New Roman" w:eastAsia="仿宋" w:cs="Times New Roman"/>
                      <w:b/>
                      <w:color w:val="auto"/>
                      <w:sz w:val="21"/>
                      <w:szCs w:val="21"/>
                      <w:vertAlign w:val="superscript"/>
                      <w:lang w:val="en-US" w:eastAsia="zh-CN"/>
                    </w:rPr>
                    <w:t>3</w:t>
                  </w:r>
                  <w:r>
                    <w:rPr>
                      <w:rFonts w:hint="default" w:ascii="Times New Roman" w:hAnsi="Times New Roman" w:eastAsia="仿宋" w:cs="Times New Roman"/>
                      <w:b/>
                      <w:color w:val="auto"/>
                      <w:sz w:val="21"/>
                      <w:szCs w:val="21"/>
                      <w:lang w:val="en-US" w:eastAsia="zh-CN"/>
                    </w:rPr>
                    <w:t>）</w:t>
                  </w:r>
                </w:p>
              </w:tc>
              <w:tc>
                <w:tcPr>
                  <w:tcW w:w="609" w:type="pct"/>
                  <w:noWrap w:val="0"/>
                  <w:vAlign w:val="center"/>
                </w:tcPr>
                <w:p w14:paraId="24506A44">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非正常排放速率（kg/h）</w:t>
                  </w:r>
                </w:p>
              </w:tc>
              <w:tc>
                <w:tcPr>
                  <w:tcW w:w="487" w:type="pct"/>
                  <w:noWrap w:val="0"/>
                  <w:vAlign w:val="center"/>
                </w:tcPr>
                <w:p w14:paraId="6F87DD8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单次持续时间（h）</w:t>
                  </w:r>
                </w:p>
              </w:tc>
              <w:tc>
                <w:tcPr>
                  <w:tcW w:w="512" w:type="pct"/>
                  <w:noWrap w:val="0"/>
                  <w:vAlign w:val="center"/>
                </w:tcPr>
                <w:p w14:paraId="0A133A5E">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年发生频次（次）</w:t>
                  </w:r>
                </w:p>
              </w:tc>
              <w:tc>
                <w:tcPr>
                  <w:tcW w:w="1058" w:type="pct"/>
                  <w:noWrap w:val="0"/>
                  <w:vAlign w:val="center"/>
                </w:tcPr>
                <w:p w14:paraId="467B9693">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应对措施</w:t>
                  </w:r>
                </w:p>
              </w:tc>
            </w:tr>
            <w:tr w14:paraId="11954B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251" w:type="pct"/>
                  <w:noWrap w:val="0"/>
                  <w:vAlign w:val="center"/>
                </w:tcPr>
                <w:p w14:paraId="58AE232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492" w:type="pct"/>
                  <w:noWrap w:val="0"/>
                  <w:vAlign w:val="center"/>
                </w:tcPr>
                <w:p w14:paraId="1052783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本项目2F</w:t>
                  </w:r>
                </w:p>
              </w:tc>
              <w:tc>
                <w:tcPr>
                  <w:tcW w:w="502" w:type="pct"/>
                  <w:noWrap w:val="0"/>
                  <w:vAlign w:val="center"/>
                </w:tcPr>
                <w:p w14:paraId="6D882B6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废气处理设施故障</w:t>
                  </w:r>
                </w:p>
              </w:tc>
              <w:tc>
                <w:tcPr>
                  <w:tcW w:w="367" w:type="pct"/>
                  <w:noWrap w:val="0"/>
                  <w:vAlign w:val="center"/>
                </w:tcPr>
                <w:p w14:paraId="0ADC1DA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锡及其化合物</w:t>
                  </w:r>
                </w:p>
              </w:tc>
              <w:tc>
                <w:tcPr>
                  <w:tcW w:w="718" w:type="pct"/>
                  <w:noWrap w:val="0"/>
                  <w:vAlign w:val="center"/>
                </w:tcPr>
                <w:p w14:paraId="219E43A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0.388</w:t>
                  </w:r>
                </w:p>
              </w:tc>
              <w:tc>
                <w:tcPr>
                  <w:tcW w:w="609" w:type="pct"/>
                  <w:noWrap w:val="0"/>
                  <w:vAlign w:val="center"/>
                </w:tcPr>
                <w:p w14:paraId="26070AC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0.002</w:t>
                  </w:r>
                </w:p>
              </w:tc>
              <w:tc>
                <w:tcPr>
                  <w:tcW w:w="487" w:type="pct"/>
                  <w:noWrap w:val="0"/>
                  <w:vAlign w:val="center"/>
                </w:tcPr>
                <w:p w14:paraId="12A5963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w:t>
                  </w:r>
                </w:p>
              </w:tc>
              <w:tc>
                <w:tcPr>
                  <w:tcW w:w="512" w:type="pct"/>
                  <w:noWrap w:val="0"/>
                  <w:vAlign w:val="center"/>
                </w:tcPr>
                <w:p w14:paraId="2B42E36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w:t>
                  </w:r>
                </w:p>
              </w:tc>
              <w:tc>
                <w:tcPr>
                  <w:tcW w:w="1058" w:type="pct"/>
                  <w:noWrap w:val="0"/>
                  <w:vAlign w:val="center"/>
                </w:tcPr>
                <w:p w14:paraId="5FF4C36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平时注意废气处理设施的维护保养，及时发现处理设施的隐患，确保废气处理系统正常运行</w:t>
                  </w:r>
                </w:p>
              </w:tc>
            </w:tr>
          </w:tbl>
          <w:p w14:paraId="2CE85407">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当风机发生故障，可能导致废气收集效率达不到规定指标，甚至收集效率为0。假设出现上述非正常工况时，焊接烟尘将未经处理在车间无组织排放。对于上述极端情况，一方面要设立自控系统，保证出现事故情况下，立即启动备用系统，尽量减少废气在车间无组织排放。</w:t>
            </w:r>
          </w:p>
          <w:p w14:paraId="372260D8">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2.5卫生防护距离</w:t>
            </w:r>
          </w:p>
          <w:p w14:paraId="74E677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 w:val="0"/>
                <w:bCs w:val="0"/>
                <w:color w:val="auto"/>
                <w:kern w:val="2"/>
                <w:sz w:val="24"/>
                <w:szCs w:val="22"/>
                <w:lang w:val="en-US" w:eastAsia="zh-CN" w:bidi="ar-SA"/>
              </w:rPr>
            </w:pPr>
            <w:r>
              <w:rPr>
                <w:rFonts w:hint="default" w:ascii="Times New Roman" w:hAnsi="Times New Roman" w:eastAsia="仿宋" w:cs="Times New Roman"/>
                <w:bCs/>
                <w:color w:val="auto"/>
                <w:sz w:val="24"/>
                <w:szCs w:val="24"/>
                <w:lang w:val="en-US" w:eastAsia="zh-CN"/>
              </w:rPr>
              <w:t>根据《大气有害物质无组织排放卫生防护距离推导技术导则》（GB/T39499-2020），采用《制定地方大气污染物排放标准的技术方法》（GB/T3840-91）中计算方法，生产车间与居住区之间的卫生防护距离L按下式计算：</w:t>
            </w:r>
          </w:p>
          <w:p w14:paraId="565705A0">
            <w:pPr>
              <w:keepNext w:val="0"/>
              <w:keepLines/>
              <w:pageBreakBefore w:val="0"/>
              <w:suppressLineNumbers w:val="0"/>
              <w:kinsoku/>
              <w:wordWrap/>
              <w:overflowPunct/>
              <w:topLinePunct w:val="0"/>
              <w:autoSpaceDE/>
              <w:autoSpaceDN/>
              <w:bidi w:val="0"/>
              <w:adjustRightInd w:val="0"/>
              <w:snapToGrid w:val="0"/>
              <w:spacing w:before="0" w:beforeAutospacing="0" w:after="0" w:afterAutospacing="0" w:line="480" w:lineRule="auto"/>
              <w:ind w:left="0" w:right="0"/>
              <w:jc w:val="both"/>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position w:val="-30"/>
                <w:sz w:val="24"/>
              </w:rPr>
              <w:pict>
                <v:shape id="Object 2" o:spid="_x0000_s1026" o:spt="75" type="#_x0000_t75" style="position:absolute;left:0pt;margin-left:266.3pt;margin-top:0.9pt;height:30.85pt;width:120.45pt;z-index:-251655168;mso-width-relative:page;mso-height-relative:page;" o:ole="t" filled="f" o:preferrelative="t" stroked="f" coordsize="21600,21600">
                  <v:path/>
                  <v:fill on="f" focussize="0,0"/>
                  <v:stroke on="f"/>
                  <v:imagedata r:id="rId17" o:title=""/>
                  <o:lock v:ext="edit" aspectratio="t"/>
                </v:shape>
                <o:OLEObject Type="Embed" ProgID="" ShapeID="Object 2" DrawAspect="Content" ObjectID="_1468075725" r:id="rId16">
                  <o:LockedField>false</o:LockedField>
                </o:OLEObject>
              </w:pict>
            </w:r>
          </w:p>
          <w:p w14:paraId="5B603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式中：Cm——标准浓度限值（mg/m</w:t>
            </w:r>
            <w:r>
              <w:rPr>
                <w:rFonts w:hint="default" w:ascii="Times New Roman" w:hAnsi="Times New Roman" w:eastAsia="仿宋" w:cs="Times New Roman"/>
                <w:bCs/>
                <w:color w:val="auto"/>
                <w:sz w:val="24"/>
                <w:szCs w:val="24"/>
                <w:vertAlign w:val="superscript"/>
                <w:lang w:val="en-US" w:eastAsia="zh-CN"/>
              </w:rPr>
              <w:t>3</w:t>
            </w:r>
            <w:r>
              <w:rPr>
                <w:rFonts w:hint="default" w:ascii="Times New Roman" w:hAnsi="Times New Roman" w:eastAsia="仿宋" w:cs="Times New Roman"/>
                <w:bCs/>
                <w:color w:val="auto"/>
                <w:sz w:val="24"/>
                <w:szCs w:val="24"/>
                <w:lang w:val="en-US" w:eastAsia="zh-CN"/>
              </w:rPr>
              <w:t>）；</w:t>
            </w:r>
          </w:p>
          <w:p w14:paraId="2DB28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Qc——大气污染物可以达到的控制水平（kg/h）；</w:t>
            </w:r>
          </w:p>
          <w:p w14:paraId="140564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A、B、C、D——卫生防护距离计算系数；</w:t>
            </w:r>
          </w:p>
          <w:p w14:paraId="32994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r——排放源所在生产单元的等效半径（m）；</w:t>
            </w:r>
          </w:p>
          <w:p w14:paraId="1A0546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1200" w:firstLineChars="5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L——卫生防护距离（m）。</w:t>
            </w:r>
          </w:p>
          <w:p w14:paraId="44B7CA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按照无组织废气源强参数表，根据《制定地方大气污染物排放标准的技术方法》（GB/T3840-91）的有关规定计算卫生防护距离，各参数取值见下表。</w:t>
            </w:r>
          </w:p>
          <w:p w14:paraId="042CF812">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表4-10  卫生防护距离计算系数</w:t>
            </w:r>
          </w:p>
          <w:tbl>
            <w:tblPr>
              <w:tblStyle w:val="25"/>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987"/>
              <w:gridCol w:w="935"/>
              <w:gridCol w:w="935"/>
              <w:gridCol w:w="935"/>
              <w:gridCol w:w="5"/>
              <w:gridCol w:w="931"/>
              <w:gridCol w:w="935"/>
              <w:gridCol w:w="935"/>
              <w:gridCol w:w="10"/>
              <w:gridCol w:w="923"/>
              <w:gridCol w:w="935"/>
              <w:gridCol w:w="969"/>
            </w:tblGrid>
            <w:tr w14:paraId="56C868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15" w:type="pct"/>
                  <w:vMerge w:val="restart"/>
                  <w:noWrap w:val="0"/>
                  <w:vAlign w:val="center"/>
                </w:tcPr>
                <w:p w14:paraId="6ACE93AB">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卫生防护距离初值计算系数</w:t>
                  </w:r>
                </w:p>
              </w:tc>
              <w:tc>
                <w:tcPr>
                  <w:tcW w:w="835" w:type="pct"/>
                  <w:vMerge w:val="restart"/>
                  <w:noWrap w:val="0"/>
                  <w:vAlign w:val="center"/>
                </w:tcPr>
                <w:p w14:paraId="4521FFEA">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工业企业所在地区近5年平均风速/（m/s）</w:t>
                  </w:r>
                </w:p>
              </w:tc>
              <w:tc>
                <w:tcPr>
                  <w:tcW w:w="3548" w:type="pct"/>
                  <w:gridSpan w:val="11"/>
                  <w:noWrap w:val="0"/>
                  <w:vAlign w:val="center"/>
                </w:tcPr>
                <w:p w14:paraId="28508712">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卫生防护距离L/m</w:t>
                  </w:r>
                </w:p>
              </w:tc>
            </w:tr>
            <w:tr w14:paraId="38ACB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303823F1">
                  <w:pPr>
                    <w:pStyle w:val="52"/>
                    <w:spacing w:line="300" w:lineRule="exact"/>
                    <w:rPr>
                      <w:rFonts w:hint="default" w:ascii="Times New Roman" w:hAnsi="Times New Roman" w:eastAsia="仿宋" w:cs="Times New Roman"/>
                      <w:b/>
                      <w:color w:val="auto"/>
                      <w:sz w:val="21"/>
                      <w:szCs w:val="21"/>
                      <w:lang w:val="en-US" w:eastAsia="zh-CN"/>
                    </w:rPr>
                  </w:pPr>
                </w:p>
              </w:tc>
              <w:tc>
                <w:tcPr>
                  <w:tcW w:w="835" w:type="pct"/>
                  <w:vMerge w:val="continue"/>
                  <w:noWrap w:val="0"/>
                  <w:vAlign w:val="center"/>
                </w:tcPr>
                <w:p w14:paraId="132B2155">
                  <w:pPr>
                    <w:pStyle w:val="52"/>
                    <w:spacing w:line="300" w:lineRule="exact"/>
                    <w:rPr>
                      <w:rFonts w:hint="default" w:ascii="Times New Roman" w:hAnsi="Times New Roman" w:eastAsia="仿宋" w:cs="Times New Roman"/>
                      <w:b/>
                      <w:color w:val="auto"/>
                      <w:sz w:val="21"/>
                      <w:szCs w:val="21"/>
                      <w:lang w:val="en-US" w:eastAsia="zh-CN"/>
                    </w:rPr>
                  </w:pPr>
                </w:p>
              </w:tc>
              <w:tc>
                <w:tcPr>
                  <w:tcW w:w="1181" w:type="pct"/>
                  <w:gridSpan w:val="4"/>
                  <w:noWrap w:val="0"/>
                  <w:vAlign w:val="center"/>
                </w:tcPr>
                <w:p w14:paraId="5BE45AC5">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L≤1000</w:t>
                  </w:r>
                </w:p>
              </w:tc>
              <w:tc>
                <w:tcPr>
                  <w:tcW w:w="1181" w:type="pct"/>
                  <w:gridSpan w:val="4"/>
                  <w:noWrap w:val="0"/>
                  <w:vAlign w:val="center"/>
                </w:tcPr>
                <w:p w14:paraId="229461B4">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1000＜L≤2000</w:t>
                  </w:r>
                </w:p>
              </w:tc>
              <w:tc>
                <w:tcPr>
                  <w:tcW w:w="1184" w:type="pct"/>
                  <w:gridSpan w:val="3"/>
                  <w:noWrap w:val="0"/>
                  <w:vAlign w:val="center"/>
                </w:tcPr>
                <w:p w14:paraId="074B2EF2">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L＞2000</w:t>
                  </w:r>
                </w:p>
              </w:tc>
            </w:tr>
            <w:tr w14:paraId="5E2E4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247228A1">
                  <w:pPr>
                    <w:pStyle w:val="52"/>
                    <w:spacing w:line="300" w:lineRule="exact"/>
                    <w:rPr>
                      <w:rFonts w:hint="default" w:ascii="Times New Roman" w:hAnsi="Times New Roman" w:eastAsia="仿宋" w:cs="Times New Roman"/>
                      <w:b/>
                      <w:color w:val="auto"/>
                      <w:sz w:val="21"/>
                      <w:szCs w:val="21"/>
                      <w:lang w:val="en-US" w:eastAsia="zh-CN"/>
                    </w:rPr>
                  </w:pPr>
                </w:p>
              </w:tc>
              <w:tc>
                <w:tcPr>
                  <w:tcW w:w="835" w:type="pct"/>
                  <w:vMerge w:val="continue"/>
                  <w:noWrap w:val="0"/>
                  <w:vAlign w:val="center"/>
                </w:tcPr>
                <w:p w14:paraId="7D2065BB">
                  <w:pPr>
                    <w:pStyle w:val="52"/>
                    <w:spacing w:line="300" w:lineRule="exact"/>
                    <w:rPr>
                      <w:rFonts w:hint="default" w:ascii="Times New Roman" w:hAnsi="Times New Roman" w:eastAsia="仿宋" w:cs="Times New Roman"/>
                      <w:b/>
                      <w:color w:val="auto"/>
                      <w:sz w:val="21"/>
                      <w:szCs w:val="21"/>
                      <w:lang w:val="en-US" w:eastAsia="zh-CN"/>
                    </w:rPr>
                  </w:pPr>
                </w:p>
              </w:tc>
              <w:tc>
                <w:tcPr>
                  <w:tcW w:w="3548" w:type="pct"/>
                  <w:gridSpan w:val="11"/>
                  <w:noWrap w:val="0"/>
                  <w:vAlign w:val="center"/>
                </w:tcPr>
                <w:p w14:paraId="46E24284">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工业企业大气污染源构成类型</w:t>
                  </w:r>
                </w:p>
              </w:tc>
            </w:tr>
            <w:tr w14:paraId="3A36F5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vMerge w:val="continue"/>
                  <w:noWrap w:val="0"/>
                  <w:vAlign w:val="center"/>
                </w:tcPr>
                <w:p w14:paraId="36B771D2">
                  <w:pPr>
                    <w:pStyle w:val="52"/>
                    <w:spacing w:line="300" w:lineRule="exact"/>
                    <w:rPr>
                      <w:rFonts w:hint="default" w:ascii="Times New Roman" w:hAnsi="Times New Roman" w:eastAsia="仿宋" w:cs="Times New Roman"/>
                      <w:b/>
                      <w:color w:val="auto"/>
                      <w:sz w:val="21"/>
                      <w:szCs w:val="21"/>
                      <w:lang w:val="en-US" w:eastAsia="zh-CN"/>
                    </w:rPr>
                  </w:pPr>
                </w:p>
              </w:tc>
              <w:tc>
                <w:tcPr>
                  <w:tcW w:w="835" w:type="pct"/>
                  <w:vMerge w:val="continue"/>
                  <w:noWrap w:val="0"/>
                  <w:vAlign w:val="center"/>
                </w:tcPr>
                <w:p w14:paraId="4E029642">
                  <w:pPr>
                    <w:pStyle w:val="52"/>
                    <w:spacing w:line="300" w:lineRule="exact"/>
                    <w:rPr>
                      <w:rFonts w:hint="default" w:ascii="Times New Roman" w:hAnsi="Times New Roman" w:eastAsia="仿宋" w:cs="Times New Roman"/>
                      <w:b/>
                      <w:color w:val="auto"/>
                      <w:sz w:val="21"/>
                      <w:szCs w:val="21"/>
                      <w:lang w:val="en-US" w:eastAsia="zh-CN"/>
                    </w:rPr>
                  </w:pPr>
                </w:p>
              </w:tc>
              <w:tc>
                <w:tcPr>
                  <w:tcW w:w="393" w:type="pct"/>
                  <w:noWrap w:val="0"/>
                  <w:vAlign w:val="center"/>
                </w:tcPr>
                <w:p w14:paraId="6F9DC5FD">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Ⅰ</w:t>
                  </w:r>
                </w:p>
              </w:tc>
              <w:tc>
                <w:tcPr>
                  <w:tcW w:w="393" w:type="pct"/>
                  <w:noWrap w:val="0"/>
                  <w:vAlign w:val="center"/>
                </w:tcPr>
                <w:p w14:paraId="018CE756">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Ⅱ</w:t>
                  </w:r>
                </w:p>
              </w:tc>
              <w:tc>
                <w:tcPr>
                  <w:tcW w:w="393" w:type="pct"/>
                  <w:noWrap w:val="0"/>
                  <w:vAlign w:val="center"/>
                </w:tcPr>
                <w:p w14:paraId="5188FF7E">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Ⅲ</w:t>
                  </w:r>
                </w:p>
              </w:tc>
              <w:tc>
                <w:tcPr>
                  <w:tcW w:w="393" w:type="pct"/>
                  <w:gridSpan w:val="2"/>
                  <w:noWrap w:val="0"/>
                  <w:vAlign w:val="center"/>
                </w:tcPr>
                <w:p w14:paraId="30BF9B7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Ⅰ</w:t>
                  </w:r>
                </w:p>
              </w:tc>
              <w:tc>
                <w:tcPr>
                  <w:tcW w:w="393" w:type="pct"/>
                  <w:noWrap w:val="0"/>
                  <w:vAlign w:val="center"/>
                </w:tcPr>
                <w:p w14:paraId="66AE7A18">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Ⅱ</w:t>
                  </w:r>
                </w:p>
              </w:tc>
              <w:tc>
                <w:tcPr>
                  <w:tcW w:w="393" w:type="pct"/>
                  <w:noWrap w:val="0"/>
                  <w:vAlign w:val="center"/>
                </w:tcPr>
                <w:p w14:paraId="2D505EB5">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Ⅲ</w:t>
                  </w:r>
                </w:p>
              </w:tc>
              <w:tc>
                <w:tcPr>
                  <w:tcW w:w="392" w:type="pct"/>
                  <w:gridSpan w:val="2"/>
                  <w:noWrap w:val="0"/>
                  <w:vAlign w:val="center"/>
                </w:tcPr>
                <w:p w14:paraId="5802884A">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Ⅰ</w:t>
                  </w:r>
                </w:p>
              </w:tc>
              <w:tc>
                <w:tcPr>
                  <w:tcW w:w="393" w:type="pct"/>
                  <w:noWrap w:val="0"/>
                  <w:vAlign w:val="center"/>
                </w:tcPr>
                <w:p w14:paraId="21F396E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Ⅱ</w:t>
                  </w:r>
                </w:p>
              </w:tc>
              <w:tc>
                <w:tcPr>
                  <w:tcW w:w="403" w:type="pct"/>
                  <w:noWrap w:val="0"/>
                  <w:vAlign w:val="center"/>
                </w:tcPr>
                <w:p w14:paraId="0A522E0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Ⅲ</w:t>
                  </w:r>
                </w:p>
              </w:tc>
            </w:tr>
            <w:tr w14:paraId="23254B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7EF98E8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A</w:t>
                  </w:r>
                </w:p>
              </w:tc>
              <w:tc>
                <w:tcPr>
                  <w:tcW w:w="835" w:type="pct"/>
                  <w:noWrap w:val="0"/>
                  <w:vAlign w:val="center"/>
                </w:tcPr>
                <w:p w14:paraId="76EE089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57000076">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2~4</w:t>
                  </w:r>
                </w:p>
                <w:p w14:paraId="2D561BD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w:t>
                  </w:r>
                </w:p>
              </w:tc>
              <w:tc>
                <w:tcPr>
                  <w:tcW w:w="393" w:type="pct"/>
                  <w:noWrap w:val="0"/>
                  <w:vAlign w:val="center"/>
                </w:tcPr>
                <w:p w14:paraId="2719245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7C6E894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14:paraId="08110FF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14:paraId="3A6C9A4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456DFD7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14:paraId="69D4AA1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14:paraId="341442F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30B7709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14:paraId="2D16AFF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3" w:type="pct"/>
                  <w:gridSpan w:val="2"/>
                  <w:noWrap w:val="0"/>
                  <w:vAlign w:val="center"/>
                </w:tcPr>
                <w:p w14:paraId="58DB856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0800041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700</w:t>
                  </w:r>
                </w:p>
                <w:p w14:paraId="2FD2A66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530</w:t>
                  </w:r>
                </w:p>
              </w:tc>
              <w:tc>
                <w:tcPr>
                  <w:tcW w:w="393" w:type="pct"/>
                  <w:noWrap w:val="0"/>
                  <w:vAlign w:val="center"/>
                </w:tcPr>
                <w:p w14:paraId="70E3B54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0352EC0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470</w:t>
                  </w:r>
                </w:p>
                <w:p w14:paraId="1D6B9C1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tc>
              <w:tc>
                <w:tcPr>
                  <w:tcW w:w="393" w:type="pct"/>
                  <w:noWrap w:val="0"/>
                  <w:vAlign w:val="center"/>
                </w:tcPr>
                <w:p w14:paraId="76A11AA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400</w:t>
                  </w:r>
                </w:p>
                <w:p w14:paraId="6F9BF935">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350</w:t>
                  </w:r>
                </w:p>
                <w:p w14:paraId="4415632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260</w:t>
                  </w:r>
                </w:p>
              </w:tc>
              <w:tc>
                <w:tcPr>
                  <w:tcW w:w="392" w:type="pct"/>
                  <w:gridSpan w:val="2"/>
                  <w:noWrap w:val="0"/>
                  <w:vAlign w:val="center"/>
                </w:tcPr>
                <w:p w14:paraId="15F96B2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4811E4D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380</w:t>
                  </w:r>
                </w:p>
                <w:p w14:paraId="53953BD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290</w:t>
                  </w:r>
                </w:p>
              </w:tc>
              <w:tc>
                <w:tcPr>
                  <w:tcW w:w="393" w:type="pct"/>
                  <w:noWrap w:val="0"/>
                  <w:vAlign w:val="center"/>
                </w:tcPr>
                <w:p w14:paraId="6D901A6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2C9EC918">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250</w:t>
                  </w:r>
                </w:p>
                <w:p w14:paraId="3E22D64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tc>
              <w:tc>
                <w:tcPr>
                  <w:tcW w:w="403" w:type="pct"/>
                  <w:noWrap w:val="0"/>
                  <w:vAlign w:val="center"/>
                </w:tcPr>
                <w:p w14:paraId="3E58DE0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80</w:t>
                  </w:r>
                </w:p>
                <w:p w14:paraId="240D3A3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190</w:t>
                  </w:r>
                </w:p>
                <w:p w14:paraId="06E11D6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110</w:t>
                  </w:r>
                </w:p>
              </w:tc>
            </w:tr>
            <w:tr w14:paraId="3364F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615" w:type="pct"/>
                  <w:noWrap w:val="0"/>
                  <w:vAlign w:val="center"/>
                </w:tcPr>
                <w:p w14:paraId="71B8DD0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B</w:t>
                  </w:r>
                </w:p>
              </w:tc>
              <w:tc>
                <w:tcPr>
                  <w:tcW w:w="835" w:type="pct"/>
                  <w:noWrap w:val="0"/>
                  <w:vAlign w:val="center"/>
                </w:tcPr>
                <w:p w14:paraId="69CECEE5">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70BE7FD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27E2399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w:t>
                  </w:r>
                </w:p>
                <w:p w14:paraId="1D42220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0.021</w:t>
                  </w:r>
                </w:p>
              </w:tc>
              <w:tc>
                <w:tcPr>
                  <w:tcW w:w="1179" w:type="pct"/>
                  <w:gridSpan w:val="4"/>
                  <w:noWrap w:val="0"/>
                  <w:vAlign w:val="center"/>
                </w:tcPr>
                <w:p w14:paraId="6E5189CA">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14:paraId="7A67B55F">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c>
                <w:tcPr>
                  <w:tcW w:w="1189" w:type="pct"/>
                  <w:gridSpan w:val="4"/>
                  <w:noWrap w:val="0"/>
                  <w:vAlign w:val="center"/>
                </w:tcPr>
                <w:p w14:paraId="5896737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0.015</w:t>
                  </w:r>
                </w:p>
                <w:p w14:paraId="6209E4B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0.036</w:t>
                  </w:r>
                </w:p>
              </w:tc>
            </w:tr>
            <w:tr w14:paraId="08ACA6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3F5582D0">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C</w:t>
                  </w:r>
                </w:p>
              </w:tc>
              <w:tc>
                <w:tcPr>
                  <w:tcW w:w="835" w:type="pct"/>
                  <w:noWrap w:val="0"/>
                  <w:vAlign w:val="center"/>
                </w:tcPr>
                <w:p w14:paraId="3B7C8447">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02BFDD1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416367D1">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p w14:paraId="7B317BFC">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1.85</w:t>
                  </w:r>
                </w:p>
              </w:tc>
              <w:tc>
                <w:tcPr>
                  <w:tcW w:w="1179" w:type="pct"/>
                  <w:gridSpan w:val="4"/>
                  <w:noWrap w:val="0"/>
                  <w:vAlign w:val="center"/>
                </w:tcPr>
                <w:p w14:paraId="746D30A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14:paraId="2C4B806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c>
                <w:tcPr>
                  <w:tcW w:w="1189" w:type="pct"/>
                  <w:gridSpan w:val="4"/>
                  <w:noWrap w:val="0"/>
                  <w:vAlign w:val="center"/>
                </w:tcPr>
                <w:p w14:paraId="0938D49A">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1.79</w:t>
                  </w:r>
                </w:p>
                <w:p w14:paraId="28F6EE02">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1.77</w:t>
                  </w:r>
                </w:p>
              </w:tc>
            </w:tr>
            <w:tr w14:paraId="79B9E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5" w:type="pct"/>
                  <w:noWrap w:val="0"/>
                  <w:vAlign w:val="center"/>
                </w:tcPr>
                <w:p w14:paraId="6902E12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D</w:t>
                  </w:r>
                </w:p>
              </w:tc>
              <w:tc>
                <w:tcPr>
                  <w:tcW w:w="835" w:type="pct"/>
                  <w:noWrap w:val="0"/>
                  <w:vAlign w:val="center"/>
                </w:tcPr>
                <w:p w14:paraId="661B1BD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＜2</w:t>
                  </w:r>
                </w:p>
                <w:p w14:paraId="5035240B">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rPr>
                  </w:pPr>
                  <w:r>
                    <w:rPr>
                      <w:rFonts w:hint="default" w:ascii="Times New Roman" w:hAnsi="Times New Roman" w:eastAsia="仿宋" w:cs="Times New Roman"/>
                      <w:color w:val="auto"/>
                      <w:sz w:val="21"/>
                      <w:szCs w:val="21"/>
                      <w:vertAlign w:val="baseline"/>
                      <w:lang w:val="en-US" w:eastAsia="zh-CN"/>
                    </w:rPr>
                    <w:t>＞2</w:t>
                  </w:r>
                </w:p>
              </w:tc>
              <w:tc>
                <w:tcPr>
                  <w:tcW w:w="1179" w:type="pct"/>
                  <w:gridSpan w:val="3"/>
                  <w:noWrap w:val="0"/>
                  <w:vAlign w:val="center"/>
                </w:tcPr>
                <w:p w14:paraId="3948840E">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14:paraId="49FDA28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79" w:type="pct"/>
                  <w:gridSpan w:val="4"/>
                  <w:noWrap w:val="0"/>
                  <w:vAlign w:val="center"/>
                </w:tcPr>
                <w:p w14:paraId="18FE5CF3">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0.78</w:t>
                  </w:r>
                </w:p>
                <w:p w14:paraId="6847BAA4">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0.84</w:t>
                  </w:r>
                </w:p>
              </w:tc>
              <w:tc>
                <w:tcPr>
                  <w:tcW w:w="1189" w:type="pct"/>
                  <w:gridSpan w:val="4"/>
                  <w:noWrap w:val="0"/>
                  <w:vAlign w:val="center"/>
                </w:tcPr>
                <w:p w14:paraId="285C6ED9">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0.57</w:t>
                  </w:r>
                </w:p>
                <w:p w14:paraId="6C00F65D">
                  <w:pPr>
                    <w:keepNext w:val="0"/>
                    <w:keepLines w:val="0"/>
                    <w:pageBreakBefore w:val="0"/>
                    <w:widowControl w:val="0"/>
                    <w:suppressLineNumbers w:val="0"/>
                    <w:kinsoku/>
                    <w:wordWrap/>
                    <w:overflowPunct/>
                    <w:topLinePunct w:val="0"/>
                    <w:autoSpaceDE/>
                    <w:autoSpaceDN/>
                    <w:bidi w:val="0"/>
                    <w:adjustRightInd/>
                    <w:snapToGrid w:val="0"/>
                    <w:spacing w:before="62" w:beforeLines="20" w:beforeAutospacing="0" w:after="0" w:afterAutospacing="0" w:line="240" w:lineRule="auto"/>
                    <w:ind w:left="0" w:right="0"/>
                    <w:jc w:val="center"/>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color w:val="auto"/>
                      <w:sz w:val="21"/>
                      <w:szCs w:val="21"/>
                      <w:vertAlign w:val="baseline"/>
                      <w:lang w:val="en-US" w:eastAsia="zh-CN"/>
                    </w:rPr>
                    <w:t>0.76</w:t>
                  </w:r>
                </w:p>
              </w:tc>
            </w:tr>
            <w:tr w14:paraId="2CC700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13"/>
                  <w:noWrap w:val="0"/>
                  <w:vAlign w:val="center"/>
                </w:tcPr>
                <w:p w14:paraId="05995B1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注：I类：与无组织排放源共存的排放同种有害气体的排气筒的排放量，大于或等于标准规定的允许排放量的1/3者。</w:t>
                  </w:r>
                </w:p>
                <w:p w14:paraId="50273A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b/>
                      <w:bCs/>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0E000D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Times New Roman" w:hAnsi="Times New Roman" w:eastAsia="仿宋" w:cs="Times New Roman"/>
                      <w:color w:val="auto"/>
                      <w:sz w:val="21"/>
                      <w:szCs w:val="21"/>
                      <w:vertAlign w:val="baseline"/>
                      <w:lang w:val="en-US" w:eastAsia="zh-CN"/>
                    </w:rPr>
                  </w:pPr>
                  <w:r>
                    <w:rPr>
                      <w:rFonts w:hint="default" w:ascii="Times New Roman" w:hAnsi="Times New Roman" w:eastAsia="仿宋" w:cs="Times New Roman"/>
                      <w:b/>
                      <w:bCs/>
                      <w:color w:val="auto"/>
                      <w:sz w:val="21"/>
                      <w:szCs w:val="21"/>
                      <w:vertAlign w:val="baseline"/>
                      <w:lang w:val="en-US" w:eastAsia="zh-CN"/>
                    </w:rPr>
                    <w:t>Ⅲ类：无排放同种有害物质的排气筒与无组织排放源共存，但无组织排放的有害物质的容许浓度是按慢性反应指标确定者。</w:t>
                  </w:r>
                </w:p>
              </w:tc>
            </w:tr>
          </w:tbl>
          <w:p w14:paraId="36AF6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根据《大气有害物质无组织排放卫生防护距离推导技术导则》（GB/T39499-2020），卫生防护距离初值小于50m时，级差为50m；卫生防护距离初值大于或等于50m，但小于100m时，级差为50m；卫生防护距离初值大于或等于100m，但小于1000m时，级差为100m；卫生防护距离初值大于或等于1000m，级差为200m。当企业某生产单元无组织排放存在多种特征大气有害物质时，如果分别推导出的卫生防护距离初值在同一级别时，则该企业的卫生防护距离终值应提高一级；卫生防护距离初值不在同一级别的，以卫生防护距离终值较大者为准。</w:t>
            </w:r>
          </w:p>
          <w:p w14:paraId="5C06F8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经计算，本项目无组织排放废气的卫生防护距离见下表。</w:t>
            </w:r>
          </w:p>
          <w:p w14:paraId="53F8A44F">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表4-11  卫生防护距离计算结果表</w:t>
            </w:r>
          </w:p>
          <w:tbl>
            <w:tblPr>
              <w:tblStyle w:val="24"/>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55"/>
              <w:gridCol w:w="1335"/>
              <w:gridCol w:w="1230"/>
              <w:gridCol w:w="840"/>
              <w:gridCol w:w="826"/>
              <w:gridCol w:w="895"/>
              <w:gridCol w:w="1049"/>
              <w:gridCol w:w="1456"/>
              <w:gridCol w:w="945"/>
              <w:gridCol w:w="1095"/>
              <w:gridCol w:w="961"/>
            </w:tblGrid>
            <w:tr w14:paraId="0EF79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528" w:type="pct"/>
                  <w:noWrap w:val="0"/>
                  <w:vAlign w:val="center"/>
                </w:tcPr>
                <w:p w14:paraId="54491586">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面源名称</w:t>
                  </w:r>
                </w:p>
              </w:tc>
              <w:tc>
                <w:tcPr>
                  <w:tcW w:w="561" w:type="pct"/>
                  <w:noWrap w:val="0"/>
                  <w:vAlign w:val="center"/>
                </w:tcPr>
                <w:p w14:paraId="08CEFFB0">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污染物名称</w:t>
                  </w:r>
                </w:p>
              </w:tc>
              <w:tc>
                <w:tcPr>
                  <w:tcW w:w="517" w:type="pct"/>
                  <w:noWrap w:val="0"/>
                  <w:vAlign w:val="center"/>
                </w:tcPr>
                <w:p w14:paraId="6E8C651D">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平均风速（m/s）</w:t>
                  </w:r>
                </w:p>
              </w:tc>
              <w:tc>
                <w:tcPr>
                  <w:tcW w:w="353" w:type="pct"/>
                  <w:noWrap w:val="0"/>
                  <w:vAlign w:val="center"/>
                </w:tcPr>
                <w:p w14:paraId="1D5DB7F0">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A</w:t>
                  </w:r>
                </w:p>
              </w:tc>
              <w:tc>
                <w:tcPr>
                  <w:tcW w:w="347" w:type="pct"/>
                  <w:noWrap w:val="0"/>
                  <w:tcMar>
                    <w:top w:w="0" w:type="dxa"/>
                    <w:left w:w="15" w:type="dxa"/>
                    <w:bottom w:w="0" w:type="dxa"/>
                    <w:right w:w="15" w:type="dxa"/>
                  </w:tcMar>
                  <w:vAlign w:val="center"/>
                </w:tcPr>
                <w:p w14:paraId="349E1E9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B</w:t>
                  </w:r>
                </w:p>
              </w:tc>
              <w:tc>
                <w:tcPr>
                  <w:tcW w:w="376" w:type="pct"/>
                  <w:noWrap w:val="0"/>
                  <w:tcMar>
                    <w:top w:w="15" w:type="dxa"/>
                    <w:left w:w="15" w:type="dxa"/>
                    <w:bottom w:w="0" w:type="dxa"/>
                    <w:right w:w="15" w:type="dxa"/>
                  </w:tcMar>
                  <w:vAlign w:val="center"/>
                </w:tcPr>
                <w:p w14:paraId="2CD1EB9E">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C</w:t>
                  </w:r>
                </w:p>
              </w:tc>
              <w:tc>
                <w:tcPr>
                  <w:tcW w:w="441" w:type="pct"/>
                  <w:noWrap w:val="0"/>
                  <w:tcMar>
                    <w:top w:w="15" w:type="dxa"/>
                    <w:left w:w="15" w:type="dxa"/>
                    <w:bottom w:w="0" w:type="dxa"/>
                    <w:right w:w="15" w:type="dxa"/>
                  </w:tcMar>
                  <w:vAlign w:val="center"/>
                </w:tcPr>
                <w:p w14:paraId="1F73C15E">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D</w:t>
                  </w:r>
                </w:p>
              </w:tc>
              <w:tc>
                <w:tcPr>
                  <w:tcW w:w="612" w:type="pct"/>
                  <w:noWrap w:val="0"/>
                  <w:tcMar>
                    <w:top w:w="15" w:type="dxa"/>
                    <w:left w:w="15" w:type="dxa"/>
                    <w:bottom w:w="0" w:type="dxa"/>
                    <w:right w:w="15" w:type="dxa"/>
                  </w:tcMar>
                  <w:vAlign w:val="center"/>
                </w:tcPr>
                <w:p w14:paraId="40D3D793">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Cm</w:t>
                  </w:r>
                </w:p>
                <w:p w14:paraId="447DE747">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（mg/Nm</w:t>
                  </w:r>
                  <w:r>
                    <w:rPr>
                      <w:rFonts w:hint="default" w:ascii="Times New Roman" w:hAnsi="Times New Roman" w:eastAsia="仿宋" w:cs="Times New Roman"/>
                      <w:b/>
                      <w:color w:val="auto"/>
                      <w:sz w:val="21"/>
                      <w:szCs w:val="21"/>
                      <w:vertAlign w:val="superscript"/>
                      <w:lang w:val="en-US" w:eastAsia="zh-CN"/>
                    </w:rPr>
                    <w:t>3</w:t>
                  </w:r>
                  <w:r>
                    <w:rPr>
                      <w:rFonts w:hint="default" w:ascii="Times New Roman" w:hAnsi="Times New Roman" w:eastAsia="仿宋" w:cs="Times New Roman"/>
                      <w:b/>
                      <w:color w:val="auto"/>
                      <w:sz w:val="21"/>
                      <w:szCs w:val="21"/>
                      <w:lang w:val="en-US" w:eastAsia="zh-CN"/>
                    </w:rPr>
                    <w:t>）</w:t>
                  </w:r>
                </w:p>
              </w:tc>
              <w:tc>
                <w:tcPr>
                  <w:tcW w:w="397" w:type="pct"/>
                  <w:noWrap w:val="0"/>
                  <w:tcMar>
                    <w:top w:w="15" w:type="dxa"/>
                    <w:left w:w="15" w:type="dxa"/>
                    <w:bottom w:w="0" w:type="dxa"/>
                    <w:right w:w="15" w:type="dxa"/>
                  </w:tcMar>
                  <w:vAlign w:val="center"/>
                </w:tcPr>
                <w:p w14:paraId="766F9012">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r</w:t>
                  </w:r>
                </w:p>
                <w:p w14:paraId="63E7F25C">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（m）</w:t>
                  </w:r>
                </w:p>
              </w:tc>
              <w:tc>
                <w:tcPr>
                  <w:tcW w:w="460" w:type="pct"/>
                  <w:noWrap w:val="0"/>
                  <w:tcMar>
                    <w:top w:w="15" w:type="dxa"/>
                    <w:left w:w="15" w:type="dxa"/>
                    <w:bottom w:w="0" w:type="dxa"/>
                    <w:right w:w="15" w:type="dxa"/>
                  </w:tcMar>
                  <w:vAlign w:val="center"/>
                </w:tcPr>
                <w:p w14:paraId="0C795BB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Qc</w:t>
                  </w:r>
                </w:p>
                <w:p w14:paraId="295CFD81">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（kg/h）</w:t>
                  </w:r>
                </w:p>
              </w:tc>
              <w:tc>
                <w:tcPr>
                  <w:tcW w:w="404" w:type="pct"/>
                  <w:noWrap w:val="0"/>
                  <w:tcMar>
                    <w:top w:w="15" w:type="dxa"/>
                    <w:left w:w="15" w:type="dxa"/>
                    <w:bottom w:w="0" w:type="dxa"/>
                    <w:right w:w="15" w:type="dxa"/>
                  </w:tcMar>
                  <w:vAlign w:val="center"/>
                </w:tcPr>
                <w:p w14:paraId="3959CE4D">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L</w:t>
                  </w:r>
                </w:p>
                <w:p w14:paraId="3A7EC979">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（m）</w:t>
                  </w:r>
                </w:p>
              </w:tc>
            </w:tr>
            <w:tr w14:paraId="01620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4" w:hRule="atLeast"/>
                <w:jc w:val="center"/>
              </w:trPr>
              <w:tc>
                <w:tcPr>
                  <w:tcW w:w="528" w:type="pct"/>
                  <w:noWrap w:val="0"/>
                  <w:vAlign w:val="center"/>
                </w:tcPr>
                <w:p w14:paraId="201827A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eastAsia" w:eastAsia="仿宋" w:cs="Times New Roman"/>
                      <w:b w:val="0"/>
                      <w:bCs w:val="0"/>
                      <w:sz w:val="21"/>
                      <w:szCs w:val="21"/>
                      <w:lang w:val="en-US" w:eastAsia="zh-CN"/>
                    </w:rPr>
                    <w:t>生产车间</w:t>
                  </w:r>
                  <w:r>
                    <w:rPr>
                      <w:rFonts w:hint="default" w:ascii="Times New Roman" w:hAnsi="Times New Roman" w:eastAsia="仿宋" w:cs="Times New Roman"/>
                      <w:b w:val="0"/>
                      <w:bCs w:val="0"/>
                      <w:sz w:val="21"/>
                      <w:szCs w:val="21"/>
                      <w:lang w:val="en-US" w:eastAsia="zh-CN"/>
                    </w:rPr>
                    <w:t>2F</w:t>
                  </w:r>
                </w:p>
              </w:tc>
              <w:tc>
                <w:tcPr>
                  <w:tcW w:w="561" w:type="pct"/>
                  <w:noWrap w:val="0"/>
                  <w:vAlign w:val="center"/>
                </w:tcPr>
                <w:p w14:paraId="67B8DCA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颗粒物</w:t>
                  </w:r>
                </w:p>
              </w:tc>
              <w:tc>
                <w:tcPr>
                  <w:tcW w:w="517" w:type="pct"/>
                  <w:noWrap w:val="0"/>
                  <w:vAlign w:val="center"/>
                </w:tcPr>
                <w:p w14:paraId="0A8E25C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2.6</w:t>
                  </w:r>
                </w:p>
              </w:tc>
              <w:tc>
                <w:tcPr>
                  <w:tcW w:w="353" w:type="pct"/>
                  <w:noWrap w:val="0"/>
                  <w:vAlign w:val="center"/>
                </w:tcPr>
                <w:p w14:paraId="26FA70A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350</w:t>
                  </w:r>
                </w:p>
              </w:tc>
              <w:tc>
                <w:tcPr>
                  <w:tcW w:w="347" w:type="pct"/>
                  <w:noWrap w:val="0"/>
                  <w:tcMar>
                    <w:top w:w="0" w:type="dxa"/>
                    <w:left w:w="15" w:type="dxa"/>
                    <w:bottom w:w="0" w:type="dxa"/>
                    <w:right w:w="15" w:type="dxa"/>
                  </w:tcMar>
                  <w:vAlign w:val="center"/>
                </w:tcPr>
                <w:p w14:paraId="7CAC81D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0.021</w:t>
                  </w:r>
                </w:p>
              </w:tc>
              <w:tc>
                <w:tcPr>
                  <w:tcW w:w="376" w:type="pct"/>
                  <w:noWrap w:val="0"/>
                  <w:tcMar>
                    <w:top w:w="15" w:type="dxa"/>
                    <w:left w:w="15" w:type="dxa"/>
                    <w:bottom w:w="0" w:type="dxa"/>
                    <w:right w:w="15" w:type="dxa"/>
                  </w:tcMar>
                  <w:vAlign w:val="center"/>
                </w:tcPr>
                <w:p w14:paraId="1A00E9A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1.85</w:t>
                  </w:r>
                </w:p>
              </w:tc>
              <w:tc>
                <w:tcPr>
                  <w:tcW w:w="441" w:type="pct"/>
                  <w:noWrap w:val="0"/>
                  <w:tcMar>
                    <w:top w:w="15" w:type="dxa"/>
                    <w:left w:w="15" w:type="dxa"/>
                    <w:bottom w:w="0" w:type="dxa"/>
                    <w:right w:w="15" w:type="dxa"/>
                  </w:tcMar>
                  <w:vAlign w:val="center"/>
                </w:tcPr>
                <w:p w14:paraId="752470C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0.84</w:t>
                  </w:r>
                </w:p>
              </w:tc>
              <w:tc>
                <w:tcPr>
                  <w:tcW w:w="612" w:type="pct"/>
                  <w:noWrap w:val="0"/>
                  <w:tcMar>
                    <w:top w:w="15" w:type="dxa"/>
                    <w:left w:w="15" w:type="dxa"/>
                    <w:bottom w:w="0" w:type="dxa"/>
                    <w:right w:w="15" w:type="dxa"/>
                  </w:tcMar>
                  <w:vAlign w:val="center"/>
                </w:tcPr>
                <w:p w14:paraId="10A1B85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0.9</w:t>
                  </w:r>
                </w:p>
              </w:tc>
              <w:tc>
                <w:tcPr>
                  <w:tcW w:w="397" w:type="pct"/>
                  <w:noWrap w:val="0"/>
                  <w:tcMar>
                    <w:top w:w="15" w:type="dxa"/>
                    <w:left w:w="15" w:type="dxa"/>
                    <w:bottom w:w="0" w:type="dxa"/>
                    <w:right w:w="15" w:type="dxa"/>
                  </w:tcMar>
                  <w:vAlign w:val="center"/>
                </w:tcPr>
                <w:p w14:paraId="3DBE21B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16.37</w:t>
                  </w:r>
                </w:p>
              </w:tc>
              <w:tc>
                <w:tcPr>
                  <w:tcW w:w="460" w:type="pct"/>
                  <w:noWrap w:val="0"/>
                  <w:tcMar>
                    <w:top w:w="15" w:type="dxa"/>
                    <w:left w:w="15" w:type="dxa"/>
                    <w:bottom w:w="0" w:type="dxa"/>
                    <w:right w:w="15" w:type="dxa"/>
                  </w:tcMar>
                  <w:vAlign w:val="center"/>
                </w:tcPr>
                <w:p w14:paraId="4A39099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0.0005</w:t>
                  </w:r>
                </w:p>
              </w:tc>
              <w:tc>
                <w:tcPr>
                  <w:tcW w:w="404" w:type="pct"/>
                  <w:noWrap w:val="0"/>
                  <w:tcMar>
                    <w:top w:w="15" w:type="dxa"/>
                    <w:left w:w="15" w:type="dxa"/>
                    <w:bottom w:w="0" w:type="dxa"/>
                    <w:right w:w="15" w:type="dxa"/>
                  </w:tcMar>
                  <w:vAlign w:val="center"/>
                </w:tcPr>
                <w:p w14:paraId="3F71CDD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0.01</w:t>
                  </w:r>
                </w:p>
              </w:tc>
            </w:tr>
          </w:tbl>
          <w:p w14:paraId="416FF933">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仿宋" w:cs="Times New Roman"/>
                <w:b/>
                <w:bCs w:val="0"/>
                <w:color w:val="auto"/>
                <w:sz w:val="21"/>
                <w:szCs w:val="21"/>
                <w:lang w:val="en-US" w:eastAsia="zh-CN"/>
              </w:rPr>
            </w:pPr>
            <w:r>
              <w:rPr>
                <w:rFonts w:hint="default" w:ascii="Times New Roman" w:hAnsi="Times New Roman" w:eastAsia="仿宋" w:cs="Times New Roman"/>
                <w:b/>
                <w:bCs w:val="0"/>
                <w:color w:val="auto"/>
                <w:sz w:val="21"/>
                <w:szCs w:val="21"/>
                <w:lang w:val="en-US" w:eastAsia="zh-CN"/>
              </w:rPr>
              <w:t>注：锡及其化合物以颗粒物计。</w:t>
            </w:r>
          </w:p>
          <w:p w14:paraId="01D1C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由上表可知，确定本项目卫生防护距离是以本项目车间外扩50m形成的包络区域，本项目卫生防护距离范围内无环境敏感点，符合卫生防护距离要求。该范围内将来不允许建设居民、学校、医院等环境保护目标项目。</w:t>
            </w:r>
          </w:p>
          <w:p w14:paraId="727278AC">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2.6废气监测要求</w:t>
            </w:r>
          </w:p>
          <w:p w14:paraId="58FF1F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0" w:right="0" w:firstLine="480" w:firstLineChars="200"/>
              <w:textAlignment w:val="auto"/>
              <w:rPr>
                <w:rFonts w:hint="default" w:ascii="Times New Roman" w:hAnsi="Times New Roman" w:eastAsia="仿宋" w:cs="Times New Roman"/>
                <w:bCs/>
                <w:color w:val="auto"/>
                <w:sz w:val="24"/>
                <w:szCs w:val="24"/>
                <w:lang w:val="en-US" w:eastAsia="zh-CN"/>
              </w:rPr>
            </w:pPr>
            <w:r>
              <w:rPr>
                <w:rFonts w:hint="default" w:ascii="Times New Roman" w:hAnsi="Times New Roman" w:eastAsia="仿宋" w:cs="Times New Roman"/>
                <w:bCs/>
                <w:color w:val="auto"/>
                <w:sz w:val="24"/>
                <w:szCs w:val="24"/>
                <w:lang w:val="en-US" w:eastAsia="zh-CN"/>
              </w:rPr>
              <w:t>根据《固定污染源排污许可分类管理名录》（2019年版），本项目属于“三十三、电气机械和器材制造业38”，不涉及通用工序，属于登记管理；参照《排污许可证申请与核发技术规范 总则》（HJ942-2018）、《排污单位自行监测技术指南 总则》（HJ819-2017）中相关规定，废气自行监测要求如下。</w:t>
            </w:r>
          </w:p>
          <w:p w14:paraId="58DC4DA9">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表4-12  本项目废气监测计划表</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78"/>
              <w:gridCol w:w="2100"/>
              <w:gridCol w:w="1874"/>
              <w:gridCol w:w="5147"/>
            </w:tblGrid>
            <w:tr w14:paraId="020D0A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3" w:hRule="atLeast"/>
                <w:jc w:val="center"/>
              </w:trPr>
              <w:tc>
                <w:tcPr>
                  <w:tcW w:w="1167" w:type="pct"/>
                  <w:noWrap w:val="0"/>
                  <w:vAlign w:val="center"/>
                </w:tcPr>
                <w:p w14:paraId="7A9A5BDA">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监测点位</w:t>
                  </w:r>
                </w:p>
              </w:tc>
              <w:tc>
                <w:tcPr>
                  <w:tcW w:w="882" w:type="pct"/>
                  <w:noWrap w:val="0"/>
                  <w:vAlign w:val="center"/>
                </w:tcPr>
                <w:p w14:paraId="79535F57">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监测指标</w:t>
                  </w:r>
                </w:p>
              </w:tc>
              <w:tc>
                <w:tcPr>
                  <w:tcW w:w="787" w:type="pct"/>
                  <w:noWrap w:val="0"/>
                  <w:vAlign w:val="center"/>
                </w:tcPr>
                <w:p w14:paraId="3CFFA360">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监测频次</w:t>
                  </w:r>
                </w:p>
              </w:tc>
              <w:tc>
                <w:tcPr>
                  <w:tcW w:w="2162" w:type="pct"/>
                  <w:noWrap w:val="0"/>
                  <w:tcMar>
                    <w:top w:w="15" w:type="dxa"/>
                    <w:left w:w="15" w:type="dxa"/>
                    <w:bottom w:w="0" w:type="dxa"/>
                    <w:right w:w="15" w:type="dxa"/>
                  </w:tcMar>
                  <w:vAlign w:val="center"/>
                </w:tcPr>
                <w:p w14:paraId="525FF4CC">
                  <w:pPr>
                    <w:pStyle w:val="52"/>
                    <w:spacing w:line="300" w:lineRule="exact"/>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执行排放标准</w:t>
                  </w:r>
                </w:p>
              </w:tc>
            </w:tr>
            <w:tr w14:paraId="416F7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4" w:hRule="atLeast"/>
                <w:jc w:val="center"/>
              </w:trPr>
              <w:tc>
                <w:tcPr>
                  <w:tcW w:w="1167" w:type="pct"/>
                  <w:noWrap w:val="0"/>
                  <w:vAlign w:val="center"/>
                </w:tcPr>
                <w:p w14:paraId="5C7F5ED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厂界上风向1+下风向3</w:t>
                  </w:r>
                </w:p>
              </w:tc>
              <w:tc>
                <w:tcPr>
                  <w:tcW w:w="882" w:type="pct"/>
                  <w:noWrap w:val="0"/>
                  <w:vAlign w:val="center"/>
                </w:tcPr>
                <w:p w14:paraId="242DE6C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锡及其化合物</w:t>
                  </w:r>
                </w:p>
              </w:tc>
              <w:tc>
                <w:tcPr>
                  <w:tcW w:w="787" w:type="pct"/>
                  <w:noWrap w:val="0"/>
                  <w:vAlign w:val="center"/>
                </w:tcPr>
                <w:p w14:paraId="1217C70F">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1次/年</w:t>
                  </w:r>
                </w:p>
              </w:tc>
              <w:tc>
                <w:tcPr>
                  <w:tcW w:w="2162" w:type="pct"/>
                  <w:noWrap w:val="0"/>
                  <w:tcMar>
                    <w:top w:w="15" w:type="dxa"/>
                    <w:left w:w="15" w:type="dxa"/>
                    <w:bottom w:w="0" w:type="dxa"/>
                    <w:right w:w="15" w:type="dxa"/>
                  </w:tcMar>
                  <w:vAlign w:val="center"/>
                </w:tcPr>
                <w:p w14:paraId="33197A72">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仿宋" w:cs="Times New Roman"/>
                      <w:b w:val="0"/>
                      <w:bCs w:val="0"/>
                      <w:sz w:val="21"/>
                      <w:szCs w:val="21"/>
                      <w:lang w:val="en-US" w:eastAsia="zh-CN"/>
                    </w:rPr>
                  </w:pPr>
                  <w:r>
                    <w:rPr>
                      <w:rFonts w:hint="default" w:ascii="Times New Roman" w:hAnsi="Times New Roman" w:eastAsia="仿宋" w:cs="Times New Roman"/>
                      <w:b w:val="0"/>
                      <w:bCs w:val="0"/>
                      <w:sz w:val="21"/>
                      <w:szCs w:val="21"/>
                      <w:lang w:val="en-US" w:eastAsia="zh-CN"/>
                    </w:rPr>
                    <w:t>《大气污染物综合排放标准》（DB32/4041-2021）表3</w:t>
                  </w:r>
                </w:p>
              </w:tc>
            </w:tr>
          </w:tbl>
          <w:p w14:paraId="3C272173">
            <w:pPr>
              <w:keepNext w:val="0"/>
              <w:keepLines w:val="0"/>
              <w:pageBreakBefore w:val="0"/>
              <w:widowControl w:val="0"/>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pacing w:val="-4"/>
                <w:sz w:val="24"/>
                <w:szCs w:val="24"/>
              </w:rPr>
            </w:pPr>
            <w:r>
              <w:rPr>
                <w:rFonts w:hint="default" w:ascii="Times New Roman" w:hAnsi="Times New Roman" w:eastAsia="仿宋" w:cs="Times New Roman"/>
                <w:b/>
                <w:bCs/>
                <w:color w:val="auto"/>
                <w:spacing w:val="-4"/>
                <w:sz w:val="24"/>
                <w:szCs w:val="24"/>
                <w:lang w:val="en-US" w:eastAsia="zh-CN"/>
              </w:rPr>
              <w:t>3、</w:t>
            </w:r>
            <w:r>
              <w:rPr>
                <w:rFonts w:hint="default" w:ascii="Times New Roman" w:hAnsi="Times New Roman" w:eastAsia="仿宋" w:cs="Times New Roman"/>
                <w:b/>
                <w:bCs/>
                <w:color w:val="auto"/>
                <w:spacing w:val="-4"/>
                <w:sz w:val="24"/>
                <w:szCs w:val="24"/>
              </w:rPr>
              <w:t>噪声</w:t>
            </w:r>
          </w:p>
          <w:p w14:paraId="79DA5097">
            <w:pPr>
              <w:keepNext w:val="0"/>
              <w:keepLines w:val="0"/>
              <w:pageBreakBefore w:val="0"/>
              <w:widowControl w:val="0"/>
              <w:tabs>
                <w:tab w:val="left" w:pos="1684"/>
              </w:tabs>
              <w:kinsoku/>
              <w:wordWrap/>
              <w:overflowPunct/>
              <w:topLinePunct w:val="0"/>
              <w:autoSpaceDE/>
              <w:autoSpaceDN/>
              <w:bidi w:val="0"/>
              <w:adjustRightInd/>
              <w:snapToGrid/>
              <w:spacing w:line="480" w:lineRule="exact"/>
              <w:ind w:right="0"/>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3</w:t>
            </w:r>
            <w:r>
              <w:rPr>
                <w:rFonts w:hint="default" w:ascii="Times New Roman" w:hAnsi="Times New Roman" w:eastAsia="仿宋" w:cs="Times New Roman"/>
                <w:b/>
                <w:bCs/>
                <w:color w:val="auto"/>
                <w:sz w:val="24"/>
                <w:szCs w:val="24"/>
              </w:rPr>
              <w:t>.1噪声源强分析</w:t>
            </w:r>
          </w:p>
          <w:p w14:paraId="0B722A05">
            <w:pPr>
              <w:keepNext w:val="0"/>
              <w:keepLines w:val="0"/>
              <w:pageBreakBefore w:val="0"/>
              <w:widowControl w:val="0"/>
              <w:kinsoku/>
              <w:wordWrap/>
              <w:overflowPunct/>
              <w:topLinePunct w:val="0"/>
              <w:autoSpaceDE/>
              <w:autoSpaceDN/>
              <w:bidi w:val="0"/>
              <w:adjustRightInd/>
              <w:snapToGrid/>
              <w:spacing w:line="480" w:lineRule="exact"/>
              <w:ind w:right="0"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本项目噪声主要来自</w:t>
            </w:r>
            <w:r>
              <w:rPr>
                <w:rFonts w:hint="default" w:ascii="Times New Roman" w:hAnsi="Times New Roman" w:eastAsia="仿宋" w:cs="Times New Roman"/>
                <w:bCs/>
                <w:color w:val="auto"/>
                <w:sz w:val="24"/>
                <w:szCs w:val="24"/>
                <w:lang w:val="en-US" w:eastAsia="zh-CN"/>
              </w:rPr>
              <w:t>生产设备</w:t>
            </w:r>
            <w:r>
              <w:rPr>
                <w:rFonts w:hint="default" w:ascii="Times New Roman" w:hAnsi="Times New Roman" w:eastAsia="仿宋" w:cs="Times New Roman"/>
                <w:bCs/>
                <w:color w:val="auto"/>
                <w:sz w:val="24"/>
                <w:szCs w:val="24"/>
              </w:rPr>
              <w:t>产生的噪声，位于室</w:t>
            </w:r>
            <w:r>
              <w:rPr>
                <w:rFonts w:hint="default" w:ascii="Times New Roman" w:hAnsi="Times New Roman" w:eastAsia="仿宋" w:cs="Times New Roman"/>
                <w:bCs/>
                <w:color w:val="auto"/>
                <w:sz w:val="24"/>
                <w:szCs w:val="24"/>
                <w:lang w:val="en-US" w:eastAsia="zh-CN"/>
              </w:rPr>
              <w:t>内</w:t>
            </w:r>
            <w:r>
              <w:rPr>
                <w:rFonts w:hint="default" w:ascii="Times New Roman" w:hAnsi="Times New Roman" w:eastAsia="仿宋" w:cs="Times New Roman"/>
                <w:bCs/>
                <w:color w:val="auto"/>
                <w:sz w:val="24"/>
                <w:szCs w:val="24"/>
              </w:rPr>
              <w:t>。</w:t>
            </w:r>
            <w:r>
              <w:rPr>
                <w:rFonts w:hint="default" w:ascii="Times New Roman" w:hAnsi="Times New Roman" w:eastAsia="仿宋" w:cs="Times New Roman"/>
                <w:color w:val="auto"/>
                <w:sz w:val="24"/>
                <w:szCs w:val="24"/>
              </w:rPr>
              <w:t>本项目噪声源强调查清单（室</w:t>
            </w:r>
            <w:r>
              <w:rPr>
                <w:rFonts w:hint="default" w:ascii="Times New Roman" w:hAnsi="Times New Roman" w:eastAsia="仿宋" w:cs="Times New Roman"/>
                <w:color w:val="auto"/>
                <w:sz w:val="24"/>
                <w:szCs w:val="24"/>
                <w:lang w:val="en-US" w:eastAsia="zh-CN"/>
              </w:rPr>
              <w:t>内</w:t>
            </w:r>
            <w:r>
              <w:rPr>
                <w:rFonts w:hint="default" w:ascii="Times New Roman" w:hAnsi="Times New Roman" w:eastAsia="仿宋" w:cs="Times New Roman"/>
                <w:color w:val="auto"/>
                <w:sz w:val="24"/>
                <w:szCs w:val="24"/>
              </w:rPr>
              <w:t>声源）见表4-</w:t>
            </w:r>
            <w:r>
              <w:rPr>
                <w:rFonts w:hint="default" w:ascii="Times New Roman" w:hAnsi="Times New Roman" w:eastAsia="仿宋" w:cs="Times New Roman"/>
                <w:color w:val="auto"/>
                <w:sz w:val="24"/>
                <w:szCs w:val="24"/>
                <w:lang w:val="en-US" w:eastAsia="zh-CN"/>
              </w:rPr>
              <w:t>13</w:t>
            </w:r>
            <w:r>
              <w:rPr>
                <w:rFonts w:hint="default" w:ascii="Times New Roman" w:hAnsi="Times New Roman" w:eastAsia="仿宋" w:cs="Times New Roman"/>
                <w:color w:val="auto"/>
                <w:sz w:val="24"/>
                <w:szCs w:val="24"/>
              </w:rPr>
              <w:t>。</w:t>
            </w:r>
          </w:p>
          <w:p w14:paraId="0F588698">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w:t>
            </w:r>
            <w:r>
              <w:rPr>
                <w:rFonts w:hint="default" w:ascii="Times New Roman" w:hAnsi="Times New Roman" w:eastAsia="仿宋" w:cs="Times New Roman"/>
                <w:b/>
                <w:color w:val="auto"/>
                <w:szCs w:val="21"/>
                <w:lang w:val="en-US" w:eastAsia="zh-CN"/>
              </w:rPr>
              <w:t>13</w:t>
            </w:r>
            <w:r>
              <w:rPr>
                <w:rFonts w:hint="default" w:ascii="Times New Roman" w:hAnsi="Times New Roman" w:eastAsia="仿宋" w:cs="Times New Roman"/>
                <w:b/>
                <w:color w:val="auto"/>
                <w:szCs w:val="21"/>
              </w:rPr>
              <w:t xml:space="preserve">   本项目噪声源强调查清单（室</w:t>
            </w:r>
            <w:r>
              <w:rPr>
                <w:rFonts w:hint="default" w:ascii="Times New Roman" w:hAnsi="Times New Roman" w:eastAsia="仿宋" w:cs="Times New Roman"/>
                <w:b/>
                <w:color w:val="auto"/>
                <w:szCs w:val="21"/>
                <w:lang w:val="en-US" w:eastAsia="zh-CN"/>
              </w:rPr>
              <w:t>内</w:t>
            </w:r>
            <w:r>
              <w:rPr>
                <w:rFonts w:hint="default" w:ascii="Times New Roman" w:hAnsi="Times New Roman" w:eastAsia="仿宋" w:cs="Times New Roman"/>
                <w:b/>
                <w:color w:val="auto"/>
                <w:szCs w:val="21"/>
              </w:rPr>
              <w:t>声源）</w:t>
            </w:r>
          </w:p>
          <w:tbl>
            <w:tblPr>
              <w:tblStyle w:val="2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112"/>
              <w:gridCol w:w="464"/>
              <w:gridCol w:w="1353"/>
              <w:gridCol w:w="745"/>
              <w:gridCol w:w="726"/>
              <w:gridCol w:w="722"/>
              <w:gridCol w:w="681"/>
              <w:gridCol w:w="560"/>
              <w:gridCol w:w="888"/>
              <w:gridCol w:w="833"/>
              <w:gridCol w:w="560"/>
              <w:gridCol w:w="912"/>
              <w:gridCol w:w="1029"/>
              <w:gridCol w:w="845"/>
            </w:tblGrid>
            <w:tr w14:paraId="6F9ED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3F28E0EA">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sz w:val="18"/>
                      <w:szCs w:val="18"/>
                    </w:rPr>
                    <w:t>序号</w:t>
                  </w:r>
                </w:p>
              </w:tc>
              <w:tc>
                <w:tcPr>
                  <w:tcW w:w="467" w:type="pct"/>
                  <w:vMerge w:val="restart"/>
                  <w:noWrap w:val="0"/>
                  <w:vAlign w:val="center"/>
                </w:tcPr>
                <w:p w14:paraId="4FD13804">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sz w:val="18"/>
                      <w:szCs w:val="18"/>
                    </w:rPr>
                    <w:t>声源名称</w:t>
                  </w:r>
                </w:p>
              </w:tc>
              <w:tc>
                <w:tcPr>
                  <w:tcW w:w="195" w:type="pct"/>
                  <w:vMerge w:val="restart"/>
                  <w:noWrap w:val="0"/>
                  <w:vAlign w:val="center"/>
                </w:tcPr>
                <w:p w14:paraId="17737A03">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sz w:val="18"/>
                      <w:szCs w:val="18"/>
                    </w:rPr>
                    <w:t>数量</w:t>
                  </w:r>
                </w:p>
              </w:tc>
              <w:tc>
                <w:tcPr>
                  <w:tcW w:w="568" w:type="pct"/>
                  <w:noWrap w:val="0"/>
                  <w:vAlign w:val="center"/>
                </w:tcPr>
                <w:p w14:paraId="6264E555">
                  <w:pPr>
                    <w:widowControl/>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bCs/>
                      <w:color w:val="000000"/>
                      <w:kern w:val="0"/>
                      <w:sz w:val="18"/>
                      <w:szCs w:val="18"/>
                    </w:rPr>
                    <w:t>声源源强</w:t>
                  </w:r>
                </w:p>
              </w:tc>
              <w:tc>
                <w:tcPr>
                  <w:tcW w:w="313" w:type="pct"/>
                  <w:vMerge w:val="restart"/>
                  <w:noWrap w:val="0"/>
                  <w:vAlign w:val="center"/>
                </w:tcPr>
                <w:p w14:paraId="61B11964">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sz w:val="18"/>
                      <w:szCs w:val="18"/>
                    </w:rPr>
                    <w:t>声源控制措施</w:t>
                  </w:r>
                </w:p>
              </w:tc>
              <w:tc>
                <w:tcPr>
                  <w:tcW w:w="894" w:type="pct"/>
                  <w:gridSpan w:val="3"/>
                  <w:noWrap w:val="0"/>
                  <w:vAlign w:val="center"/>
                </w:tcPr>
                <w:p w14:paraId="47FA800C">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bCs/>
                      <w:color w:val="000000"/>
                      <w:sz w:val="18"/>
                      <w:szCs w:val="18"/>
                    </w:rPr>
                    <w:t>空间相对位置/m</w:t>
                  </w:r>
                </w:p>
              </w:tc>
              <w:tc>
                <w:tcPr>
                  <w:tcW w:w="608" w:type="pct"/>
                  <w:gridSpan w:val="2"/>
                  <w:vMerge w:val="restart"/>
                  <w:noWrap w:val="0"/>
                  <w:vAlign w:val="center"/>
                </w:tcPr>
                <w:p w14:paraId="0C147CC5">
                  <w:pPr>
                    <w:pStyle w:val="22"/>
                    <w:spacing w:before="0" w:after="0"/>
                    <w:ind w:right="0" w:firstLine="0" w:firstLineChars="0"/>
                    <w:jc w:val="center"/>
                    <w:rPr>
                      <w:rFonts w:hint="default" w:ascii="Times New Roman" w:hAnsi="Times New Roman" w:eastAsia="仿宋" w:cs="Times New Roman"/>
                      <w:b/>
                      <w:color w:val="000000"/>
                      <w:sz w:val="18"/>
                      <w:szCs w:val="18"/>
                    </w:rPr>
                  </w:pPr>
                  <w:r>
                    <w:rPr>
                      <w:rFonts w:hint="default" w:ascii="Times New Roman" w:hAnsi="Times New Roman" w:eastAsia="仿宋" w:cs="Times New Roman"/>
                      <w:b/>
                      <w:color w:val="000000"/>
                      <w:sz w:val="18"/>
                      <w:szCs w:val="18"/>
                    </w:rPr>
                    <w:t>距离室内边界距离/m</w:t>
                  </w:r>
                </w:p>
              </w:tc>
              <w:tc>
                <w:tcPr>
                  <w:tcW w:w="350" w:type="pct"/>
                  <w:vMerge w:val="restart"/>
                  <w:noWrap w:val="0"/>
                  <w:vAlign w:val="center"/>
                </w:tcPr>
                <w:p w14:paraId="4AD7B267">
                  <w:pPr>
                    <w:pStyle w:val="3"/>
                    <w:numPr>
                      <w:ilvl w:val="0"/>
                      <w:numId w:val="0"/>
                    </w:numPr>
                    <w:ind w:left="0" w:leftChars="0" w:firstLine="0" w:firstLineChars="0"/>
                    <w:jc w:val="center"/>
                    <w:rPr>
                      <w:rFonts w:hint="default" w:ascii="Times New Roman" w:hAnsi="Times New Roman" w:eastAsia="仿宋" w:cs="Times New Roman"/>
                      <w:b/>
                      <w:bCs/>
                      <w:color w:val="000000"/>
                      <w:kern w:val="2"/>
                      <w:sz w:val="18"/>
                      <w:szCs w:val="18"/>
                      <w:lang w:val="en-US" w:eastAsia="zh-CN" w:bidi="ar-SA"/>
                    </w:rPr>
                  </w:pPr>
                  <w:r>
                    <w:rPr>
                      <w:rFonts w:hint="default" w:ascii="Times New Roman" w:hAnsi="Times New Roman" w:eastAsia="仿宋" w:cs="Times New Roman"/>
                      <w:b/>
                      <w:bCs/>
                      <w:color w:val="000000"/>
                      <w:sz w:val="18"/>
                      <w:szCs w:val="18"/>
                    </w:rPr>
                    <w:t>室内边界声级/dB</w:t>
                  </w:r>
                  <w:r>
                    <w:rPr>
                      <w:rFonts w:hint="default" w:ascii="Times New Roman" w:hAnsi="Times New Roman" w:eastAsia="仿宋" w:cs="Times New Roman"/>
                      <w:b/>
                      <w:bCs/>
                      <w:color w:val="000000"/>
                      <w:sz w:val="18"/>
                      <w:szCs w:val="18"/>
                      <w:lang w:eastAsia="zh-CN"/>
                    </w:rPr>
                    <w:t>（</w:t>
                  </w:r>
                  <w:r>
                    <w:rPr>
                      <w:rFonts w:hint="default" w:ascii="Times New Roman" w:hAnsi="Times New Roman" w:eastAsia="仿宋" w:cs="Times New Roman"/>
                      <w:b/>
                      <w:bCs/>
                      <w:color w:val="000000"/>
                      <w:sz w:val="18"/>
                      <w:szCs w:val="18"/>
                    </w:rPr>
                    <w:t>A</w:t>
                  </w:r>
                  <w:r>
                    <w:rPr>
                      <w:rFonts w:hint="default" w:ascii="Times New Roman" w:hAnsi="Times New Roman" w:eastAsia="仿宋" w:cs="Times New Roman"/>
                      <w:b/>
                      <w:bCs/>
                      <w:color w:val="000000"/>
                      <w:sz w:val="18"/>
                      <w:szCs w:val="18"/>
                      <w:lang w:eastAsia="zh-CN"/>
                    </w:rPr>
                    <w:t>）</w:t>
                  </w:r>
                </w:p>
              </w:tc>
              <w:tc>
                <w:tcPr>
                  <w:tcW w:w="235" w:type="pct"/>
                  <w:vMerge w:val="restart"/>
                  <w:noWrap w:val="0"/>
                  <w:vAlign w:val="center"/>
                </w:tcPr>
                <w:p w14:paraId="67141D3D">
                  <w:pPr>
                    <w:pStyle w:val="3"/>
                    <w:numPr>
                      <w:ilvl w:val="0"/>
                      <w:numId w:val="0"/>
                    </w:numPr>
                    <w:jc w:val="center"/>
                    <w:rPr>
                      <w:rFonts w:hint="default" w:ascii="Times New Roman" w:hAnsi="Times New Roman" w:eastAsia="仿宋" w:cs="Times New Roman"/>
                      <w:b/>
                      <w:bCs/>
                      <w:color w:val="000000"/>
                      <w:sz w:val="18"/>
                      <w:szCs w:val="18"/>
                    </w:rPr>
                  </w:pPr>
                  <w:r>
                    <w:rPr>
                      <w:rFonts w:hint="default" w:ascii="Times New Roman" w:hAnsi="Times New Roman" w:eastAsia="仿宋" w:cs="Times New Roman"/>
                      <w:b/>
                      <w:bCs/>
                      <w:color w:val="000000"/>
                      <w:sz w:val="18"/>
                      <w:szCs w:val="18"/>
                    </w:rPr>
                    <w:t>运行</w:t>
                  </w:r>
                </w:p>
                <w:p w14:paraId="39FEC964">
                  <w:pPr>
                    <w:pStyle w:val="3"/>
                    <w:numPr>
                      <w:ilvl w:val="0"/>
                      <w:numId w:val="0"/>
                    </w:numPr>
                    <w:jc w:val="center"/>
                    <w:rPr>
                      <w:rFonts w:hint="default" w:ascii="Times New Roman" w:hAnsi="Times New Roman" w:eastAsia="仿宋" w:cs="Times New Roman"/>
                      <w:b/>
                      <w:bCs/>
                      <w:color w:val="000000"/>
                      <w:sz w:val="18"/>
                      <w:szCs w:val="18"/>
                    </w:rPr>
                  </w:pPr>
                  <w:r>
                    <w:rPr>
                      <w:rFonts w:hint="default" w:ascii="Times New Roman" w:hAnsi="Times New Roman" w:eastAsia="仿宋" w:cs="Times New Roman"/>
                      <w:b/>
                      <w:bCs/>
                      <w:color w:val="000000"/>
                      <w:sz w:val="18"/>
                      <w:szCs w:val="18"/>
                    </w:rPr>
                    <w:t>时段</w:t>
                  </w:r>
                </w:p>
              </w:tc>
              <w:tc>
                <w:tcPr>
                  <w:tcW w:w="383" w:type="pct"/>
                  <w:vMerge w:val="restart"/>
                  <w:noWrap w:val="0"/>
                  <w:vAlign w:val="center"/>
                </w:tcPr>
                <w:p w14:paraId="09A8F8B3">
                  <w:pPr>
                    <w:pStyle w:val="3"/>
                    <w:numPr>
                      <w:ilvl w:val="0"/>
                      <w:numId w:val="0"/>
                    </w:numPr>
                    <w:jc w:val="center"/>
                    <w:rPr>
                      <w:rFonts w:hint="default" w:ascii="Times New Roman" w:hAnsi="Times New Roman" w:eastAsia="仿宋" w:cs="Times New Roman"/>
                      <w:b/>
                      <w:bCs/>
                      <w:color w:val="000000"/>
                      <w:sz w:val="18"/>
                      <w:szCs w:val="18"/>
                      <w:lang w:eastAsia="zh-CN"/>
                    </w:rPr>
                  </w:pPr>
                  <w:r>
                    <w:rPr>
                      <w:rFonts w:hint="default" w:ascii="Times New Roman" w:hAnsi="Times New Roman" w:eastAsia="仿宋" w:cs="Times New Roman"/>
                      <w:b/>
                      <w:bCs/>
                      <w:color w:val="000000"/>
                      <w:sz w:val="18"/>
                      <w:szCs w:val="18"/>
                    </w:rPr>
                    <w:t>建筑物插入损失/dB</w:t>
                  </w:r>
                  <w:r>
                    <w:rPr>
                      <w:rFonts w:hint="default" w:ascii="Times New Roman" w:hAnsi="Times New Roman" w:eastAsia="仿宋" w:cs="Times New Roman"/>
                      <w:b/>
                      <w:bCs/>
                      <w:color w:val="000000"/>
                      <w:sz w:val="18"/>
                      <w:szCs w:val="18"/>
                      <w:lang w:eastAsia="zh-CN"/>
                    </w:rPr>
                    <w:t>（</w:t>
                  </w:r>
                  <w:r>
                    <w:rPr>
                      <w:rFonts w:hint="default" w:ascii="Times New Roman" w:hAnsi="Times New Roman" w:eastAsia="仿宋" w:cs="Times New Roman"/>
                      <w:b/>
                      <w:bCs/>
                      <w:color w:val="000000"/>
                      <w:sz w:val="18"/>
                      <w:szCs w:val="18"/>
                    </w:rPr>
                    <w:t>A</w:t>
                  </w:r>
                  <w:r>
                    <w:rPr>
                      <w:rFonts w:hint="default" w:ascii="Times New Roman" w:hAnsi="Times New Roman" w:eastAsia="仿宋" w:cs="Times New Roman"/>
                      <w:b/>
                      <w:bCs/>
                      <w:color w:val="000000"/>
                      <w:sz w:val="18"/>
                      <w:szCs w:val="18"/>
                      <w:lang w:eastAsia="zh-CN"/>
                    </w:rPr>
                    <w:t>）</w:t>
                  </w:r>
                </w:p>
              </w:tc>
              <w:tc>
                <w:tcPr>
                  <w:tcW w:w="787" w:type="pct"/>
                  <w:gridSpan w:val="2"/>
                  <w:noWrap w:val="0"/>
                  <w:vAlign w:val="center"/>
                </w:tcPr>
                <w:p w14:paraId="1EC043E5">
                  <w:pPr>
                    <w:pStyle w:val="3"/>
                    <w:numPr>
                      <w:ilvl w:val="0"/>
                      <w:numId w:val="0"/>
                    </w:numPr>
                    <w:jc w:val="center"/>
                    <w:rPr>
                      <w:rFonts w:hint="default" w:ascii="Times New Roman" w:hAnsi="Times New Roman" w:eastAsia="仿宋" w:cs="Times New Roman"/>
                      <w:b/>
                      <w:bCs/>
                      <w:color w:val="000000"/>
                      <w:sz w:val="18"/>
                      <w:szCs w:val="18"/>
                    </w:rPr>
                  </w:pPr>
                  <w:r>
                    <w:rPr>
                      <w:rFonts w:hint="default" w:ascii="Times New Roman" w:hAnsi="Times New Roman" w:eastAsia="仿宋" w:cs="Times New Roman"/>
                      <w:b/>
                      <w:bCs/>
                      <w:color w:val="000000"/>
                      <w:sz w:val="18"/>
                      <w:szCs w:val="18"/>
                    </w:rPr>
                    <w:t>建筑物外噪声</w:t>
                  </w:r>
                </w:p>
              </w:tc>
            </w:tr>
            <w:tr w14:paraId="2287CC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195" w:type="pct"/>
                  <w:vMerge w:val="continue"/>
                  <w:noWrap w:val="0"/>
                  <w:vAlign w:val="center"/>
                </w:tcPr>
                <w:p w14:paraId="55469D2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7E4EEB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7107407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noWrap w:val="0"/>
                  <w:vAlign w:val="center"/>
                </w:tcPr>
                <w:p w14:paraId="6C05B195">
                  <w:pPr>
                    <w:pStyle w:val="22"/>
                    <w:spacing w:before="0" w:after="0"/>
                    <w:ind w:right="0" w:firstLine="0" w:firstLineChars="0"/>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b/>
                      <w:color w:val="000000"/>
                      <w:sz w:val="18"/>
                      <w:szCs w:val="18"/>
                    </w:rPr>
                    <w:t>单台声功率级/dB</w:t>
                  </w:r>
                  <w:r>
                    <w:rPr>
                      <w:rFonts w:hint="default" w:ascii="Times New Roman" w:hAnsi="Times New Roman" w:eastAsia="仿宋" w:cs="Times New Roman"/>
                      <w:b/>
                      <w:color w:val="000000"/>
                      <w:sz w:val="18"/>
                      <w:szCs w:val="18"/>
                      <w:lang w:eastAsia="zh-CN"/>
                    </w:rPr>
                    <w:t>（</w:t>
                  </w:r>
                  <w:r>
                    <w:rPr>
                      <w:rFonts w:hint="default" w:ascii="Times New Roman" w:hAnsi="Times New Roman" w:eastAsia="仿宋" w:cs="Times New Roman"/>
                      <w:b/>
                      <w:color w:val="000000"/>
                      <w:sz w:val="18"/>
                      <w:szCs w:val="18"/>
                    </w:rPr>
                    <w:t>A</w:t>
                  </w:r>
                  <w:r>
                    <w:rPr>
                      <w:rFonts w:hint="default" w:ascii="Times New Roman" w:hAnsi="Times New Roman" w:eastAsia="仿宋" w:cs="Times New Roman"/>
                      <w:b/>
                      <w:color w:val="000000"/>
                      <w:sz w:val="18"/>
                      <w:szCs w:val="18"/>
                      <w:lang w:eastAsia="zh-CN"/>
                    </w:rPr>
                    <w:t>）</w:t>
                  </w:r>
                </w:p>
              </w:tc>
              <w:tc>
                <w:tcPr>
                  <w:tcW w:w="313" w:type="pct"/>
                  <w:vMerge w:val="continue"/>
                  <w:noWrap w:val="0"/>
                  <w:vAlign w:val="center"/>
                </w:tcPr>
                <w:p w14:paraId="52F188C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noWrap w:val="0"/>
                  <w:vAlign w:val="center"/>
                </w:tcPr>
                <w:p w14:paraId="705A933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X</w:t>
                  </w:r>
                </w:p>
              </w:tc>
              <w:tc>
                <w:tcPr>
                  <w:tcW w:w="303" w:type="pct"/>
                  <w:noWrap w:val="0"/>
                  <w:vAlign w:val="center"/>
                </w:tcPr>
                <w:p w14:paraId="604AE48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Y</w:t>
                  </w:r>
                </w:p>
              </w:tc>
              <w:tc>
                <w:tcPr>
                  <w:tcW w:w="286" w:type="pct"/>
                  <w:noWrap w:val="0"/>
                  <w:vAlign w:val="center"/>
                </w:tcPr>
                <w:p w14:paraId="7F706169">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Z</w:t>
                  </w:r>
                </w:p>
              </w:tc>
              <w:tc>
                <w:tcPr>
                  <w:tcW w:w="608" w:type="pct"/>
                  <w:gridSpan w:val="2"/>
                  <w:vMerge w:val="continue"/>
                  <w:noWrap w:val="0"/>
                  <w:vAlign w:val="center"/>
                </w:tcPr>
                <w:p w14:paraId="787D1C4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50" w:type="pct"/>
                  <w:vMerge w:val="continue"/>
                  <w:noWrap w:val="0"/>
                  <w:vAlign w:val="center"/>
                </w:tcPr>
                <w:p w14:paraId="7F4F8B0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vMerge w:val="continue"/>
                  <w:noWrap w:val="0"/>
                  <w:vAlign w:val="center"/>
                </w:tcPr>
                <w:p w14:paraId="6DE4C45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8B1E1C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32" w:type="pct"/>
                  <w:noWrap w:val="0"/>
                  <w:vAlign w:val="center"/>
                </w:tcPr>
                <w:p w14:paraId="1CAD04D8">
                  <w:pPr>
                    <w:pStyle w:val="22"/>
                    <w:spacing w:before="0" w:after="0"/>
                    <w:ind w:right="0" w:firstLine="0" w:firstLineChars="0"/>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b/>
                      <w:bCs/>
                      <w:color w:val="000000"/>
                      <w:sz w:val="18"/>
                      <w:szCs w:val="18"/>
                    </w:rPr>
                    <w:t>声压级/dB</w:t>
                  </w:r>
                  <w:r>
                    <w:rPr>
                      <w:rFonts w:hint="default" w:ascii="Times New Roman" w:hAnsi="Times New Roman" w:eastAsia="仿宋" w:cs="Times New Roman"/>
                      <w:b/>
                      <w:bCs/>
                      <w:color w:val="000000"/>
                      <w:sz w:val="18"/>
                      <w:szCs w:val="18"/>
                      <w:lang w:eastAsia="zh-CN"/>
                    </w:rPr>
                    <w:t>（</w:t>
                  </w:r>
                  <w:r>
                    <w:rPr>
                      <w:rFonts w:hint="default" w:ascii="Times New Roman" w:hAnsi="Times New Roman" w:eastAsia="仿宋" w:cs="Times New Roman"/>
                      <w:b/>
                      <w:bCs/>
                      <w:color w:val="000000"/>
                      <w:sz w:val="18"/>
                      <w:szCs w:val="18"/>
                    </w:rPr>
                    <w:t>A</w:t>
                  </w:r>
                  <w:r>
                    <w:rPr>
                      <w:rFonts w:hint="default" w:ascii="Times New Roman" w:hAnsi="Times New Roman" w:eastAsia="仿宋" w:cs="Times New Roman"/>
                      <w:b/>
                      <w:bCs/>
                      <w:color w:val="000000"/>
                      <w:sz w:val="18"/>
                      <w:szCs w:val="18"/>
                      <w:lang w:eastAsia="zh-CN"/>
                    </w:rPr>
                    <w:t>）</w:t>
                  </w:r>
                </w:p>
              </w:tc>
              <w:tc>
                <w:tcPr>
                  <w:tcW w:w="355" w:type="pct"/>
                  <w:noWrap w:val="0"/>
                  <w:vAlign w:val="center"/>
                </w:tcPr>
                <w:p w14:paraId="1C77EAD9">
                  <w:pPr>
                    <w:pStyle w:val="22"/>
                    <w:spacing w:before="0" w:after="0"/>
                    <w:ind w:right="0" w:firstLine="0" w:firstLineChars="0"/>
                    <w:jc w:val="center"/>
                    <w:rPr>
                      <w:rFonts w:hint="default" w:ascii="Times New Roman" w:hAnsi="Times New Roman" w:eastAsia="仿宋" w:cs="Times New Roman"/>
                      <w:b/>
                      <w:bCs/>
                      <w:color w:val="000000"/>
                      <w:sz w:val="18"/>
                      <w:szCs w:val="18"/>
                    </w:rPr>
                  </w:pPr>
                  <w:r>
                    <w:rPr>
                      <w:rFonts w:hint="default" w:ascii="Times New Roman" w:hAnsi="Times New Roman" w:eastAsia="仿宋" w:cs="Times New Roman"/>
                      <w:b/>
                      <w:bCs/>
                      <w:color w:val="000000"/>
                      <w:sz w:val="18"/>
                      <w:szCs w:val="18"/>
                    </w:rPr>
                    <w:t>建筑物外距离/m</w:t>
                  </w:r>
                </w:p>
              </w:tc>
            </w:tr>
            <w:tr w14:paraId="6440F9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018E3387">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467" w:type="pct"/>
                  <w:vMerge w:val="restart"/>
                  <w:noWrap w:val="0"/>
                  <w:vAlign w:val="center"/>
                </w:tcPr>
                <w:p w14:paraId="42B7DDD0">
                  <w:pPr>
                    <w:keepNext w:val="0"/>
                    <w:keepLines w:val="0"/>
                    <w:widowControl/>
                    <w:suppressLineNumbers w:val="0"/>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数控步进马达转子磨床</w:t>
                  </w:r>
                </w:p>
              </w:tc>
              <w:tc>
                <w:tcPr>
                  <w:tcW w:w="195" w:type="pct"/>
                  <w:vMerge w:val="restart"/>
                  <w:noWrap w:val="0"/>
                  <w:vAlign w:val="center"/>
                </w:tcPr>
                <w:p w14:paraId="793AED16">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w:t>
                  </w:r>
                </w:p>
              </w:tc>
              <w:tc>
                <w:tcPr>
                  <w:tcW w:w="568" w:type="pct"/>
                  <w:vMerge w:val="restart"/>
                  <w:noWrap w:val="0"/>
                  <w:vAlign w:val="center"/>
                </w:tcPr>
                <w:p w14:paraId="7890A81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80</w:t>
                  </w:r>
                </w:p>
              </w:tc>
              <w:tc>
                <w:tcPr>
                  <w:tcW w:w="313" w:type="pct"/>
                  <w:vMerge w:val="restart"/>
                  <w:noWrap w:val="0"/>
                  <w:vAlign w:val="center"/>
                </w:tcPr>
                <w:p w14:paraId="356CD9C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厂房隔声、基础</w:t>
                  </w:r>
                </w:p>
                <w:p w14:paraId="55D1F6BD">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减震等措施</w:t>
                  </w:r>
                </w:p>
              </w:tc>
              <w:tc>
                <w:tcPr>
                  <w:tcW w:w="305" w:type="pct"/>
                  <w:vMerge w:val="restart"/>
                  <w:noWrap w:val="0"/>
                  <w:vAlign w:val="center"/>
                </w:tcPr>
                <w:p w14:paraId="45B306B3">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38.9</w:t>
                  </w:r>
                </w:p>
              </w:tc>
              <w:tc>
                <w:tcPr>
                  <w:tcW w:w="303" w:type="pct"/>
                  <w:vMerge w:val="restart"/>
                  <w:noWrap w:val="0"/>
                  <w:vAlign w:val="center"/>
                </w:tcPr>
                <w:p w14:paraId="05E43EA8">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286" w:type="pct"/>
                  <w:vMerge w:val="restart"/>
                  <w:noWrap w:val="0"/>
                  <w:vAlign w:val="center"/>
                </w:tcPr>
                <w:p w14:paraId="635698CF">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3861419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560B1F7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350" w:type="pct"/>
                  <w:noWrap w:val="0"/>
                  <w:vAlign w:val="center"/>
                </w:tcPr>
                <w:p w14:paraId="1B7938C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66.0 </w:t>
                  </w:r>
                </w:p>
              </w:tc>
              <w:tc>
                <w:tcPr>
                  <w:tcW w:w="235" w:type="pct"/>
                  <w:vMerge w:val="restart"/>
                  <w:noWrap w:val="0"/>
                  <w:vAlign w:val="center"/>
                </w:tcPr>
                <w:p w14:paraId="3051AAD9">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工作时间</w:t>
                  </w:r>
                </w:p>
              </w:tc>
              <w:tc>
                <w:tcPr>
                  <w:tcW w:w="383" w:type="pct"/>
                  <w:vMerge w:val="restart"/>
                  <w:noWrap w:val="0"/>
                  <w:vAlign w:val="center"/>
                </w:tcPr>
                <w:p w14:paraId="5F73DB1F">
                  <w:pPr>
                    <w:pStyle w:val="22"/>
                    <w:spacing w:before="0" w:after="0"/>
                    <w:ind w:right="0" w:firstLine="0" w:firstLineChars="0"/>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color w:val="000000"/>
                      <w:sz w:val="18"/>
                      <w:szCs w:val="18"/>
                    </w:rPr>
                    <w:t>2</w:t>
                  </w:r>
                  <w:r>
                    <w:rPr>
                      <w:rFonts w:hint="default" w:ascii="Times New Roman" w:hAnsi="Times New Roman" w:eastAsia="仿宋" w:cs="Times New Roman"/>
                      <w:color w:val="000000"/>
                      <w:sz w:val="18"/>
                      <w:szCs w:val="18"/>
                      <w:lang w:val="en-US" w:eastAsia="zh-CN"/>
                    </w:rPr>
                    <w:t>0</w:t>
                  </w:r>
                </w:p>
              </w:tc>
              <w:tc>
                <w:tcPr>
                  <w:tcW w:w="1029" w:type="dxa"/>
                  <w:noWrap w:val="0"/>
                  <w:vAlign w:val="center"/>
                </w:tcPr>
                <w:p w14:paraId="379E396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40.0 </w:t>
                  </w:r>
                </w:p>
              </w:tc>
              <w:tc>
                <w:tcPr>
                  <w:tcW w:w="355" w:type="pct"/>
                  <w:vMerge w:val="restart"/>
                  <w:noWrap w:val="0"/>
                  <w:vAlign w:val="center"/>
                </w:tcPr>
                <w:p w14:paraId="440892E0">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eastAsia" w:ascii="Times New Roman" w:hAnsi="Times New Roman" w:eastAsia="仿宋" w:cs="Times New Roman"/>
                      <w:color w:val="000000"/>
                      <w:sz w:val="18"/>
                      <w:szCs w:val="18"/>
                      <w:lang w:val="en-US" w:eastAsia="zh-CN"/>
                    </w:rPr>
                    <w:t>1</w:t>
                  </w:r>
                </w:p>
              </w:tc>
            </w:tr>
            <w:tr w14:paraId="0CE8E4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0549A25">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D1C8BF5">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72CBC97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64A355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9DF476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02C46D0">
                  <w:pPr>
                    <w:pStyle w:val="22"/>
                    <w:spacing w:before="0" w:after="0"/>
                    <w:ind w:right="0" w:firstLine="18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01C19AA6">
                  <w:pPr>
                    <w:pStyle w:val="22"/>
                    <w:spacing w:before="0" w:after="0"/>
                    <w:ind w:right="0" w:firstLine="18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B42138C">
                  <w:pPr>
                    <w:pStyle w:val="22"/>
                    <w:spacing w:before="0" w:after="0"/>
                    <w:ind w:right="0" w:firstLine="180"/>
                    <w:jc w:val="center"/>
                    <w:rPr>
                      <w:rFonts w:hint="default" w:ascii="Times New Roman" w:hAnsi="Times New Roman" w:eastAsia="仿宋" w:cs="Times New Roman"/>
                      <w:color w:val="000000"/>
                      <w:sz w:val="18"/>
                      <w:szCs w:val="18"/>
                    </w:rPr>
                  </w:pPr>
                </w:p>
              </w:tc>
              <w:tc>
                <w:tcPr>
                  <w:tcW w:w="235" w:type="pct"/>
                  <w:noWrap w:val="0"/>
                  <w:vAlign w:val="center"/>
                </w:tcPr>
                <w:p w14:paraId="2FBBECA3">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265B3BE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350" w:type="pct"/>
                  <w:noWrap w:val="0"/>
                  <w:vAlign w:val="center"/>
                </w:tcPr>
                <w:p w14:paraId="5C1CE3B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67.3 </w:t>
                  </w:r>
                </w:p>
              </w:tc>
              <w:tc>
                <w:tcPr>
                  <w:tcW w:w="235" w:type="pct"/>
                  <w:vMerge w:val="continue"/>
                  <w:noWrap w:val="0"/>
                  <w:vAlign w:val="center"/>
                </w:tcPr>
                <w:p w14:paraId="51FEBB1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176D05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18BC88D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41.3 </w:t>
                  </w:r>
                </w:p>
              </w:tc>
              <w:tc>
                <w:tcPr>
                  <w:tcW w:w="355" w:type="pct"/>
                  <w:vMerge w:val="continue"/>
                  <w:noWrap w:val="0"/>
                  <w:vAlign w:val="center"/>
                </w:tcPr>
                <w:p w14:paraId="181A4DE0">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5DBCE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1FD714D0">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2E07BEDB">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07D0A6F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CB001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808992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0320F93">
                  <w:pPr>
                    <w:pStyle w:val="22"/>
                    <w:spacing w:before="0" w:after="0"/>
                    <w:ind w:right="0" w:firstLine="18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2F1A31CD">
                  <w:pPr>
                    <w:pStyle w:val="22"/>
                    <w:spacing w:before="0" w:after="0"/>
                    <w:ind w:right="0" w:firstLine="18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FBCBF22">
                  <w:pPr>
                    <w:pStyle w:val="22"/>
                    <w:spacing w:before="0" w:after="0"/>
                    <w:ind w:right="0" w:firstLine="180"/>
                    <w:jc w:val="center"/>
                    <w:rPr>
                      <w:rFonts w:hint="default" w:ascii="Times New Roman" w:hAnsi="Times New Roman" w:eastAsia="仿宋" w:cs="Times New Roman"/>
                      <w:color w:val="000000"/>
                      <w:sz w:val="18"/>
                      <w:szCs w:val="18"/>
                    </w:rPr>
                  </w:pPr>
                </w:p>
              </w:tc>
              <w:tc>
                <w:tcPr>
                  <w:tcW w:w="235" w:type="pct"/>
                  <w:noWrap w:val="0"/>
                  <w:vAlign w:val="center"/>
                </w:tcPr>
                <w:p w14:paraId="0FF0853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3569894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38.9</w:t>
                  </w:r>
                </w:p>
              </w:tc>
              <w:tc>
                <w:tcPr>
                  <w:tcW w:w="350" w:type="pct"/>
                  <w:noWrap w:val="0"/>
                  <w:vAlign w:val="center"/>
                </w:tcPr>
                <w:p w14:paraId="2EB01F5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64.8 </w:t>
                  </w:r>
                </w:p>
              </w:tc>
              <w:tc>
                <w:tcPr>
                  <w:tcW w:w="235" w:type="pct"/>
                  <w:vMerge w:val="continue"/>
                  <w:noWrap w:val="0"/>
                  <w:vAlign w:val="center"/>
                </w:tcPr>
                <w:p w14:paraId="458FD07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8E24C8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6D2BC2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38.8 </w:t>
                  </w:r>
                </w:p>
              </w:tc>
              <w:tc>
                <w:tcPr>
                  <w:tcW w:w="355" w:type="pct"/>
                  <w:vMerge w:val="continue"/>
                  <w:noWrap w:val="0"/>
                  <w:vAlign w:val="center"/>
                </w:tcPr>
                <w:p w14:paraId="1F879E1C">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BB539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5608E34F">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46B71D9">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A0B2C8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33051D7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092935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6238F0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823B01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76EF0FE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21A901F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0E9313C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350" w:type="pct"/>
                  <w:noWrap w:val="0"/>
                  <w:vAlign w:val="center"/>
                </w:tcPr>
                <w:p w14:paraId="4D10875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69.1 </w:t>
                  </w:r>
                </w:p>
              </w:tc>
              <w:tc>
                <w:tcPr>
                  <w:tcW w:w="235" w:type="pct"/>
                  <w:vMerge w:val="continue"/>
                  <w:noWrap w:val="0"/>
                  <w:vAlign w:val="center"/>
                </w:tcPr>
                <w:p w14:paraId="31EFFDD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17E8312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6C049B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43.1 </w:t>
                  </w:r>
                </w:p>
              </w:tc>
              <w:tc>
                <w:tcPr>
                  <w:tcW w:w="355" w:type="pct"/>
                  <w:vMerge w:val="continue"/>
                  <w:noWrap w:val="0"/>
                  <w:vAlign w:val="center"/>
                </w:tcPr>
                <w:p w14:paraId="097E5D45">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C3B1D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23863D7C">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2</w:t>
                  </w:r>
                </w:p>
              </w:tc>
              <w:tc>
                <w:tcPr>
                  <w:tcW w:w="467" w:type="pct"/>
                  <w:vMerge w:val="restart"/>
                  <w:noWrap w:val="0"/>
                  <w:vAlign w:val="center"/>
                </w:tcPr>
                <w:p w14:paraId="58EF23D0">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珩磨机</w:t>
                  </w:r>
                </w:p>
              </w:tc>
              <w:tc>
                <w:tcPr>
                  <w:tcW w:w="195" w:type="pct"/>
                  <w:vMerge w:val="restart"/>
                  <w:noWrap w:val="0"/>
                  <w:vAlign w:val="center"/>
                </w:tcPr>
                <w:p w14:paraId="69F0D5DA">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1</w:t>
                  </w:r>
                </w:p>
              </w:tc>
              <w:tc>
                <w:tcPr>
                  <w:tcW w:w="568" w:type="pct"/>
                  <w:vMerge w:val="restart"/>
                  <w:noWrap w:val="0"/>
                  <w:vAlign w:val="center"/>
                </w:tcPr>
                <w:p w14:paraId="01995139">
                  <w:pPr>
                    <w:pStyle w:val="22"/>
                    <w:spacing w:before="0" w:after="0"/>
                    <w:ind w:right="0" w:firstLine="0" w:firstLineChars="0"/>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color w:val="000000"/>
                      <w:sz w:val="18"/>
                      <w:szCs w:val="18"/>
                    </w:rPr>
                    <w:t>8</w:t>
                  </w:r>
                  <w:r>
                    <w:rPr>
                      <w:rFonts w:hint="default" w:ascii="Times New Roman" w:hAnsi="Times New Roman" w:eastAsia="仿宋" w:cs="Times New Roman"/>
                      <w:color w:val="000000"/>
                      <w:sz w:val="18"/>
                      <w:szCs w:val="18"/>
                      <w:lang w:val="en-US" w:eastAsia="zh-CN"/>
                    </w:rPr>
                    <w:t>2</w:t>
                  </w:r>
                </w:p>
              </w:tc>
              <w:tc>
                <w:tcPr>
                  <w:tcW w:w="313" w:type="pct"/>
                  <w:vMerge w:val="continue"/>
                  <w:noWrap w:val="0"/>
                  <w:vAlign w:val="center"/>
                </w:tcPr>
                <w:p w14:paraId="30CCA5D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76930477">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43.9</w:t>
                  </w:r>
                </w:p>
              </w:tc>
              <w:tc>
                <w:tcPr>
                  <w:tcW w:w="303" w:type="pct"/>
                  <w:vMerge w:val="restart"/>
                  <w:noWrap w:val="0"/>
                  <w:vAlign w:val="center"/>
                </w:tcPr>
                <w:p w14:paraId="238ABADD">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286" w:type="pct"/>
                  <w:vMerge w:val="restart"/>
                  <w:noWrap w:val="0"/>
                  <w:vAlign w:val="center"/>
                </w:tcPr>
                <w:p w14:paraId="04E118D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7A38CA96">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73139E2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350" w:type="pct"/>
                  <w:noWrap w:val="0"/>
                  <w:vAlign w:val="center"/>
                </w:tcPr>
                <w:p w14:paraId="4798B8F6">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63.3 </w:t>
                  </w:r>
                </w:p>
              </w:tc>
              <w:tc>
                <w:tcPr>
                  <w:tcW w:w="235" w:type="pct"/>
                  <w:vMerge w:val="continue"/>
                  <w:noWrap w:val="0"/>
                  <w:vAlign w:val="center"/>
                </w:tcPr>
                <w:p w14:paraId="0AFDA47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61B567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10B72F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37.3 </w:t>
                  </w:r>
                </w:p>
              </w:tc>
              <w:tc>
                <w:tcPr>
                  <w:tcW w:w="355" w:type="pct"/>
                  <w:vMerge w:val="continue"/>
                  <w:noWrap w:val="0"/>
                  <w:vAlign w:val="center"/>
                </w:tcPr>
                <w:p w14:paraId="0A72AAE5">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A52B8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B6C003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0012800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2DA9772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59E9D3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5A2C1E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94679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325E99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868C1E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566D94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1A977BC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noWrap w:val="0"/>
                  <w:vAlign w:val="center"/>
                </w:tcPr>
                <w:p w14:paraId="3DE52CD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72.4 </w:t>
                  </w:r>
                </w:p>
              </w:tc>
              <w:tc>
                <w:tcPr>
                  <w:tcW w:w="235" w:type="pct"/>
                  <w:vMerge w:val="continue"/>
                  <w:noWrap w:val="0"/>
                  <w:vAlign w:val="center"/>
                </w:tcPr>
                <w:p w14:paraId="7013CB6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5DF235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03E912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46.4 </w:t>
                  </w:r>
                </w:p>
              </w:tc>
              <w:tc>
                <w:tcPr>
                  <w:tcW w:w="355" w:type="pct"/>
                  <w:vMerge w:val="continue"/>
                  <w:noWrap w:val="0"/>
                  <w:vAlign w:val="center"/>
                </w:tcPr>
                <w:p w14:paraId="705ACBBD">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69CA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D48F96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0511A2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761772B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1C1AEDC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0882329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6CF113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76BBA5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F18B65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7ECCDE7">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727293A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43.9</w:t>
                  </w:r>
                </w:p>
              </w:tc>
              <w:tc>
                <w:tcPr>
                  <w:tcW w:w="350" w:type="pct"/>
                  <w:noWrap w:val="0"/>
                  <w:vAlign w:val="center"/>
                </w:tcPr>
                <w:p w14:paraId="71CD5BB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60.7 </w:t>
                  </w:r>
                </w:p>
              </w:tc>
              <w:tc>
                <w:tcPr>
                  <w:tcW w:w="235" w:type="pct"/>
                  <w:vMerge w:val="continue"/>
                  <w:noWrap w:val="0"/>
                  <w:vAlign w:val="center"/>
                </w:tcPr>
                <w:p w14:paraId="2733BF8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C05373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16EB8E2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34.7 </w:t>
                  </w:r>
                </w:p>
              </w:tc>
              <w:tc>
                <w:tcPr>
                  <w:tcW w:w="355" w:type="pct"/>
                  <w:vMerge w:val="continue"/>
                  <w:noWrap w:val="0"/>
                  <w:vAlign w:val="center"/>
                </w:tcPr>
                <w:p w14:paraId="4E042579">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BC83B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589DB06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BC9459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07480C5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D2D0EA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85F71A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A8CFB4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2702062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0D71C40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DC4A95F">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72A038D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14.5</w:t>
                  </w:r>
                </w:p>
              </w:tc>
              <w:tc>
                <w:tcPr>
                  <w:tcW w:w="350" w:type="pct"/>
                  <w:noWrap w:val="0"/>
                  <w:vAlign w:val="center"/>
                </w:tcPr>
                <w:p w14:paraId="75131F05">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62.1 </w:t>
                  </w:r>
                </w:p>
              </w:tc>
              <w:tc>
                <w:tcPr>
                  <w:tcW w:w="235" w:type="pct"/>
                  <w:vMerge w:val="continue"/>
                  <w:noWrap w:val="0"/>
                  <w:vAlign w:val="center"/>
                </w:tcPr>
                <w:p w14:paraId="51DF4C1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1F950C6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92A451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36.1 </w:t>
                  </w:r>
                </w:p>
              </w:tc>
              <w:tc>
                <w:tcPr>
                  <w:tcW w:w="355" w:type="pct"/>
                  <w:vMerge w:val="continue"/>
                  <w:noWrap w:val="0"/>
                  <w:vAlign w:val="center"/>
                </w:tcPr>
                <w:p w14:paraId="7864DDA2">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E9CF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0AE919FF">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3</w:t>
                  </w:r>
                </w:p>
              </w:tc>
              <w:tc>
                <w:tcPr>
                  <w:tcW w:w="467" w:type="pct"/>
                  <w:vMerge w:val="restart"/>
                  <w:noWrap w:val="0"/>
                  <w:vAlign w:val="center"/>
                </w:tcPr>
                <w:p w14:paraId="2452E4F6">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压力机</w:t>
                  </w:r>
                </w:p>
              </w:tc>
              <w:tc>
                <w:tcPr>
                  <w:tcW w:w="195" w:type="pct"/>
                  <w:vMerge w:val="restart"/>
                  <w:noWrap w:val="0"/>
                  <w:vAlign w:val="center"/>
                </w:tcPr>
                <w:p w14:paraId="015DA643">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174858B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80</w:t>
                  </w:r>
                </w:p>
              </w:tc>
              <w:tc>
                <w:tcPr>
                  <w:tcW w:w="313" w:type="pct"/>
                  <w:vMerge w:val="continue"/>
                  <w:noWrap w:val="0"/>
                  <w:vAlign w:val="center"/>
                </w:tcPr>
                <w:p w14:paraId="1FD2B15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35E532AE">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49.9</w:t>
                  </w:r>
                </w:p>
              </w:tc>
              <w:tc>
                <w:tcPr>
                  <w:tcW w:w="303" w:type="pct"/>
                  <w:vMerge w:val="restart"/>
                  <w:noWrap w:val="0"/>
                  <w:vAlign w:val="center"/>
                </w:tcPr>
                <w:p w14:paraId="0C167721">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5.3</w:t>
                  </w:r>
                </w:p>
              </w:tc>
              <w:tc>
                <w:tcPr>
                  <w:tcW w:w="286" w:type="pct"/>
                  <w:vMerge w:val="restart"/>
                  <w:noWrap w:val="0"/>
                  <w:vAlign w:val="center"/>
                </w:tcPr>
                <w:p w14:paraId="630C666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72BC039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69EEB00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w:t>
                  </w:r>
                </w:p>
              </w:tc>
              <w:tc>
                <w:tcPr>
                  <w:tcW w:w="350" w:type="pct"/>
                  <w:noWrap w:val="0"/>
                  <w:vAlign w:val="center"/>
                </w:tcPr>
                <w:p w14:paraId="19CA226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69.7 </w:t>
                  </w:r>
                </w:p>
              </w:tc>
              <w:tc>
                <w:tcPr>
                  <w:tcW w:w="235" w:type="pct"/>
                  <w:vMerge w:val="continue"/>
                  <w:noWrap w:val="0"/>
                  <w:vAlign w:val="center"/>
                </w:tcPr>
                <w:p w14:paraId="0939E11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D85ECE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E365F9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43.7 </w:t>
                  </w:r>
                </w:p>
              </w:tc>
              <w:tc>
                <w:tcPr>
                  <w:tcW w:w="355" w:type="pct"/>
                  <w:vMerge w:val="continue"/>
                  <w:noWrap w:val="0"/>
                  <w:vAlign w:val="center"/>
                </w:tcPr>
                <w:p w14:paraId="647F73C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48DEF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58A700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F224C5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61184C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EA7AD0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88F526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00A874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6312F0B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6211886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5A37812">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3EC4AFC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5.3</w:t>
                  </w:r>
                </w:p>
              </w:tc>
              <w:tc>
                <w:tcPr>
                  <w:tcW w:w="350" w:type="pct"/>
                  <w:noWrap w:val="0"/>
                  <w:vAlign w:val="center"/>
                </w:tcPr>
                <w:p w14:paraId="1DC68F3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67.8 </w:t>
                  </w:r>
                </w:p>
              </w:tc>
              <w:tc>
                <w:tcPr>
                  <w:tcW w:w="235" w:type="pct"/>
                  <w:vMerge w:val="continue"/>
                  <w:noWrap w:val="0"/>
                  <w:vAlign w:val="center"/>
                </w:tcPr>
                <w:p w14:paraId="000EAF7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4FAFB9A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140BE3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41.8 </w:t>
                  </w:r>
                </w:p>
              </w:tc>
              <w:tc>
                <w:tcPr>
                  <w:tcW w:w="355" w:type="pct"/>
                  <w:vMerge w:val="continue"/>
                  <w:noWrap w:val="0"/>
                  <w:vAlign w:val="center"/>
                </w:tcPr>
                <w:p w14:paraId="44BCB67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88384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5CEF4A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D50C6F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7D16A9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34BE06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69C1C1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6F0973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580892D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FC6925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337B59E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2AE710B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49.9</w:t>
                  </w:r>
                </w:p>
              </w:tc>
              <w:tc>
                <w:tcPr>
                  <w:tcW w:w="350" w:type="pct"/>
                  <w:noWrap w:val="0"/>
                  <w:vAlign w:val="center"/>
                </w:tcPr>
                <w:p w14:paraId="5054ABD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61.7 </w:t>
                  </w:r>
                </w:p>
              </w:tc>
              <w:tc>
                <w:tcPr>
                  <w:tcW w:w="235" w:type="pct"/>
                  <w:vMerge w:val="continue"/>
                  <w:noWrap w:val="0"/>
                  <w:vAlign w:val="center"/>
                </w:tcPr>
                <w:p w14:paraId="3742BBB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758380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2F032B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35.7 </w:t>
                  </w:r>
                </w:p>
              </w:tc>
              <w:tc>
                <w:tcPr>
                  <w:tcW w:w="355" w:type="pct"/>
                  <w:vMerge w:val="continue"/>
                  <w:noWrap w:val="0"/>
                  <w:vAlign w:val="center"/>
                </w:tcPr>
                <w:p w14:paraId="578199C0">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C70D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EFC2E0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0A90400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344C3FB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3B7C6D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0C480E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4CA2D4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B439E0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176311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6B94E0B6">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053A863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11.7</w:t>
                  </w:r>
                </w:p>
              </w:tc>
              <w:tc>
                <w:tcPr>
                  <w:tcW w:w="350" w:type="pct"/>
                  <w:noWrap w:val="0"/>
                  <w:vAlign w:val="center"/>
                </w:tcPr>
                <w:p w14:paraId="6C8E772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63.7 </w:t>
                  </w:r>
                </w:p>
              </w:tc>
              <w:tc>
                <w:tcPr>
                  <w:tcW w:w="235" w:type="pct"/>
                  <w:vMerge w:val="continue"/>
                  <w:noWrap w:val="0"/>
                  <w:vAlign w:val="center"/>
                </w:tcPr>
                <w:p w14:paraId="34FA279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1B8C93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C755F1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37.7 </w:t>
                  </w:r>
                </w:p>
              </w:tc>
              <w:tc>
                <w:tcPr>
                  <w:tcW w:w="355" w:type="pct"/>
                  <w:vMerge w:val="continue"/>
                  <w:noWrap w:val="0"/>
                  <w:vAlign w:val="center"/>
                </w:tcPr>
                <w:p w14:paraId="47778AD2">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032F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4AB73572">
                  <w:pPr>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4</w:t>
                  </w:r>
                </w:p>
              </w:tc>
              <w:tc>
                <w:tcPr>
                  <w:tcW w:w="467" w:type="pct"/>
                  <w:vMerge w:val="restart"/>
                  <w:noWrap w:val="0"/>
                  <w:vAlign w:val="center"/>
                </w:tcPr>
                <w:p w14:paraId="102AF166">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六槽式超声波清洗机</w:t>
                  </w:r>
                </w:p>
              </w:tc>
              <w:tc>
                <w:tcPr>
                  <w:tcW w:w="195" w:type="pct"/>
                  <w:vMerge w:val="restart"/>
                  <w:noWrap w:val="0"/>
                  <w:vAlign w:val="center"/>
                </w:tcPr>
                <w:p w14:paraId="17A27C25">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3</w:t>
                  </w:r>
                </w:p>
              </w:tc>
              <w:tc>
                <w:tcPr>
                  <w:tcW w:w="568" w:type="pct"/>
                  <w:vMerge w:val="restart"/>
                  <w:noWrap w:val="0"/>
                  <w:vAlign w:val="center"/>
                </w:tcPr>
                <w:p w14:paraId="133450CA">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67CC84B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5DCC8DFD">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03" w:type="pct"/>
                  <w:vMerge w:val="restart"/>
                  <w:noWrap w:val="0"/>
                  <w:vAlign w:val="center"/>
                </w:tcPr>
                <w:p w14:paraId="3468EA2F">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286" w:type="pct"/>
                  <w:vMerge w:val="restart"/>
                  <w:noWrap w:val="0"/>
                  <w:vAlign w:val="center"/>
                </w:tcPr>
                <w:p w14:paraId="2660E78F">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6BABF5AF">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tcBorders>
                    <w:bottom w:val="single" w:color="auto" w:sz="4" w:space="0"/>
                  </w:tcBorders>
                  <w:noWrap w:val="0"/>
                  <w:vAlign w:val="center"/>
                </w:tcPr>
                <w:p w14:paraId="77B4866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350" w:type="pct"/>
                  <w:tcBorders>
                    <w:bottom w:val="single" w:color="auto" w:sz="4" w:space="0"/>
                  </w:tcBorders>
                  <w:noWrap w:val="0"/>
                  <w:vAlign w:val="center"/>
                </w:tcPr>
                <w:p w14:paraId="6125ED7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60.7 </w:t>
                  </w:r>
                </w:p>
              </w:tc>
              <w:tc>
                <w:tcPr>
                  <w:tcW w:w="235" w:type="pct"/>
                  <w:vMerge w:val="continue"/>
                  <w:noWrap w:val="0"/>
                  <w:vAlign w:val="center"/>
                </w:tcPr>
                <w:p w14:paraId="056E279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46B0D84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47B34C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34.7 </w:t>
                  </w:r>
                </w:p>
              </w:tc>
              <w:tc>
                <w:tcPr>
                  <w:tcW w:w="355" w:type="pct"/>
                  <w:vMerge w:val="continue"/>
                  <w:noWrap w:val="0"/>
                  <w:vAlign w:val="center"/>
                </w:tcPr>
                <w:p w14:paraId="52DDD00A">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BE797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6D430EEC">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ADD9C17">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3D965B0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36F806E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5E522C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DE53D9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06472D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63F343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200414C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tcBorders>
                    <w:bottom w:val="single" w:color="auto" w:sz="4" w:space="0"/>
                  </w:tcBorders>
                  <w:noWrap w:val="0"/>
                  <w:vAlign w:val="center"/>
                </w:tcPr>
                <w:p w14:paraId="6A728116">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350" w:type="pct"/>
                  <w:tcBorders>
                    <w:bottom w:val="single" w:color="auto" w:sz="4" w:space="0"/>
                  </w:tcBorders>
                  <w:noWrap w:val="0"/>
                  <w:vAlign w:val="center"/>
                </w:tcPr>
                <w:p w14:paraId="214206D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61.8 </w:t>
                  </w:r>
                </w:p>
              </w:tc>
              <w:tc>
                <w:tcPr>
                  <w:tcW w:w="235" w:type="pct"/>
                  <w:vMerge w:val="continue"/>
                  <w:noWrap w:val="0"/>
                  <w:vAlign w:val="center"/>
                </w:tcPr>
                <w:p w14:paraId="78B0C17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13EFD2B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A84FA5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35.8 </w:t>
                  </w:r>
                </w:p>
              </w:tc>
              <w:tc>
                <w:tcPr>
                  <w:tcW w:w="355" w:type="pct"/>
                  <w:vMerge w:val="continue"/>
                  <w:noWrap w:val="0"/>
                  <w:vAlign w:val="center"/>
                </w:tcPr>
                <w:p w14:paraId="16C6060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5DE2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trPr>
              <w:tc>
                <w:tcPr>
                  <w:tcW w:w="195" w:type="pct"/>
                  <w:vMerge w:val="continue"/>
                  <w:noWrap w:val="0"/>
                  <w:vAlign w:val="center"/>
                </w:tcPr>
                <w:p w14:paraId="0048D1CE">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69E214A5">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5806B0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79DC69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1F52C0B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18D75D2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9497F2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58BC30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358F356D">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tcBorders>
                    <w:bottom w:val="single" w:color="auto" w:sz="4" w:space="0"/>
                  </w:tcBorders>
                  <w:noWrap w:val="0"/>
                  <w:vAlign w:val="center"/>
                </w:tcPr>
                <w:p w14:paraId="729C542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50" w:type="pct"/>
                  <w:tcBorders>
                    <w:bottom w:val="single" w:color="auto" w:sz="4" w:space="0"/>
                  </w:tcBorders>
                  <w:noWrap w:val="0"/>
                  <w:vAlign w:val="center"/>
                </w:tcPr>
                <w:p w14:paraId="24CD7B0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60.9 </w:t>
                  </w:r>
                </w:p>
              </w:tc>
              <w:tc>
                <w:tcPr>
                  <w:tcW w:w="235" w:type="pct"/>
                  <w:vMerge w:val="continue"/>
                  <w:noWrap w:val="0"/>
                  <w:vAlign w:val="center"/>
                </w:tcPr>
                <w:p w14:paraId="0955A43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1E37BBB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DB086B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34.9 </w:t>
                  </w:r>
                </w:p>
              </w:tc>
              <w:tc>
                <w:tcPr>
                  <w:tcW w:w="355" w:type="pct"/>
                  <w:vMerge w:val="continue"/>
                  <w:noWrap w:val="0"/>
                  <w:vAlign w:val="center"/>
                </w:tcPr>
                <w:p w14:paraId="721EA71F">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6782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tcBorders>
                    <w:bottom w:val="single" w:color="auto" w:sz="4" w:space="0"/>
                  </w:tcBorders>
                  <w:noWrap w:val="0"/>
                  <w:vAlign w:val="center"/>
                </w:tcPr>
                <w:p w14:paraId="4475A9E4">
                  <w:pPr>
                    <w:jc w:val="center"/>
                    <w:rPr>
                      <w:rFonts w:hint="default" w:ascii="Times New Roman" w:hAnsi="Times New Roman" w:eastAsia="仿宋" w:cs="Times New Roman"/>
                      <w:color w:val="000000"/>
                      <w:sz w:val="18"/>
                      <w:szCs w:val="18"/>
                    </w:rPr>
                  </w:pPr>
                </w:p>
              </w:tc>
              <w:tc>
                <w:tcPr>
                  <w:tcW w:w="467" w:type="pct"/>
                  <w:vMerge w:val="continue"/>
                  <w:tcBorders>
                    <w:bottom w:val="single" w:color="auto" w:sz="4" w:space="0"/>
                  </w:tcBorders>
                  <w:noWrap w:val="0"/>
                  <w:vAlign w:val="center"/>
                </w:tcPr>
                <w:p w14:paraId="1E4DDCFF">
                  <w:pPr>
                    <w:jc w:val="center"/>
                    <w:rPr>
                      <w:rFonts w:hint="default" w:ascii="Times New Roman" w:hAnsi="Times New Roman" w:eastAsia="仿宋" w:cs="Times New Roman"/>
                      <w:color w:val="000000"/>
                      <w:sz w:val="18"/>
                      <w:szCs w:val="18"/>
                    </w:rPr>
                  </w:pPr>
                </w:p>
              </w:tc>
              <w:tc>
                <w:tcPr>
                  <w:tcW w:w="195" w:type="pct"/>
                  <w:vMerge w:val="continue"/>
                  <w:tcBorders>
                    <w:bottom w:val="single" w:color="auto" w:sz="4" w:space="0"/>
                  </w:tcBorders>
                  <w:noWrap w:val="0"/>
                  <w:vAlign w:val="center"/>
                </w:tcPr>
                <w:p w14:paraId="18F1384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tcBorders>
                    <w:bottom w:val="single" w:color="auto" w:sz="4" w:space="0"/>
                  </w:tcBorders>
                  <w:noWrap w:val="0"/>
                  <w:vAlign w:val="center"/>
                </w:tcPr>
                <w:p w14:paraId="29F449D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657CEC9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F56263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04AB476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99C52D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FB62971">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tcBorders>
                    <w:bottom w:val="single" w:color="auto" w:sz="4" w:space="0"/>
                  </w:tcBorders>
                  <w:noWrap w:val="0"/>
                  <w:vAlign w:val="center"/>
                </w:tcPr>
                <w:p w14:paraId="35EC49A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350" w:type="pct"/>
                  <w:tcBorders>
                    <w:bottom w:val="single" w:color="auto" w:sz="4" w:space="0"/>
                  </w:tcBorders>
                  <w:noWrap w:val="0"/>
                  <w:vAlign w:val="center"/>
                </w:tcPr>
                <w:p w14:paraId="547C51A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74.0 </w:t>
                  </w:r>
                </w:p>
              </w:tc>
              <w:tc>
                <w:tcPr>
                  <w:tcW w:w="235" w:type="pct"/>
                  <w:vMerge w:val="continue"/>
                  <w:noWrap w:val="0"/>
                  <w:vAlign w:val="center"/>
                </w:tcPr>
                <w:p w14:paraId="0EEA989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47A1EE7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EC8C77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48.0 </w:t>
                  </w:r>
                </w:p>
              </w:tc>
              <w:tc>
                <w:tcPr>
                  <w:tcW w:w="355" w:type="pct"/>
                  <w:vMerge w:val="continue"/>
                  <w:noWrap w:val="0"/>
                  <w:vAlign w:val="center"/>
                </w:tcPr>
                <w:p w14:paraId="44997272">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75B1A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176CF18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5</w:t>
                  </w:r>
                </w:p>
              </w:tc>
              <w:tc>
                <w:tcPr>
                  <w:tcW w:w="467" w:type="pct"/>
                  <w:vMerge w:val="restart"/>
                  <w:noWrap w:val="0"/>
                  <w:vAlign w:val="center"/>
                </w:tcPr>
                <w:p w14:paraId="3E408B2C">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多极定子绕线机</w:t>
                  </w:r>
                </w:p>
              </w:tc>
              <w:tc>
                <w:tcPr>
                  <w:tcW w:w="195" w:type="pct"/>
                  <w:vMerge w:val="restart"/>
                  <w:noWrap w:val="0"/>
                  <w:vAlign w:val="center"/>
                </w:tcPr>
                <w:p w14:paraId="40579F73">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1C261EBD">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1D18579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001B6E84">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03" w:type="pct"/>
                  <w:vMerge w:val="restart"/>
                  <w:noWrap w:val="0"/>
                  <w:vAlign w:val="center"/>
                </w:tcPr>
                <w:p w14:paraId="206B1303">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286" w:type="pct"/>
                  <w:vMerge w:val="restart"/>
                  <w:noWrap w:val="0"/>
                  <w:vAlign w:val="center"/>
                </w:tcPr>
                <w:p w14:paraId="00364A38">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2A7BAA9E">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tcBorders>
                    <w:bottom w:val="single" w:color="auto" w:sz="4" w:space="0"/>
                  </w:tcBorders>
                  <w:noWrap w:val="0"/>
                  <w:vAlign w:val="center"/>
                </w:tcPr>
                <w:p w14:paraId="346A724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tcBorders>
                    <w:bottom w:val="single" w:color="auto" w:sz="4" w:space="0"/>
                  </w:tcBorders>
                  <w:noWrap w:val="0"/>
                  <w:vAlign w:val="center"/>
                </w:tcPr>
                <w:p w14:paraId="530F804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59.1 </w:t>
                  </w:r>
                </w:p>
              </w:tc>
              <w:tc>
                <w:tcPr>
                  <w:tcW w:w="235" w:type="pct"/>
                  <w:vMerge w:val="continue"/>
                  <w:noWrap w:val="0"/>
                  <w:vAlign w:val="center"/>
                </w:tcPr>
                <w:p w14:paraId="383D6CB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193699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3D7B7C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33.1 </w:t>
                  </w:r>
                </w:p>
              </w:tc>
              <w:tc>
                <w:tcPr>
                  <w:tcW w:w="355" w:type="pct"/>
                  <w:vMerge w:val="continue"/>
                  <w:noWrap w:val="0"/>
                  <w:vAlign w:val="center"/>
                </w:tcPr>
                <w:p w14:paraId="0BCC87A5">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7FF38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54273EF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3D9168B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FD796C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0ED0A7F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6D25B86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8D07ED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2B9F0AC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8E1BF7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727F6D1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tcBorders>
                    <w:bottom w:val="single" w:color="auto" w:sz="4" w:space="0"/>
                  </w:tcBorders>
                  <w:noWrap w:val="0"/>
                  <w:vAlign w:val="center"/>
                </w:tcPr>
                <w:p w14:paraId="18125E05">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tcBorders>
                    <w:bottom w:val="single" w:color="auto" w:sz="4" w:space="0"/>
                  </w:tcBorders>
                  <w:noWrap w:val="0"/>
                  <w:vAlign w:val="center"/>
                </w:tcPr>
                <w:p w14:paraId="0D8D5A7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68.9 </w:t>
                  </w:r>
                </w:p>
              </w:tc>
              <w:tc>
                <w:tcPr>
                  <w:tcW w:w="235" w:type="pct"/>
                  <w:vMerge w:val="continue"/>
                  <w:noWrap w:val="0"/>
                  <w:vAlign w:val="center"/>
                </w:tcPr>
                <w:p w14:paraId="7FD5926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635C74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36C8F4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42.9 </w:t>
                  </w:r>
                </w:p>
              </w:tc>
              <w:tc>
                <w:tcPr>
                  <w:tcW w:w="355" w:type="pct"/>
                  <w:vMerge w:val="continue"/>
                  <w:noWrap w:val="0"/>
                  <w:vAlign w:val="center"/>
                </w:tcPr>
                <w:p w14:paraId="144E53EF">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6C93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04C27C8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A9D761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25ACCD9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696FDC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6FF420A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91302B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50A9EB4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BC75E6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EDA631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tcBorders>
                    <w:bottom w:val="single" w:color="auto" w:sz="4" w:space="0"/>
                  </w:tcBorders>
                  <w:noWrap w:val="0"/>
                  <w:vAlign w:val="center"/>
                </w:tcPr>
                <w:p w14:paraId="0AEB79B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50" w:type="pct"/>
                  <w:tcBorders>
                    <w:bottom w:val="single" w:color="auto" w:sz="4" w:space="0"/>
                  </w:tcBorders>
                  <w:noWrap w:val="0"/>
                  <w:vAlign w:val="center"/>
                </w:tcPr>
                <w:p w14:paraId="573E3229">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59.0 </w:t>
                  </w:r>
                </w:p>
              </w:tc>
              <w:tc>
                <w:tcPr>
                  <w:tcW w:w="235" w:type="pct"/>
                  <w:vMerge w:val="continue"/>
                  <w:noWrap w:val="0"/>
                  <w:vAlign w:val="center"/>
                </w:tcPr>
                <w:p w14:paraId="677F1A9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5F6DCB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1F5404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33.0 </w:t>
                  </w:r>
                </w:p>
              </w:tc>
              <w:tc>
                <w:tcPr>
                  <w:tcW w:w="355" w:type="pct"/>
                  <w:vMerge w:val="continue"/>
                  <w:noWrap w:val="0"/>
                  <w:vAlign w:val="center"/>
                </w:tcPr>
                <w:p w14:paraId="47FF919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30B8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tcBorders>
                    <w:bottom w:val="single" w:color="auto" w:sz="4" w:space="0"/>
                  </w:tcBorders>
                  <w:noWrap w:val="0"/>
                  <w:vAlign w:val="center"/>
                </w:tcPr>
                <w:p w14:paraId="3B17261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tcBorders>
                    <w:bottom w:val="single" w:color="auto" w:sz="4" w:space="0"/>
                  </w:tcBorders>
                  <w:noWrap w:val="0"/>
                  <w:vAlign w:val="center"/>
                </w:tcPr>
                <w:p w14:paraId="47444ED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tcBorders>
                    <w:bottom w:val="single" w:color="auto" w:sz="4" w:space="0"/>
                  </w:tcBorders>
                  <w:noWrap w:val="0"/>
                  <w:vAlign w:val="center"/>
                </w:tcPr>
                <w:p w14:paraId="1EE19A0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tcBorders>
                    <w:bottom w:val="single" w:color="auto" w:sz="4" w:space="0"/>
                  </w:tcBorders>
                  <w:noWrap w:val="0"/>
                  <w:vAlign w:val="center"/>
                </w:tcPr>
                <w:p w14:paraId="74A7771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E275B7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tcBorders>
                    <w:bottom w:val="single" w:color="auto" w:sz="4" w:space="0"/>
                  </w:tcBorders>
                  <w:noWrap w:val="0"/>
                  <w:vAlign w:val="center"/>
                </w:tcPr>
                <w:p w14:paraId="7C31440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tcBorders>
                    <w:bottom w:val="single" w:color="auto" w:sz="4" w:space="0"/>
                  </w:tcBorders>
                  <w:noWrap w:val="0"/>
                  <w:vAlign w:val="center"/>
                </w:tcPr>
                <w:p w14:paraId="220EAD8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tcBorders>
                    <w:bottom w:val="single" w:color="auto" w:sz="4" w:space="0"/>
                  </w:tcBorders>
                  <w:noWrap w:val="0"/>
                  <w:vAlign w:val="center"/>
                </w:tcPr>
                <w:p w14:paraId="593DCE0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3C5B7D7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tcBorders>
                    <w:bottom w:val="single" w:color="auto" w:sz="4" w:space="0"/>
                  </w:tcBorders>
                  <w:noWrap w:val="0"/>
                  <w:vAlign w:val="center"/>
                </w:tcPr>
                <w:p w14:paraId="0F4B643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tcBorders>
                    <w:bottom w:val="single" w:color="auto" w:sz="4" w:space="0"/>
                  </w:tcBorders>
                  <w:noWrap w:val="0"/>
                  <w:vAlign w:val="center"/>
                </w:tcPr>
                <w:p w14:paraId="31C8F47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60.2 </w:t>
                  </w:r>
                </w:p>
              </w:tc>
              <w:tc>
                <w:tcPr>
                  <w:tcW w:w="235" w:type="pct"/>
                  <w:vMerge w:val="continue"/>
                  <w:noWrap w:val="0"/>
                  <w:vAlign w:val="center"/>
                </w:tcPr>
                <w:p w14:paraId="3A320F6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225D9A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1AE21F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34.2 </w:t>
                  </w:r>
                </w:p>
              </w:tc>
              <w:tc>
                <w:tcPr>
                  <w:tcW w:w="355" w:type="pct"/>
                  <w:vMerge w:val="continue"/>
                  <w:noWrap w:val="0"/>
                  <w:vAlign w:val="center"/>
                </w:tcPr>
                <w:p w14:paraId="5430948D">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4E6C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trPr>
              <w:tc>
                <w:tcPr>
                  <w:tcW w:w="195" w:type="pct"/>
                  <w:vMerge w:val="restart"/>
                  <w:noWrap w:val="0"/>
                  <w:vAlign w:val="center"/>
                </w:tcPr>
                <w:p w14:paraId="456A351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6</w:t>
                  </w:r>
                </w:p>
              </w:tc>
              <w:tc>
                <w:tcPr>
                  <w:tcW w:w="467" w:type="pct"/>
                  <w:vMerge w:val="restart"/>
                  <w:noWrap w:val="0"/>
                  <w:vAlign w:val="center"/>
                </w:tcPr>
                <w:p w14:paraId="47862BB6">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普通车床</w:t>
                  </w:r>
                </w:p>
              </w:tc>
              <w:tc>
                <w:tcPr>
                  <w:tcW w:w="195" w:type="pct"/>
                  <w:vMerge w:val="restart"/>
                  <w:noWrap w:val="0"/>
                  <w:vAlign w:val="center"/>
                </w:tcPr>
                <w:p w14:paraId="290B646E">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1</w:t>
                  </w:r>
                </w:p>
              </w:tc>
              <w:tc>
                <w:tcPr>
                  <w:tcW w:w="568" w:type="pct"/>
                  <w:vMerge w:val="restart"/>
                  <w:noWrap w:val="0"/>
                  <w:vAlign w:val="center"/>
                </w:tcPr>
                <w:p w14:paraId="1341C060">
                  <w:pPr>
                    <w:pStyle w:val="22"/>
                    <w:spacing w:before="0" w:after="0"/>
                    <w:ind w:right="0" w:firstLine="0" w:firstLineChars="0"/>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color w:val="000000"/>
                      <w:sz w:val="18"/>
                      <w:szCs w:val="18"/>
                    </w:rPr>
                    <w:t>8</w:t>
                  </w:r>
                  <w:r>
                    <w:rPr>
                      <w:rFonts w:hint="default" w:ascii="Times New Roman" w:hAnsi="Times New Roman" w:eastAsia="仿宋" w:cs="Times New Roman"/>
                      <w:color w:val="000000"/>
                      <w:sz w:val="18"/>
                      <w:szCs w:val="18"/>
                      <w:lang w:val="en-US" w:eastAsia="zh-CN"/>
                    </w:rPr>
                    <w:t>5</w:t>
                  </w:r>
                </w:p>
              </w:tc>
              <w:tc>
                <w:tcPr>
                  <w:tcW w:w="313" w:type="pct"/>
                  <w:vMerge w:val="continue"/>
                  <w:noWrap w:val="0"/>
                  <w:vAlign w:val="center"/>
                </w:tcPr>
                <w:p w14:paraId="524CCCB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499F1EE5">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25.9</w:t>
                  </w:r>
                </w:p>
              </w:tc>
              <w:tc>
                <w:tcPr>
                  <w:tcW w:w="303" w:type="pct"/>
                  <w:vMerge w:val="restart"/>
                  <w:noWrap w:val="0"/>
                  <w:vAlign w:val="center"/>
                </w:tcPr>
                <w:p w14:paraId="65BFD4FE">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286" w:type="pct"/>
                  <w:vMerge w:val="restart"/>
                  <w:noWrap w:val="0"/>
                  <w:vAlign w:val="center"/>
                </w:tcPr>
                <w:p w14:paraId="140F942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0A4D01A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1DDBF3D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w:t>
                  </w:r>
                </w:p>
              </w:tc>
              <w:tc>
                <w:tcPr>
                  <w:tcW w:w="350" w:type="pct"/>
                  <w:noWrap w:val="0"/>
                  <w:vAlign w:val="center"/>
                </w:tcPr>
                <w:p w14:paraId="79AE137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64.0 </w:t>
                  </w:r>
                </w:p>
              </w:tc>
              <w:tc>
                <w:tcPr>
                  <w:tcW w:w="235" w:type="pct"/>
                  <w:vMerge w:val="continue"/>
                  <w:noWrap w:val="0"/>
                  <w:vAlign w:val="center"/>
                </w:tcPr>
                <w:p w14:paraId="23D42A3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05C377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55546B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38.0 </w:t>
                  </w:r>
                </w:p>
              </w:tc>
              <w:tc>
                <w:tcPr>
                  <w:tcW w:w="355" w:type="pct"/>
                  <w:vMerge w:val="continue"/>
                  <w:noWrap w:val="0"/>
                  <w:vAlign w:val="center"/>
                </w:tcPr>
                <w:p w14:paraId="5E113B91">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07659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0EE6771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ACDADE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BA068B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DE9606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761E04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DB1812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92CED8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565B36E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4291BE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23FCEAB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350" w:type="pct"/>
                  <w:noWrap w:val="0"/>
                  <w:vAlign w:val="center"/>
                </w:tcPr>
                <w:p w14:paraId="0F53785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66.3 </w:t>
                  </w:r>
                </w:p>
              </w:tc>
              <w:tc>
                <w:tcPr>
                  <w:tcW w:w="235" w:type="pct"/>
                  <w:vMerge w:val="continue"/>
                  <w:noWrap w:val="0"/>
                  <w:vAlign w:val="center"/>
                </w:tcPr>
                <w:p w14:paraId="512C48E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5F0470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060923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40.3 </w:t>
                  </w:r>
                </w:p>
              </w:tc>
              <w:tc>
                <w:tcPr>
                  <w:tcW w:w="355" w:type="pct"/>
                  <w:vMerge w:val="continue"/>
                  <w:noWrap w:val="0"/>
                  <w:vAlign w:val="center"/>
                </w:tcPr>
                <w:p w14:paraId="65396ED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17ED1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0FB1246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EC7BC6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37D8BC0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DB12D3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0B0C1E8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D3F229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7D1EBF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63F9DAA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2DD35687">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526C213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25.9</w:t>
                  </w:r>
                </w:p>
              </w:tc>
              <w:tc>
                <w:tcPr>
                  <w:tcW w:w="350" w:type="pct"/>
                  <w:noWrap w:val="0"/>
                  <w:vAlign w:val="center"/>
                </w:tcPr>
                <w:p w14:paraId="7C342E5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64.1 </w:t>
                  </w:r>
                </w:p>
              </w:tc>
              <w:tc>
                <w:tcPr>
                  <w:tcW w:w="235" w:type="pct"/>
                  <w:vMerge w:val="continue"/>
                  <w:noWrap w:val="0"/>
                  <w:vAlign w:val="center"/>
                </w:tcPr>
                <w:p w14:paraId="133523F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A59F08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2D17D0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38.1 </w:t>
                  </w:r>
                </w:p>
              </w:tc>
              <w:tc>
                <w:tcPr>
                  <w:tcW w:w="355" w:type="pct"/>
                  <w:vMerge w:val="continue"/>
                  <w:noWrap w:val="0"/>
                  <w:vAlign w:val="center"/>
                </w:tcPr>
                <w:p w14:paraId="63F5EA7B">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3BCB3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708F6F7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19C135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6425DC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1C0A928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EAE104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DBF715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DEE62B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D1B01C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70912B0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446E438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350" w:type="pct"/>
                  <w:noWrap w:val="0"/>
                  <w:vAlign w:val="center"/>
                </w:tcPr>
                <w:p w14:paraId="3E48FE6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68.0 </w:t>
                  </w:r>
                </w:p>
              </w:tc>
              <w:tc>
                <w:tcPr>
                  <w:tcW w:w="235" w:type="pct"/>
                  <w:vMerge w:val="continue"/>
                  <w:noWrap w:val="0"/>
                  <w:vAlign w:val="center"/>
                </w:tcPr>
                <w:p w14:paraId="5AA8FBC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7CA790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AF7C24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42.0 </w:t>
                  </w:r>
                </w:p>
              </w:tc>
              <w:tc>
                <w:tcPr>
                  <w:tcW w:w="355" w:type="pct"/>
                  <w:vMerge w:val="continue"/>
                  <w:noWrap w:val="0"/>
                  <w:vAlign w:val="center"/>
                </w:tcPr>
                <w:p w14:paraId="3BF6C556">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07348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7A6E7D26">
                  <w:pPr>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w:t>
                  </w:r>
                </w:p>
              </w:tc>
              <w:tc>
                <w:tcPr>
                  <w:tcW w:w="467" w:type="pct"/>
                  <w:vMerge w:val="restart"/>
                  <w:noWrap w:val="0"/>
                  <w:vAlign w:val="center"/>
                </w:tcPr>
                <w:p w14:paraId="4408BCE3">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立式定子绕线机</w:t>
                  </w:r>
                </w:p>
              </w:tc>
              <w:tc>
                <w:tcPr>
                  <w:tcW w:w="195" w:type="pct"/>
                  <w:vMerge w:val="restart"/>
                  <w:noWrap w:val="0"/>
                  <w:vAlign w:val="center"/>
                </w:tcPr>
                <w:p w14:paraId="65D5F861">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1</w:t>
                  </w:r>
                </w:p>
              </w:tc>
              <w:tc>
                <w:tcPr>
                  <w:tcW w:w="568" w:type="pct"/>
                  <w:vMerge w:val="restart"/>
                  <w:noWrap w:val="0"/>
                  <w:vAlign w:val="center"/>
                </w:tcPr>
                <w:p w14:paraId="67993087">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3A02195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3D85F756">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03" w:type="pct"/>
                  <w:vMerge w:val="restart"/>
                  <w:noWrap w:val="0"/>
                  <w:vAlign w:val="center"/>
                </w:tcPr>
                <w:p w14:paraId="1D4E4247">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286" w:type="pct"/>
                  <w:vMerge w:val="restart"/>
                  <w:noWrap w:val="0"/>
                  <w:vAlign w:val="center"/>
                </w:tcPr>
                <w:p w14:paraId="29E6A09A">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03FD092E">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6C079D6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noWrap w:val="0"/>
                  <w:vAlign w:val="center"/>
                </w:tcPr>
                <w:p w14:paraId="46B5CBA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56.1 </w:t>
                  </w:r>
                </w:p>
              </w:tc>
              <w:tc>
                <w:tcPr>
                  <w:tcW w:w="235" w:type="pct"/>
                  <w:vMerge w:val="continue"/>
                  <w:noWrap w:val="0"/>
                  <w:vAlign w:val="center"/>
                </w:tcPr>
                <w:p w14:paraId="303FCD1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8A5D13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FE5103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30.1 </w:t>
                  </w:r>
                </w:p>
              </w:tc>
              <w:tc>
                <w:tcPr>
                  <w:tcW w:w="355" w:type="pct"/>
                  <w:vMerge w:val="continue"/>
                  <w:noWrap w:val="0"/>
                  <w:vAlign w:val="center"/>
                </w:tcPr>
                <w:p w14:paraId="12711D3E">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350D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trPr>
              <w:tc>
                <w:tcPr>
                  <w:tcW w:w="195" w:type="pct"/>
                  <w:vMerge w:val="continue"/>
                  <w:noWrap w:val="0"/>
                  <w:vAlign w:val="center"/>
                </w:tcPr>
                <w:p w14:paraId="3E716216">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30C65C1">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FB94D9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1E0303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7ECA20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124AB496">
                  <w:pPr>
                    <w:pStyle w:val="22"/>
                    <w:spacing w:before="0" w:after="0"/>
                    <w:ind w:right="0" w:firstLine="18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6F75EE43">
                  <w:pPr>
                    <w:pStyle w:val="22"/>
                    <w:spacing w:before="0" w:after="0"/>
                    <w:ind w:right="0" w:firstLine="18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140696F2">
                  <w:pPr>
                    <w:pStyle w:val="22"/>
                    <w:spacing w:before="0" w:after="0"/>
                    <w:ind w:right="0" w:firstLine="180"/>
                    <w:jc w:val="center"/>
                    <w:rPr>
                      <w:rFonts w:hint="default" w:ascii="Times New Roman" w:hAnsi="Times New Roman" w:eastAsia="仿宋" w:cs="Times New Roman"/>
                      <w:color w:val="000000"/>
                      <w:sz w:val="18"/>
                      <w:szCs w:val="18"/>
                    </w:rPr>
                  </w:pPr>
                </w:p>
              </w:tc>
              <w:tc>
                <w:tcPr>
                  <w:tcW w:w="235" w:type="pct"/>
                  <w:noWrap w:val="0"/>
                  <w:vAlign w:val="center"/>
                </w:tcPr>
                <w:p w14:paraId="1C4AD99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27095C9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noWrap w:val="0"/>
                  <w:vAlign w:val="center"/>
                </w:tcPr>
                <w:p w14:paraId="186DF81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65.9 </w:t>
                  </w:r>
                </w:p>
              </w:tc>
              <w:tc>
                <w:tcPr>
                  <w:tcW w:w="235" w:type="pct"/>
                  <w:vMerge w:val="continue"/>
                  <w:noWrap w:val="0"/>
                  <w:vAlign w:val="center"/>
                </w:tcPr>
                <w:p w14:paraId="7E267BF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B2278B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A89591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39.9 </w:t>
                  </w:r>
                </w:p>
              </w:tc>
              <w:tc>
                <w:tcPr>
                  <w:tcW w:w="355" w:type="pct"/>
                  <w:vMerge w:val="continue"/>
                  <w:noWrap w:val="0"/>
                  <w:vAlign w:val="center"/>
                </w:tcPr>
                <w:p w14:paraId="28DA9FE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87DFD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0689E612">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6CE38DC8">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46CFA5E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6626F4B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F42C93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3344F5EB">
                  <w:pPr>
                    <w:pStyle w:val="22"/>
                    <w:spacing w:before="0" w:after="0"/>
                    <w:ind w:right="0" w:firstLine="18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5FC8DC9D">
                  <w:pPr>
                    <w:pStyle w:val="22"/>
                    <w:spacing w:before="0" w:after="0"/>
                    <w:ind w:right="0" w:firstLine="18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53B8292D">
                  <w:pPr>
                    <w:pStyle w:val="22"/>
                    <w:spacing w:before="0" w:after="0"/>
                    <w:ind w:right="0" w:firstLine="180"/>
                    <w:jc w:val="center"/>
                    <w:rPr>
                      <w:rFonts w:hint="default" w:ascii="Times New Roman" w:hAnsi="Times New Roman" w:eastAsia="仿宋" w:cs="Times New Roman"/>
                      <w:color w:val="000000"/>
                      <w:sz w:val="18"/>
                      <w:szCs w:val="18"/>
                    </w:rPr>
                  </w:pPr>
                </w:p>
              </w:tc>
              <w:tc>
                <w:tcPr>
                  <w:tcW w:w="235" w:type="pct"/>
                  <w:noWrap w:val="0"/>
                  <w:vAlign w:val="center"/>
                </w:tcPr>
                <w:p w14:paraId="582962A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5EE2C09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50" w:type="pct"/>
                  <w:noWrap w:val="0"/>
                  <w:vAlign w:val="center"/>
                </w:tcPr>
                <w:p w14:paraId="1AE7163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56.0 </w:t>
                  </w:r>
                </w:p>
              </w:tc>
              <w:tc>
                <w:tcPr>
                  <w:tcW w:w="235" w:type="pct"/>
                  <w:vMerge w:val="continue"/>
                  <w:noWrap w:val="0"/>
                  <w:vAlign w:val="center"/>
                </w:tcPr>
                <w:p w14:paraId="574E96E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9EB348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1F4A8F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30.0 </w:t>
                  </w:r>
                </w:p>
              </w:tc>
              <w:tc>
                <w:tcPr>
                  <w:tcW w:w="355" w:type="pct"/>
                  <w:vMerge w:val="continue"/>
                  <w:noWrap w:val="0"/>
                  <w:vAlign w:val="center"/>
                </w:tcPr>
                <w:p w14:paraId="7B72FEA2">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AE6E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5D810BC">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94A80B6">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AE7062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9C8047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5ED056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3B7033C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6E8FB5B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571633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3D6D06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53902EC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noWrap w:val="0"/>
                  <w:vAlign w:val="center"/>
                </w:tcPr>
                <w:p w14:paraId="1D6C3AB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57.2 </w:t>
                  </w:r>
                </w:p>
              </w:tc>
              <w:tc>
                <w:tcPr>
                  <w:tcW w:w="235" w:type="pct"/>
                  <w:vMerge w:val="continue"/>
                  <w:noWrap w:val="0"/>
                  <w:vAlign w:val="center"/>
                </w:tcPr>
                <w:p w14:paraId="25D477F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04AADC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854D2F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31.2 </w:t>
                  </w:r>
                </w:p>
              </w:tc>
              <w:tc>
                <w:tcPr>
                  <w:tcW w:w="355" w:type="pct"/>
                  <w:vMerge w:val="continue"/>
                  <w:noWrap w:val="0"/>
                  <w:vAlign w:val="center"/>
                </w:tcPr>
                <w:p w14:paraId="12E48B0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ACD1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72B39EA4">
                  <w:pPr>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color w:val="000000"/>
                      <w:sz w:val="18"/>
                      <w:szCs w:val="18"/>
                      <w:lang w:val="en-US" w:eastAsia="zh-CN"/>
                    </w:rPr>
                    <w:t>8</w:t>
                  </w:r>
                </w:p>
              </w:tc>
              <w:tc>
                <w:tcPr>
                  <w:tcW w:w="467" w:type="pct"/>
                  <w:vMerge w:val="restart"/>
                  <w:noWrap w:val="0"/>
                  <w:vAlign w:val="center"/>
                </w:tcPr>
                <w:p w14:paraId="3CAA1644">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数控珩磨机</w:t>
                  </w:r>
                </w:p>
              </w:tc>
              <w:tc>
                <w:tcPr>
                  <w:tcW w:w="195" w:type="pct"/>
                  <w:vMerge w:val="restart"/>
                  <w:noWrap w:val="0"/>
                  <w:vAlign w:val="center"/>
                </w:tcPr>
                <w:p w14:paraId="2C2003E0">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6E83638D">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11BCF61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3C6CD50A">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03" w:type="pct"/>
                  <w:vMerge w:val="restart"/>
                  <w:noWrap w:val="0"/>
                  <w:vAlign w:val="center"/>
                </w:tcPr>
                <w:p w14:paraId="557ABF44">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286" w:type="pct"/>
                  <w:vMerge w:val="restart"/>
                  <w:noWrap w:val="0"/>
                  <w:vAlign w:val="center"/>
                </w:tcPr>
                <w:p w14:paraId="24FA556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011468F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2BE73189">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350" w:type="pct"/>
                  <w:noWrap w:val="0"/>
                  <w:vAlign w:val="center"/>
                </w:tcPr>
                <w:p w14:paraId="5977509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58.9 </w:t>
                  </w:r>
                </w:p>
              </w:tc>
              <w:tc>
                <w:tcPr>
                  <w:tcW w:w="235" w:type="pct"/>
                  <w:vMerge w:val="continue"/>
                  <w:noWrap w:val="0"/>
                  <w:vAlign w:val="center"/>
                </w:tcPr>
                <w:p w14:paraId="3E1BAD5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7BCD0D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390E98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32.9 </w:t>
                  </w:r>
                </w:p>
              </w:tc>
              <w:tc>
                <w:tcPr>
                  <w:tcW w:w="355" w:type="pct"/>
                  <w:vMerge w:val="continue"/>
                  <w:noWrap w:val="0"/>
                  <w:vAlign w:val="center"/>
                </w:tcPr>
                <w:p w14:paraId="63620D6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9EDF2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5C6DACA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389D81C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A3A1B4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686E873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310671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B93D84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08FCD7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531332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91E58FD">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41DBF07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noWrap w:val="0"/>
                  <w:vAlign w:val="center"/>
                </w:tcPr>
                <w:p w14:paraId="3A07626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60.2 </w:t>
                  </w:r>
                </w:p>
              </w:tc>
              <w:tc>
                <w:tcPr>
                  <w:tcW w:w="235" w:type="pct"/>
                  <w:vMerge w:val="continue"/>
                  <w:noWrap w:val="0"/>
                  <w:vAlign w:val="center"/>
                </w:tcPr>
                <w:p w14:paraId="6EF2683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81E68F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D2000B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34.2 </w:t>
                  </w:r>
                </w:p>
              </w:tc>
              <w:tc>
                <w:tcPr>
                  <w:tcW w:w="355" w:type="pct"/>
                  <w:vMerge w:val="continue"/>
                  <w:noWrap w:val="0"/>
                  <w:vAlign w:val="center"/>
                </w:tcPr>
                <w:p w14:paraId="56AA5CD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3BF5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6574C99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2E9630B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38B3923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806068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A66540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42BA561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0704D94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7DF37CB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F9768B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31BB49B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50" w:type="pct"/>
                  <w:noWrap w:val="0"/>
                  <w:vAlign w:val="center"/>
                </w:tcPr>
                <w:p w14:paraId="4C785F05">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59.2 </w:t>
                  </w:r>
                </w:p>
              </w:tc>
              <w:tc>
                <w:tcPr>
                  <w:tcW w:w="235" w:type="pct"/>
                  <w:vMerge w:val="continue"/>
                  <w:noWrap w:val="0"/>
                  <w:vAlign w:val="center"/>
                </w:tcPr>
                <w:p w14:paraId="79CAA9D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239344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F1D0FD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33.2 </w:t>
                  </w:r>
                </w:p>
              </w:tc>
              <w:tc>
                <w:tcPr>
                  <w:tcW w:w="355" w:type="pct"/>
                  <w:vMerge w:val="continue"/>
                  <w:noWrap w:val="0"/>
                  <w:vAlign w:val="center"/>
                </w:tcPr>
                <w:p w14:paraId="7C23E786">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601D0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5EBAF8E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3B111BA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447B6BD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0B134E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15E0429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CA0C76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642C60C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4EADD0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76D18F6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381222D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noWrap w:val="0"/>
                  <w:vAlign w:val="center"/>
                </w:tcPr>
                <w:p w14:paraId="41818DB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68.9 </w:t>
                  </w:r>
                </w:p>
              </w:tc>
              <w:tc>
                <w:tcPr>
                  <w:tcW w:w="235" w:type="pct"/>
                  <w:vMerge w:val="continue"/>
                  <w:noWrap w:val="0"/>
                  <w:vAlign w:val="center"/>
                </w:tcPr>
                <w:p w14:paraId="7CA3533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1608A1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1F33DC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42.9 </w:t>
                  </w:r>
                </w:p>
              </w:tc>
              <w:tc>
                <w:tcPr>
                  <w:tcW w:w="355" w:type="pct"/>
                  <w:vMerge w:val="continue"/>
                  <w:noWrap w:val="0"/>
                  <w:vAlign w:val="center"/>
                </w:tcPr>
                <w:p w14:paraId="662B5314">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01608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0C52F609">
                  <w:pPr>
                    <w:jc w:val="center"/>
                    <w:rPr>
                      <w:rFonts w:hint="default" w:ascii="Times New Roman" w:hAnsi="Times New Roman" w:eastAsia="仿宋" w:cs="Times New Roman"/>
                      <w:color w:val="000000"/>
                      <w:sz w:val="18"/>
                      <w:szCs w:val="18"/>
                      <w:lang w:eastAsia="zh-CN"/>
                    </w:rPr>
                  </w:pPr>
                  <w:r>
                    <w:rPr>
                      <w:rFonts w:hint="default" w:ascii="Times New Roman" w:hAnsi="Times New Roman" w:eastAsia="仿宋" w:cs="Times New Roman"/>
                      <w:color w:val="000000"/>
                      <w:sz w:val="18"/>
                      <w:szCs w:val="18"/>
                      <w:lang w:val="en-US" w:eastAsia="zh-CN"/>
                    </w:rPr>
                    <w:t>9</w:t>
                  </w:r>
                </w:p>
              </w:tc>
              <w:tc>
                <w:tcPr>
                  <w:tcW w:w="467" w:type="pct"/>
                  <w:vMerge w:val="restart"/>
                  <w:noWrap w:val="0"/>
                  <w:vAlign w:val="center"/>
                </w:tcPr>
                <w:p w14:paraId="5ECD7D00">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伺服双工位绕线机</w:t>
                  </w:r>
                </w:p>
              </w:tc>
              <w:tc>
                <w:tcPr>
                  <w:tcW w:w="195" w:type="pct"/>
                  <w:vMerge w:val="restart"/>
                  <w:noWrap w:val="0"/>
                  <w:vAlign w:val="center"/>
                </w:tcPr>
                <w:p w14:paraId="704BB4B6">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1</w:t>
                  </w:r>
                </w:p>
              </w:tc>
              <w:tc>
                <w:tcPr>
                  <w:tcW w:w="568" w:type="pct"/>
                  <w:vMerge w:val="restart"/>
                  <w:noWrap w:val="0"/>
                  <w:vAlign w:val="center"/>
                </w:tcPr>
                <w:p w14:paraId="61C8B92E">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5731D45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2476FEAE">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03" w:type="pct"/>
                  <w:vMerge w:val="restart"/>
                  <w:noWrap w:val="0"/>
                  <w:vAlign w:val="center"/>
                </w:tcPr>
                <w:p w14:paraId="532AFF6E">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color w:val="000000"/>
                      <w:sz w:val="18"/>
                      <w:szCs w:val="18"/>
                      <w:lang w:val="en-US" w:eastAsia="zh-CN"/>
                    </w:rPr>
                    <w:t>3</w:t>
                  </w:r>
                </w:p>
              </w:tc>
              <w:tc>
                <w:tcPr>
                  <w:tcW w:w="286" w:type="pct"/>
                  <w:vMerge w:val="restart"/>
                  <w:noWrap w:val="0"/>
                  <w:vAlign w:val="center"/>
                </w:tcPr>
                <w:p w14:paraId="57D2AD8B">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26F44EED">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0899C00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noWrap w:val="0"/>
                  <w:vAlign w:val="center"/>
                </w:tcPr>
                <w:p w14:paraId="47CA32E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56.1 </w:t>
                  </w:r>
                </w:p>
              </w:tc>
              <w:tc>
                <w:tcPr>
                  <w:tcW w:w="235" w:type="pct"/>
                  <w:vMerge w:val="continue"/>
                  <w:noWrap w:val="0"/>
                  <w:vAlign w:val="center"/>
                </w:tcPr>
                <w:p w14:paraId="5167A77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9DD96B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D74D9C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30.1 </w:t>
                  </w:r>
                </w:p>
              </w:tc>
              <w:tc>
                <w:tcPr>
                  <w:tcW w:w="355" w:type="pct"/>
                  <w:vMerge w:val="continue"/>
                  <w:noWrap w:val="0"/>
                  <w:vAlign w:val="center"/>
                </w:tcPr>
                <w:p w14:paraId="6B6A2903">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9B46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343E37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B6CDA1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2B66396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B0C20E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056E13E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1FDD1F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09E221A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3EAEF3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2B2D552B">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31D8A94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noWrap w:val="0"/>
                  <w:vAlign w:val="center"/>
                </w:tcPr>
                <w:p w14:paraId="7F825AB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65.9 </w:t>
                  </w:r>
                </w:p>
              </w:tc>
              <w:tc>
                <w:tcPr>
                  <w:tcW w:w="235" w:type="pct"/>
                  <w:vMerge w:val="continue"/>
                  <w:noWrap w:val="0"/>
                  <w:vAlign w:val="center"/>
                </w:tcPr>
                <w:p w14:paraId="48315E0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6F087E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C164E2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39.9 </w:t>
                  </w:r>
                </w:p>
              </w:tc>
              <w:tc>
                <w:tcPr>
                  <w:tcW w:w="355" w:type="pct"/>
                  <w:vMerge w:val="continue"/>
                  <w:noWrap w:val="0"/>
                  <w:vAlign w:val="center"/>
                </w:tcPr>
                <w:p w14:paraId="4CAB59D6">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E14B9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3A12705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7D638B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04B2083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E4D875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1F5A7FA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1789B1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7A8F56D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60AADFF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6FE6EB6C">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64801099">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50" w:type="pct"/>
                  <w:noWrap w:val="0"/>
                  <w:vAlign w:val="center"/>
                </w:tcPr>
                <w:p w14:paraId="624E9776">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56.0 </w:t>
                  </w:r>
                </w:p>
              </w:tc>
              <w:tc>
                <w:tcPr>
                  <w:tcW w:w="235" w:type="pct"/>
                  <w:vMerge w:val="continue"/>
                  <w:noWrap w:val="0"/>
                  <w:vAlign w:val="center"/>
                </w:tcPr>
                <w:p w14:paraId="79C3A94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2B5F7F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FDCC52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30.0 </w:t>
                  </w:r>
                </w:p>
              </w:tc>
              <w:tc>
                <w:tcPr>
                  <w:tcW w:w="355" w:type="pct"/>
                  <w:vMerge w:val="continue"/>
                  <w:noWrap w:val="0"/>
                  <w:vAlign w:val="center"/>
                </w:tcPr>
                <w:p w14:paraId="2EFB1DB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09B169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7484532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38C2BD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2B0A881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DEE344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181DA6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D44131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ACF27D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A6527B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527CF52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2C9F0E3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noWrap w:val="0"/>
                  <w:vAlign w:val="center"/>
                </w:tcPr>
                <w:p w14:paraId="3E0D8316">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57.2 </w:t>
                  </w:r>
                </w:p>
              </w:tc>
              <w:tc>
                <w:tcPr>
                  <w:tcW w:w="235" w:type="pct"/>
                  <w:vMerge w:val="continue"/>
                  <w:noWrap w:val="0"/>
                  <w:vAlign w:val="center"/>
                </w:tcPr>
                <w:p w14:paraId="49FFC3D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2C7A1C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C58765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31.2 </w:t>
                  </w:r>
                </w:p>
              </w:tc>
              <w:tc>
                <w:tcPr>
                  <w:tcW w:w="355" w:type="pct"/>
                  <w:vMerge w:val="continue"/>
                  <w:noWrap w:val="0"/>
                  <w:vAlign w:val="center"/>
                </w:tcPr>
                <w:p w14:paraId="2AF0CCB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7CC7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2DBF34F2">
                  <w:pPr>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10</w:t>
                  </w:r>
                </w:p>
              </w:tc>
              <w:tc>
                <w:tcPr>
                  <w:tcW w:w="467" w:type="pct"/>
                  <w:vMerge w:val="restart"/>
                  <w:noWrap w:val="0"/>
                  <w:vAlign w:val="center"/>
                </w:tcPr>
                <w:p w14:paraId="63F979BE">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数控珩磨机</w:t>
                  </w:r>
                </w:p>
              </w:tc>
              <w:tc>
                <w:tcPr>
                  <w:tcW w:w="195" w:type="pct"/>
                  <w:vMerge w:val="restart"/>
                  <w:noWrap w:val="0"/>
                  <w:vAlign w:val="center"/>
                </w:tcPr>
                <w:p w14:paraId="41EFE7B8">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62236FF8">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6CEA7C7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4BBD5739">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03" w:type="pct"/>
                  <w:vMerge w:val="restart"/>
                  <w:noWrap w:val="0"/>
                  <w:vAlign w:val="center"/>
                </w:tcPr>
                <w:p w14:paraId="367230EA">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286" w:type="pct"/>
                  <w:vMerge w:val="restart"/>
                  <w:noWrap w:val="0"/>
                  <w:vAlign w:val="center"/>
                </w:tcPr>
                <w:p w14:paraId="1E91F558">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1</w:t>
                  </w:r>
                </w:p>
              </w:tc>
              <w:tc>
                <w:tcPr>
                  <w:tcW w:w="235" w:type="pct"/>
                  <w:noWrap w:val="0"/>
                  <w:vAlign w:val="center"/>
                </w:tcPr>
                <w:p w14:paraId="4920642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tcBorders>
                    <w:bottom w:val="single" w:color="auto" w:sz="4" w:space="0"/>
                  </w:tcBorders>
                  <w:noWrap w:val="0"/>
                  <w:vAlign w:val="center"/>
                </w:tcPr>
                <w:p w14:paraId="3BE89C0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30</w:t>
                  </w:r>
                </w:p>
              </w:tc>
              <w:tc>
                <w:tcPr>
                  <w:tcW w:w="350" w:type="pct"/>
                  <w:tcBorders>
                    <w:bottom w:val="single" w:color="auto" w:sz="4" w:space="0"/>
                  </w:tcBorders>
                  <w:noWrap w:val="0"/>
                  <w:vAlign w:val="center"/>
                </w:tcPr>
                <w:p w14:paraId="0E545AA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58.9 </w:t>
                  </w:r>
                </w:p>
              </w:tc>
              <w:tc>
                <w:tcPr>
                  <w:tcW w:w="235" w:type="pct"/>
                  <w:vMerge w:val="continue"/>
                  <w:noWrap w:val="0"/>
                  <w:vAlign w:val="center"/>
                </w:tcPr>
                <w:p w14:paraId="269D8AC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7F5F1B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08A878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32.9 </w:t>
                  </w:r>
                </w:p>
              </w:tc>
              <w:tc>
                <w:tcPr>
                  <w:tcW w:w="355" w:type="pct"/>
                  <w:vMerge w:val="continue"/>
                  <w:noWrap w:val="0"/>
                  <w:vAlign w:val="center"/>
                </w:tcPr>
                <w:p w14:paraId="2C0B5CA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1052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12F33A11">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C2DAC88">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B8034E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77B62A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79C231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9A6AEB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55E78F9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724357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6AC0DC64">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tcBorders>
                    <w:bottom w:val="single" w:color="auto" w:sz="4" w:space="0"/>
                  </w:tcBorders>
                  <w:noWrap w:val="0"/>
                  <w:vAlign w:val="center"/>
                </w:tcPr>
                <w:p w14:paraId="5492BA5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tcBorders>
                    <w:bottom w:val="single" w:color="auto" w:sz="4" w:space="0"/>
                  </w:tcBorders>
                  <w:noWrap w:val="0"/>
                  <w:vAlign w:val="center"/>
                </w:tcPr>
                <w:p w14:paraId="4973B96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60.2 </w:t>
                  </w:r>
                </w:p>
              </w:tc>
              <w:tc>
                <w:tcPr>
                  <w:tcW w:w="235" w:type="pct"/>
                  <w:vMerge w:val="continue"/>
                  <w:noWrap w:val="0"/>
                  <w:vAlign w:val="center"/>
                </w:tcPr>
                <w:p w14:paraId="185BC4F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12220A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B870AD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34.2 </w:t>
                  </w:r>
                </w:p>
              </w:tc>
              <w:tc>
                <w:tcPr>
                  <w:tcW w:w="355" w:type="pct"/>
                  <w:vMerge w:val="continue"/>
                  <w:noWrap w:val="0"/>
                  <w:vAlign w:val="center"/>
                </w:tcPr>
                <w:p w14:paraId="4B087DBD">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2F94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69BB868E">
                  <w:pPr>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EB8D48E">
                  <w:pPr>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2C7C792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30F0D18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151B68A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414F9BD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7D8660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4AC0E4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296CDE26">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tcBorders>
                    <w:bottom w:val="single" w:color="auto" w:sz="4" w:space="0"/>
                  </w:tcBorders>
                  <w:noWrap w:val="0"/>
                  <w:vAlign w:val="center"/>
                </w:tcPr>
                <w:p w14:paraId="1001988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23.9</w:t>
                  </w:r>
                </w:p>
              </w:tc>
              <w:tc>
                <w:tcPr>
                  <w:tcW w:w="350" w:type="pct"/>
                  <w:tcBorders>
                    <w:bottom w:val="single" w:color="auto" w:sz="4" w:space="0"/>
                  </w:tcBorders>
                  <w:noWrap w:val="0"/>
                  <w:vAlign w:val="center"/>
                </w:tcPr>
                <w:p w14:paraId="651A1CC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59.2 </w:t>
                  </w:r>
                </w:p>
              </w:tc>
              <w:tc>
                <w:tcPr>
                  <w:tcW w:w="235" w:type="pct"/>
                  <w:vMerge w:val="continue"/>
                  <w:noWrap w:val="0"/>
                  <w:vAlign w:val="center"/>
                </w:tcPr>
                <w:p w14:paraId="65D7E69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4F1680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1A8A615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33.2 </w:t>
                  </w:r>
                </w:p>
              </w:tc>
              <w:tc>
                <w:tcPr>
                  <w:tcW w:w="355" w:type="pct"/>
                  <w:vMerge w:val="continue"/>
                  <w:noWrap w:val="0"/>
                  <w:vAlign w:val="center"/>
                </w:tcPr>
                <w:p w14:paraId="029EE925">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A5C03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tcBorders>
                    <w:bottom w:val="single" w:color="auto" w:sz="4" w:space="0"/>
                  </w:tcBorders>
                  <w:noWrap w:val="0"/>
                  <w:vAlign w:val="center"/>
                </w:tcPr>
                <w:p w14:paraId="67165AD4">
                  <w:pPr>
                    <w:jc w:val="center"/>
                    <w:rPr>
                      <w:rFonts w:hint="default" w:ascii="Times New Roman" w:hAnsi="Times New Roman" w:eastAsia="仿宋" w:cs="Times New Roman"/>
                      <w:color w:val="000000"/>
                      <w:sz w:val="18"/>
                      <w:szCs w:val="18"/>
                    </w:rPr>
                  </w:pPr>
                </w:p>
              </w:tc>
              <w:tc>
                <w:tcPr>
                  <w:tcW w:w="467" w:type="pct"/>
                  <w:vMerge w:val="continue"/>
                  <w:tcBorders>
                    <w:bottom w:val="single" w:color="auto" w:sz="4" w:space="0"/>
                  </w:tcBorders>
                  <w:noWrap w:val="0"/>
                  <w:vAlign w:val="center"/>
                </w:tcPr>
                <w:p w14:paraId="52BB4256">
                  <w:pPr>
                    <w:jc w:val="center"/>
                    <w:rPr>
                      <w:rFonts w:hint="default" w:ascii="Times New Roman" w:hAnsi="Times New Roman" w:eastAsia="仿宋" w:cs="Times New Roman"/>
                      <w:color w:val="000000"/>
                      <w:sz w:val="18"/>
                      <w:szCs w:val="18"/>
                    </w:rPr>
                  </w:pPr>
                </w:p>
              </w:tc>
              <w:tc>
                <w:tcPr>
                  <w:tcW w:w="195" w:type="pct"/>
                  <w:vMerge w:val="continue"/>
                  <w:tcBorders>
                    <w:bottom w:val="single" w:color="auto" w:sz="4" w:space="0"/>
                  </w:tcBorders>
                  <w:noWrap w:val="0"/>
                  <w:vAlign w:val="center"/>
                </w:tcPr>
                <w:p w14:paraId="5E690A3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tcBorders>
                    <w:bottom w:val="single" w:color="auto" w:sz="4" w:space="0"/>
                  </w:tcBorders>
                  <w:noWrap w:val="0"/>
                  <w:vAlign w:val="center"/>
                </w:tcPr>
                <w:p w14:paraId="65A5421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0366E9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92CF09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252045E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7FA898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DD5D77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tcBorders>
                    <w:bottom w:val="single" w:color="auto" w:sz="4" w:space="0"/>
                  </w:tcBorders>
                  <w:noWrap w:val="0"/>
                  <w:vAlign w:val="center"/>
                </w:tcPr>
                <w:p w14:paraId="23A6522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tcBorders>
                    <w:bottom w:val="single" w:color="auto" w:sz="4" w:space="0"/>
                  </w:tcBorders>
                  <w:noWrap w:val="0"/>
                  <w:vAlign w:val="center"/>
                </w:tcPr>
                <w:p w14:paraId="641DF83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68.9 </w:t>
                  </w:r>
                </w:p>
              </w:tc>
              <w:tc>
                <w:tcPr>
                  <w:tcW w:w="235" w:type="pct"/>
                  <w:vMerge w:val="continue"/>
                  <w:noWrap w:val="0"/>
                  <w:vAlign w:val="center"/>
                </w:tcPr>
                <w:p w14:paraId="645D2EF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06B6FE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21B138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42.9 </w:t>
                  </w:r>
                </w:p>
              </w:tc>
              <w:tc>
                <w:tcPr>
                  <w:tcW w:w="355" w:type="pct"/>
                  <w:vMerge w:val="continue"/>
                  <w:noWrap w:val="0"/>
                  <w:vAlign w:val="center"/>
                </w:tcPr>
                <w:p w14:paraId="511804D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02A0A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604FC208">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11</w:t>
                  </w:r>
                </w:p>
              </w:tc>
              <w:tc>
                <w:tcPr>
                  <w:tcW w:w="467" w:type="pct"/>
                  <w:vMerge w:val="restart"/>
                  <w:noWrap w:val="0"/>
                  <w:vAlign w:val="center"/>
                </w:tcPr>
                <w:p w14:paraId="32D8A6C5">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自动锁螺丝机</w:t>
                  </w:r>
                </w:p>
              </w:tc>
              <w:tc>
                <w:tcPr>
                  <w:tcW w:w="195" w:type="pct"/>
                  <w:vMerge w:val="restart"/>
                  <w:noWrap w:val="0"/>
                  <w:vAlign w:val="center"/>
                </w:tcPr>
                <w:p w14:paraId="43EB7578">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2A8E1CC6">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75</w:t>
                  </w:r>
                </w:p>
              </w:tc>
              <w:tc>
                <w:tcPr>
                  <w:tcW w:w="313" w:type="pct"/>
                  <w:vMerge w:val="continue"/>
                  <w:noWrap w:val="0"/>
                  <w:vAlign w:val="center"/>
                </w:tcPr>
                <w:p w14:paraId="293002E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55814742">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03" w:type="pct"/>
                  <w:vMerge w:val="restart"/>
                  <w:noWrap w:val="0"/>
                  <w:vAlign w:val="center"/>
                </w:tcPr>
                <w:p w14:paraId="38B6EBF3">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8</w:t>
                  </w:r>
                </w:p>
              </w:tc>
              <w:tc>
                <w:tcPr>
                  <w:tcW w:w="286" w:type="pct"/>
                  <w:vMerge w:val="restart"/>
                  <w:noWrap w:val="0"/>
                  <w:vAlign w:val="center"/>
                </w:tcPr>
                <w:p w14:paraId="467F7147">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3BDF0F6D">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tcBorders>
                    <w:bottom w:val="single" w:color="auto" w:sz="4" w:space="0"/>
                  </w:tcBorders>
                  <w:noWrap w:val="0"/>
                  <w:vAlign w:val="center"/>
                </w:tcPr>
                <w:p w14:paraId="2ED1B7A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tcBorders>
                    <w:bottom w:val="single" w:color="auto" w:sz="4" w:space="0"/>
                  </w:tcBorders>
                  <w:noWrap w:val="0"/>
                  <w:vAlign w:val="center"/>
                </w:tcPr>
                <w:p w14:paraId="5BD5244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57.1 </w:t>
                  </w:r>
                </w:p>
              </w:tc>
              <w:tc>
                <w:tcPr>
                  <w:tcW w:w="235" w:type="pct"/>
                  <w:vMerge w:val="continue"/>
                  <w:noWrap w:val="0"/>
                  <w:vAlign w:val="center"/>
                </w:tcPr>
                <w:p w14:paraId="36726F4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B5D9B3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C4353B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31.1 </w:t>
                  </w:r>
                </w:p>
              </w:tc>
              <w:tc>
                <w:tcPr>
                  <w:tcW w:w="355" w:type="pct"/>
                  <w:vMerge w:val="continue"/>
                  <w:noWrap w:val="0"/>
                  <w:vAlign w:val="center"/>
                </w:tcPr>
                <w:p w14:paraId="46DCB833">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B55C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0D37FE2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96D006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04BB9D8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8C5EC6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5A510E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62F441F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6F2A4A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06DAC15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27FB25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tcBorders>
                    <w:bottom w:val="single" w:color="auto" w:sz="4" w:space="0"/>
                  </w:tcBorders>
                  <w:noWrap w:val="0"/>
                  <w:vAlign w:val="center"/>
                </w:tcPr>
                <w:p w14:paraId="6C4E3FF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8</w:t>
                  </w:r>
                </w:p>
              </w:tc>
              <w:tc>
                <w:tcPr>
                  <w:tcW w:w="350" w:type="pct"/>
                  <w:tcBorders>
                    <w:bottom w:val="single" w:color="auto" w:sz="4" w:space="0"/>
                  </w:tcBorders>
                  <w:noWrap w:val="0"/>
                  <w:vAlign w:val="center"/>
                </w:tcPr>
                <w:p w14:paraId="2D97F0A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60.3 </w:t>
                  </w:r>
                </w:p>
              </w:tc>
              <w:tc>
                <w:tcPr>
                  <w:tcW w:w="235" w:type="pct"/>
                  <w:vMerge w:val="continue"/>
                  <w:noWrap w:val="0"/>
                  <w:vAlign w:val="center"/>
                </w:tcPr>
                <w:p w14:paraId="6C7DC55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785737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C1960C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34.3 </w:t>
                  </w:r>
                </w:p>
              </w:tc>
              <w:tc>
                <w:tcPr>
                  <w:tcW w:w="355" w:type="pct"/>
                  <w:vMerge w:val="continue"/>
                  <w:noWrap w:val="0"/>
                  <w:vAlign w:val="center"/>
                </w:tcPr>
                <w:p w14:paraId="6484DFC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6F08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82EDDF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DD4A0B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1E0711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B53FA5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53D5A9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30819E1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246A806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22851E0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D5017E9">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tcBorders>
                    <w:bottom w:val="single" w:color="auto" w:sz="4" w:space="0"/>
                  </w:tcBorders>
                  <w:noWrap w:val="0"/>
                  <w:vAlign w:val="center"/>
                </w:tcPr>
                <w:p w14:paraId="57D7A7B8">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50" w:type="pct"/>
                  <w:tcBorders>
                    <w:bottom w:val="single" w:color="auto" w:sz="4" w:space="0"/>
                  </w:tcBorders>
                  <w:noWrap w:val="0"/>
                  <w:vAlign w:val="center"/>
                </w:tcPr>
                <w:p w14:paraId="6147280D">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57.0 </w:t>
                  </w:r>
                </w:p>
              </w:tc>
              <w:tc>
                <w:tcPr>
                  <w:tcW w:w="235" w:type="pct"/>
                  <w:vMerge w:val="continue"/>
                  <w:noWrap w:val="0"/>
                  <w:vAlign w:val="center"/>
                </w:tcPr>
                <w:p w14:paraId="74A246F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435894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62F5A0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31.0 </w:t>
                  </w:r>
                </w:p>
              </w:tc>
              <w:tc>
                <w:tcPr>
                  <w:tcW w:w="355" w:type="pct"/>
                  <w:vMerge w:val="continue"/>
                  <w:noWrap w:val="0"/>
                  <w:vAlign w:val="center"/>
                </w:tcPr>
                <w:p w14:paraId="6A154B89">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B2C6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tcBorders>
                    <w:bottom w:val="single" w:color="auto" w:sz="4" w:space="0"/>
                  </w:tcBorders>
                  <w:noWrap w:val="0"/>
                  <w:vAlign w:val="center"/>
                </w:tcPr>
                <w:p w14:paraId="5618EC0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tcBorders>
                    <w:bottom w:val="single" w:color="auto" w:sz="4" w:space="0"/>
                  </w:tcBorders>
                  <w:noWrap w:val="0"/>
                  <w:vAlign w:val="center"/>
                </w:tcPr>
                <w:p w14:paraId="7938398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tcBorders>
                    <w:bottom w:val="single" w:color="auto" w:sz="4" w:space="0"/>
                  </w:tcBorders>
                  <w:noWrap w:val="0"/>
                  <w:vAlign w:val="center"/>
                </w:tcPr>
                <w:p w14:paraId="29E46E1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tcBorders>
                    <w:bottom w:val="single" w:color="auto" w:sz="4" w:space="0"/>
                  </w:tcBorders>
                  <w:noWrap w:val="0"/>
                  <w:vAlign w:val="center"/>
                </w:tcPr>
                <w:p w14:paraId="4555AD4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2D929D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tcBorders>
                    <w:bottom w:val="single" w:color="auto" w:sz="4" w:space="0"/>
                  </w:tcBorders>
                  <w:noWrap w:val="0"/>
                  <w:vAlign w:val="center"/>
                </w:tcPr>
                <w:p w14:paraId="6E9DBC1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tcBorders>
                    <w:bottom w:val="single" w:color="auto" w:sz="4" w:space="0"/>
                  </w:tcBorders>
                  <w:noWrap w:val="0"/>
                  <w:vAlign w:val="center"/>
                </w:tcPr>
                <w:p w14:paraId="2EEDE5B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tcBorders>
                    <w:bottom w:val="single" w:color="auto" w:sz="4" w:space="0"/>
                  </w:tcBorders>
                  <w:noWrap w:val="0"/>
                  <w:vAlign w:val="center"/>
                </w:tcPr>
                <w:p w14:paraId="35CCCFC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6467908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tcBorders>
                    <w:bottom w:val="single" w:color="auto" w:sz="4" w:space="0"/>
                  </w:tcBorders>
                  <w:noWrap w:val="0"/>
                  <w:vAlign w:val="center"/>
                </w:tcPr>
                <w:p w14:paraId="23848FF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9</w:t>
                  </w:r>
                </w:p>
              </w:tc>
              <w:tc>
                <w:tcPr>
                  <w:tcW w:w="350" w:type="pct"/>
                  <w:tcBorders>
                    <w:bottom w:val="single" w:color="auto" w:sz="4" w:space="0"/>
                  </w:tcBorders>
                  <w:noWrap w:val="0"/>
                  <w:vAlign w:val="center"/>
                </w:tcPr>
                <w:p w14:paraId="137206CF">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59.8 </w:t>
                  </w:r>
                </w:p>
              </w:tc>
              <w:tc>
                <w:tcPr>
                  <w:tcW w:w="235" w:type="pct"/>
                  <w:vMerge w:val="continue"/>
                  <w:noWrap w:val="0"/>
                  <w:vAlign w:val="center"/>
                </w:tcPr>
                <w:p w14:paraId="22B69FE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7CF7254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8AB516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33.8 </w:t>
                  </w:r>
                </w:p>
              </w:tc>
              <w:tc>
                <w:tcPr>
                  <w:tcW w:w="355" w:type="pct"/>
                  <w:vMerge w:val="continue"/>
                  <w:noWrap w:val="0"/>
                  <w:vAlign w:val="center"/>
                </w:tcPr>
                <w:p w14:paraId="1783F73F">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91A27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019310A1">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12</w:t>
                  </w:r>
                </w:p>
              </w:tc>
              <w:tc>
                <w:tcPr>
                  <w:tcW w:w="467" w:type="pct"/>
                  <w:vMerge w:val="restart"/>
                  <w:noWrap w:val="0"/>
                  <w:vAlign w:val="center"/>
                </w:tcPr>
                <w:p w14:paraId="2B52ECCE">
                  <w:pPr>
                    <w:keepNext w:val="0"/>
                    <w:keepLines w:val="0"/>
                    <w:widowControl/>
                    <w:suppressLineNumbers w:val="0"/>
                    <w:jc w:val="center"/>
                    <w:textAlignment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四工位绕线机</w:t>
                  </w:r>
                </w:p>
              </w:tc>
              <w:tc>
                <w:tcPr>
                  <w:tcW w:w="195" w:type="pct"/>
                  <w:vMerge w:val="restart"/>
                  <w:noWrap w:val="0"/>
                  <w:vAlign w:val="center"/>
                </w:tcPr>
                <w:p w14:paraId="7541A546">
                  <w:pPr>
                    <w:adjustRightInd w:val="0"/>
                    <w:snapToGrid w:val="0"/>
                    <w:jc w:val="center"/>
                    <w:rPr>
                      <w:rFonts w:hint="default" w:ascii="Times New Roman" w:hAnsi="Times New Roman" w:eastAsia="仿宋" w:cs="Times New Roman"/>
                      <w:bCs/>
                      <w:color w:val="auto"/>
                      <w:kern w:val="2"/>
                      <w:sz w:val="18"/>
                      <w:szCs w:val="18"/>
                      <w:lang w:val="en-US" w:eastAsia="zh-CN" w:bidi="ar-SA"/>
                    </w:rPr>
                  </w:pPr>
                  <w:r>
                    <w:rPr>
                      <w:rFonts w:hint="default" w:ascii="Times New Roman" w:hAnsi="Times New Roman" w:eastAsia="仿宋" w:cs="Times New Roman"/>
                      <w:bCs/>
                      <w:color w:val="auto"/>
                      <w:sz w:val="18"/>
                      <w:szCs w:val="18"/>
                      <w:lang w:val="en-US" w:eastAsia="zh-CN"/>
                    </w:rPr>
                    <w:t>2</w:t>
                  </w:r>
                </w:p>
              </w:tc>
              <w:tc>
                <w:tcPr>
                  <w:tcW w:w="568" w:type="pct"/>
                  <w:vMerge w:val="restart"/>
                  <w:noWrap w:val="0"/>
                  <w:vAlign w:val="center"/>
                </w:tcPr>
                <w:p w14:paraId="2C85CA25">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77</w:t>
                  </w:r>
                </w:p>
              </w:tc>
              <w:tc>
                <w:tcPr>
                  <w:tcW w:w="313" w:type="pct"/>
                  <w:vMerge w:val="continue"/>
                  <w:noWrap w:val="0"/>
                  <w:vAlign w:val="center"/>
                </w:tcPr>
                <w:p w14:paraId="4465935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1C226999">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03" w:type="pct"/>
                  <w:vMerge w:val="restart"/>
                  <w:noWrap w:val="0"/>
                  <w:vAlign w:val="center"/>
                </w:tcPr>
                <w:p w14:paraId="10407E8E">
                  <w:pPr>
                    <w:pStyle w:val="22"/>
                    <w:spacing w:before="0" w:after="0"/>
                    <w:ind w:right="0" w:rightChars="0" w:firstLine="0" w:firstLineChars="0"/>
                    <w:jc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286" w:type="pct"/>
                  <w:vMerge w:val="restart"/>
                  <w:noWrap w:val="0"/>
                  <w:vAlign w:val="center"/>
                </w:tcPr>
                <w:p w14:paraId="762AE7FD">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56A64397">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7463E11F">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25</w:t>
                  </w:r>
                </w:p>
              </w:tc>
              <w:tc>
                <w:tcPr>
                  <w:tcW w:w="350" w:type="pct"/>
                  <w:noWrap w:val="0"/>
                  <w:vAlign w:val="center"/>
                </w:tcPr>
                <w:p w14:paraId="0DF6BC3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59.1 </w:t>
                  </w:r>
                </w:p>
              </w:tc>
              <w:tc>
                <w:tcPr>
                  <w:tcW w:w="235" w:type="pct"/>
                  <w:vMerge w:val="continue"/>
                  <w:noWrap w:val="0"/>
                  <w:vAlign w:val="center"/>
                </w:tcPr>
                <w:p w14:paraId="5E90C56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4D689E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10430EA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33.1 </w:t>
                  </w:r>
                </w:p>
              </w:tc>
              <w:tc>
                <w:tcPr>
                  <w:tcW w:w="355" w:type="pct"/>
                  <w:vMerge w:val="continue"/>
                  <w:noWrap w:val="0"/>
                  <w:vAlign w:val="center"/>
                </w:tcPr>
                <w:p w14:paraId="798DC1D1">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2CA3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65C310E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0439D70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EE53F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FC0DB4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89D639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5A83F79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6915BC0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17F859C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4AC60EA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773227B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3</w:t>
                  </w:r>
                </w:p>
              </w:tc>
              <w:tc>
                <w:tcPr>
                  <w:tcW w:w="350" w:type="pct"/>
                  <w:noWrap w:val="0"/>
                  <w:vAlign w:val="center"/>
                </w:tcPr>
                <w:p w14:paraId="61DC883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68.9 </w:t>
                  </w:r>
                </w:p>
              </w:tc>
              <w:tc>
                <w:tcPr>
                  <w:tcW w:w="235" w:type="pct"/>
                  <w:vMerge w:val="continue"/>
                  <w:noWrap w:val="0"/>
                  <w:vAlign w:val="center"/>
                </w:tcPr>
                <w:p w14:paraId="1362F98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7BF088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FEF115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42.9 </w:t>
                  </w:r>
                </w:p>
              </w:tc>
              <w:tc>
                <w:tcPr>
                  <w:tcW w:w="355" w:type="pct"/>
                  <w:vMerge w:val="continue"/>
                  <w:noWrap w:val="0"/>
                  <w:vAlign w:val="center"/>
                </w:tcPr>
                <w:p w14:paraId="3DA33AD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05C92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1177C68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14CA5C7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3BA064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56D4EF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D08271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49C9754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6E20C8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B0CBB1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F2565E8">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38989FF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28.9</w:t>
                  </w:r>
                </w:p>
              </w:tc>
              <w:tc>
                <w:tcPr>
                  <w:tcW w:w="350" w:type="pct"/>
                  <w:noWrap w:val="0"/>
                  <w:vAlign w:val="center"/>
                </w:tcPr>
                <w:p w14:paraId="552BBFD5">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59.0 </w:t>
                  </w:r>
                </w:p>
              </w:tc>
              <w:tc>
                <w:tcPr>
                  <w:tcW w:w="235" w:type="pct"/>
                  <w:vMerge w:val="continue"/>
                  <w:noWrap w:val="0"/>
                  <w:vAlign w:val="center"/>
                </w:tcPr>
                <w:p w14:paraId="19FF7C1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BF52D4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96F0A9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33.0 </w:t>
                  </w:r>
                </w:p>
              </w:tc>
              <w:tc>
                <w:tcPr>
                  <w:tcW w:w="355" w:type="pct"/>
                  <w:vMerge w:val="continue"/>
                  <w:noWrap w:val="0"/>
                  <w:vAlign w:val="center"/>
                </w:tcPr>
                <w:p w14:paraId="6DC6120F">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00CB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736DF4A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2550C53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4AAB080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38B7E59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4FAEF1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10D4199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C16F64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126CFAC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9A1239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3FC80E5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bidi="ar-SA"/>
                    </w:rPr>
                  </w:pPr>
                  <w:r>
                    <w:rPr>
                      <w:rFonts w:hint="default" w:ascii="Times New Roman" w:hAnsi="Times New Roman" w:eastAsia="仿宋" w:cs="Times New Roman"/>
                      <w:i w:val="0"/>
                      <w:iCs w:val="0"/>
                      <w:color w:val="000000"/>
                      <w:kern w:val="0"/>
                      <w:sz w:val="18"/>
                      <w:szCs w:val="18"/>
                      <w:u w:val="none"/>
                      <w:lang w:val="en-US" w:eastAsia="zh-CN" w:bidi="ar"/>
                    </w:rPr>
                    <w:t>14</w:t>
                  </w:r>
                </w:p>
              </w:tc>
              <w:tc>
                <w:tcPr>
                  <w:tcW w:w="350" w:type="pct"/>
                  <w:noWrap w:val="0"/>
                  <w:vAlign w:val="center"/>
                </w:tcPr>
                <w:p w14:paraId="2F52BDE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60.2 </w:t>
                  </w:r>
                </w:p>
              </w:tc>
              <w:tc>
                <w:tcPr>
                  <w:tcW w:w="235" w:type="pct"/>
                  <w:vMerge w:val="continue"/>
                  <w:noWrap w:val="0"/>
                  <w:vAlign w:val="center"/>
                </w:tcPr>
                <w:p w14:paraId="7917D0E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9378DC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766ADC5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34.2 </w:t>
                  </w:r>
                </w:p>
              </w:tc>
              <w:tc>
                <w:tcPr>
                  <w:tcW w:w="355" w:type="pct"/>
                  <w:vMerge w:val="continue"/>
                  <w:noWrap w:val="0"/>
                  <w:vAlign w:val="center"/>
                </w:tcPr>
                <w:p w14:paraId="66E3BC0B">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02F01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 w:type="pct"/>
                  <w:vMerge w:val="restart"/>
                  <w:noWrap w:val="0"/>
                  <w:vAlign w:val="center"/>
                </w:tcPr>
                <w:p w14:paraId="6F845B24">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13</w:t>
                  </w:r>
                </w:p>
              </w:tc>
              <w:tc>
                <w:tcPr>
                  <w:tcW w:w="467" w:type="pct"/>
                  <w:vMerge w:val="restart"/>
                  <w:noWrap w:val="0"/>
                  <w:vAlign w:val="center"/>
                </w:tcPr>
                <w:p w14:paraId="2B54C518">
                  <w:pPr>
                    <w:keepNext w:val="0"/>
                    <w:keepLines w:val="0"/>
                    <w:widowControl/>
                    <w:suppressLineNumbers w:val="0"/>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电机组装测试生产线</w:t>
                  </w:r>
                </w:p>
              </w:tc>
              <w:tc>
                <w:tcPr>
                  <w:tcW w:w="195" w:type="pct"/>
                  <w:vMerge w:val="restart"/>
                  <w:noWrap w:val="0"/>
                  <w:vAlign w:val="center"/>
                </w:tcPr>
                <w:p w14:paraId="632418F5">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w:t>
                  </w:r>
                </w:p>
              </w:tc>
              <w:tc>
                <w:tcPr>
                  <w:tcW w:w="568" w:type="pct"/>
                  <w:vMerge w:val="restart"/>
                  <w:noWrap w:val="0"/>
                  <w:vAlign w:val="center"/>
                </w:tcPr>
                <w:p w14:paraId="7D6FB09C">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75</w:t>
                  </w:r>
                </w:p>
              </w:tc>
              <w:tc>
                <w:tcPr>
                  <w:tcW w:w="313" w:type="pct"/>
                  <w:vMerge w:val="continue"/>
                  <w:noWrap w:val="0"/>
                  <w:vAlign w:val="center"/>
                </w:tcPr>
                <w:p w14:paraId="6691430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690E61F5">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33.9</w:t>
                  </w:r>
                </w:p>
              </w:tc>
              <w:tc>
                <w:tcPr>
                  <w:tcW w:w="303" w:type="pct"/>
                  <w:vMerge w:val="restart"/>
                  <w:noWrap w:val="0"/>
                  <w:vAlign w:val="center"/>
                </w:tcPr>
                <w:p w14:paraId="53C8E62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286" w:type="pct"/>
                  <w:vMerge w:val="restart"/>
                  <w:noWrap w:val="0"/>
                  <w:vAlign w:val="center"/>
                </w:tcPr>
                <w:p w14:paraId="1456255C">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4.5</w:t>
                  </w:r>
                </w:p>
              </w:tc>
              <w:tc>
                <w:tcPr>
                  <w:tcW w:w="235" w:type="pct"/>
                  <w:noWrap w:val="0"/>
                  <w:vAlign w:val="center"/>
                </w:tcPr>
                <w:p w14:paraId="620943EA">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4FB1A00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20</w:t>
                  </w:r>
                </w:p>
              </w:tc>
              <w:tc>
                <w:tcPr>
                  <w:tcW w:w="350" w:type="pct"/>
                  <w:noWrap w:val="0"/>
                  <w:vAlign w:val="center"/>
                </w:tcPr>
                <w:p w14:paraId="403473F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54.4 </w:t>
                  </w:r>
                </w:p>
              </w:tc>
              <w:tc>
                <w:tcPr>
                  <w:tcW w:w="235" w:type="pct"/>
                  <w:vMerge w:val="continue"/>
                  <w:noWrap w:val="0"/>
                  <w:vAlign w:val="center"/>
                </w:tcPr>
                <w:p w14:paraId="06E38D1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9D60F9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9D4B8E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28.4 </w:t>
                  </w:r>
                </w:p>
              </w:tc>
              <w:tc>
                <w:tcPr>
                  <w:tcW w:w="355" w:type="pct"/>
                  <w:vMerge w:val="continue"/>
                  <w:noWrap w:val="0"/>
                  <w:vAlign w:val="center"/>
                </w:tcPr>
                <w:p w14:paraId="01CCFCCD">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6D08C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62069D0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4F96B0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2BAB40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6715A5E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122A7C5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3CCE440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6B56A8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6A08152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5769E2DE">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3C1C3BD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10</w:t>
                  </w:r>
                </w:p>
              </w:tc>
              <w:tc>
                <w:tcPr>
                  <w:tcW w:w="350" w:type="pct"/>
                  <w:noWrap w:val="0"/>
                  <w:vAlign w:val="center"/>
                </w:tcPr>
                <w:p w14:paraId="6B23879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56.3 </w:t>
                  </w:r>
                </w:p>
              </w:tc>
              <w:tc>
                <w:tcPr>
                  <w:tcW w:w="235" w:type="pct"/>
                  <w:vMerge w:val="continue"/>
                  <w:noWrap w:val="0"/>
                  <w:vAlign w:val="center"/>
                </w:tcPr>
                <w:p w14:paraId="4EFF5BD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00BD732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4106C9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30.3 </w:t>
                  </w:r>
                </w:p>
              </w:tc>
              <w:tc>
                <w:tcPr>
                  <w:tcW w:w="355" w:type="pct"/>
                  <w:vMerge w:val="continue"/>
                  <w:noWrap w:val="0"/>
                  <w:vAlign w:val="center"/>
                </w:tcPr>
                <w:p w14:paraId="6FA25D1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66D4C4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379A526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07F5A3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4ADACA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01B52C0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793640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BEF16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0015E6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1654CBD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646F14F6">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024D466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33.9</w:t>
                  </w:r>
                </w:p>
              </w:tc>
              <w:tc>
                <w:tcPr>
                  <w:tcW w:w="350" w:type="pct"/>
                  <w:noWrap w:val="0"/>
                  <w:vAlign w:val="center"/>
                </w:tcPr>
                <w:p w14:paraId="5D06A4BA">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53.9 </w:t>
                  </w:r>
                </w:p>
              </w:tc>
              <w:tc>
                <w:tcPr>
                  <w:tcW w:w="235" w:type="pct"/>
                  <w:vMerge w:val="continue"/>
                  <w:noWrap w:val="0"/>
                  <w:vAlign w:val="center"/>
                </w:tcPr>
                <w:p w14:paraId="54847AB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1F3043C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237880B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27.9 </w:t>
                  </w:r>
                </w:p>
              </w:tc>
              <w:tc>
                <w:tcPr>
                  <w:tcW w:w="355" w:type="pct"/>
                  <w:vMerge w:val="continue"/>
                  <w:noWrap w:val="0"/>
                  <w:vAlign w:val="center"/>
                </w:tcPr>
                <w:p w14:paraId="160E7BC4">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591A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6C0C95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6DB66ED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8ED17E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20B684C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552F43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3354B92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55638EF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4B6A12F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9D8C448">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06BA2A6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7</w:t>
                  </w:r>
                </w:p>
              </w:tc>
              <w:tc>
                <w:tcPr>
                  <w:tcW w:w="350" w:type="pct"/>
                  <w:noWrap w:val="0"/>
                  <w:vAlign w:val="center"/>
                </w:tcPr>
                <w:p w14:paraId="495AC665">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58.0 </w:t>
                  </w:r>
                </w:p>
              </w:tc>
              <w:tc>
                <w:tcPr>
                  <w:tcW w:w="235" w:type="pct"/>
                  <w:vMerge w:val="continue"/>
                  <w:noWrap w:val="0"/>
                  <w:vAlign w:val="center"/>
                </w:tcPr>
                <w:p w14:paraId="46B5954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36C4887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F19C9A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32.0 </w:t>
                  </w:r>
                </w:p>
              </w:tc>
              <w:tc>
                <w:tcPr>
                  <w:tcW w:w="355" w:type="pct"/>
                  <w:vMerge w:val="continue"/>
                  <w:noWrap w:val="0"/>
                  <w:vAlign w:val="center"/>
                </w:tcPr>
                <w:p w14:paraId="480D3EE9">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4C740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581AF549">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14</w:t>
                  </w:r>
                </w:p>
              </w:tc>
              <w:tc>
                <w:tcPr>
                  <w:tcW w:w="467" w:type="pct"/>
                  <w:vMerge w:val="restart"/>
                  <w:noWrap w:val="0"/>
                  <w:vAlign w:val="center"/>
                </w:tcPr>
                <w:p w14:paraId="4D63F630">
                  <w:pPr>
                    <w:keepNext w:val="0"/>
                    <w:keepLines w:val="0"/>
                    <w:widowControl/>
                    <w:suppressLineNumbers w:val="0"/>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四柱伺服压机</w:t>
                  </w:r>
                </w:p>
              </w:tc>
              <w:tc>
                <w:tcPr>
                  <w:tcW w:w="195" w:type="pct"/>
                  <w:vMerge w:val="restart"/>
                  <w:noWrap w:val="0"/>
                  <w:vAlign w:val="center"/>
                </w:tcPr>
                <w:p w14:paraId="4711F236">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w:t>
                  </w:r>
                </w:p>
              </w:tc>
              <w:tc>
                <w:tcPr>
                  <w:tcW w:w="568" w:type="pct"/>
                  <w:vMerge w:val="restart"/>
                  <w:noWrap w:val="0"/>
                  <w:vAlign w:val="center"/>
                </w:tcPr>
                <w:p w14:paraId="3C8BBD40">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80</w:t>
                  </w:r>
                </w:p>
              </w:tc>
              <w:tc>
                <w:tcPr>
                  <w:tcW w:w="313" w:type="pct"/>
                  <w:vMerge w:val="continue"/>
                  <w:noWrap w:val="0"/>
                  <w:vAlign w:val="center"/>
                </w:tcPr>
                <w:p w14:paraId="31C94E7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63BE38DE">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40.9</w:t>
                  </w:r>
                </w:p>
              </w:tc>
              <w:tc>
                <w:tcPr>
                  <w:tcW w:w="303" w:type="pct"/>
                  <w:vMerge w:val="restart"/>
                  <w:noWrap w:val="0"/>
                  <w:vAlign w:val="center"/>
                </w:tcPr>
                <w:p w14:paraId="4B655EF2">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12</w:t>
                  </w:r>
                </w:p>
              </w:tc>
              <w:tc>
                <w:tcPr>
                  <w:tcW w:w="286" w:type="pct"/>
                  <w:vMerge w:val="restart"/>
                  <w:noWrap w:val="0"/>
                  <w:vAlign w:val="center"/>
                </w:tcPr>
                <w:p w14:paraId="2DEAB495">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w:t>
                  </w:r>
                </w:p>
              </w:tc>
              <w:tc>
                <w:tcPr>
                  <w:tcW w:w="235" w:type="pct"/>
                  <w:noWrap w:val="0"/>
                  <w:vAlign w:val="center"/>
                </w:tcPr>
                <w:p w14:paraId="43213EB2">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36FC039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13</w:t>
                  </w:r>
                </w:p>
              </w:tc>
              <w:tc>
                <w:tcPr>
                  <w:tcW w:w="350" w:type="pct"/>
                  <w:noWrap w:val="0"/>
                  <w:vAlign w:val="center"/>
                </w:tcPr>
                <w:p w14:paraId="53C1C9E3">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60.4 </w:t>
                  </w:r>
                </w:p>
              </w:tc>
              <w:tc>
                <w:tcPr>
                  <w:tcW w:w="235" w:type="pct"/>
                  <w:vMerge w:val="continue"/>
                  <w:noWrap w:val="0"/>
                  <w:vAlign w:val="center"/>
                </w:tcPr>
                <w:p w14:paraId="01BFB80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32FA56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B5F97E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34.4 </w:t>
                  </w:r>
                </w:p>
              </w:tc>
              <w:tc>
                <w:tcPr>
                  <w:tcW w:w="355" w:type="pct"/>
                  <w:vMerge w:val="continue"/>
                  <w:noWrap w:val="0"/>
                  <w:vAlign w:val="center"/>
                </w:tcPr>
                <w:p w14:paraId="29C16AA4">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C5A5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B9D2D2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62485CE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67513D6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0920FAE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5E748FA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040ADCE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1096A97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5462BBD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36C59016">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47929F39">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12</w:t>
                  </w:r>
                </w:p>
              </w:tc>
              <w:tc>
                <w:tcPr>
                  <w:tcW w:w="350" w:type="pct"/>
                  <w:noWrap w:val="0"/>
                  <w:vAlign w:val="center"/>
                </w:tcPr>
                <w:p w14:paraId="20EB614C">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60.6 </w:t>
                  </w:r>
                </w:p>
              </w:tc>
              <w:tc>
                <w:tcPr>
                  <w:tcW w:w="235" w:type="pct"/>
                  <w:vMerge w:val="continue"/>
                  <w:noWrap w:val="0"/>
                  <w:vAlign w:val="center"/>
                </w:tcPr>
                <w:p w14:paraId="39712F1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DC0B05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323AF6F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34.6 </w:t>
                  </w:r>
                </w:p>
              </w:tc>
              <w:tc>
                <w:tcPr>
                  <w:tcW w:w="355" w:type="pct"/>
                  <w:vMerge w:val="continue"/>
                  <w:noWrap w:val="0"/>
                  <w:vAlign w:val="center"/>
                </w:tcPr>
                <w:p w14:paraId="28A884FC">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114907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2B4E943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5CFB362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E2AAE6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23F9AB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09CB28F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794F607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492C28B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70C9764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2572E98">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4508DE9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40.9</w:t>
                  </w:r>
                </w:p>
              </w:tc>
              <w:tc>
                <w:tcPr>
                  <w:tcW w:w="350" w:type="pct"/>
                  <w:noWrap w:val="0"/>
                  <w:vAlign w:val="center"/>
                </w:tcPr>
                <w:p w14:paraId="332D3B12">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58.8 </w:t>
                  </w:r>
                </w:p>
              </w:tc>
              <w:tc>
                <w:tcPr>
                  <w:tcW w:w="235" w:type="pct"/>
                  <w:vMerge w:val="continue"/>
                  <w:noWrap w:val="0"/>
                  <w:vAlign w:val="center"/>
                </w:tcPr>
                <w:p w14:paraId="346AD0D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61CB3A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09F761F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32.8 </w:t>
                  </w:r>
                </w:p>
              </w:tc>
              <w:tc>
                <w:tcPr>
                  <w:tcW w:w="355" w:type="pct"/>
                  <w:vMerge w:val="continue"/>
                  <w:noWrap w:val="0"/>
                  <w:vAlign w:val="center"/>
                </w:tcPr>
                <w:p w14:paraId="4C78B838">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73C3A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159CF34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4AB1B67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1A40566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F12E2C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4DE67F2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42F61F8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06F00B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5DFBE2E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567EE384">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64D06FB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5</w:t>
                  </w:r>
                </w:p>
              </w:tc>
              <w:tc>
                <w:tcPr>
                  <w:tcW w:w="350" w:type="pct"/>
                  <w:noWrap w:val="0"/>
                  <w:vAlign w:val="center"/>
                </w:tcPr>
                <w:p w14:paraId="50B210E9">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65.1 </w:t>
                  </w:r>
                </w:p>
              </w:tc>
              <w:tc>
                <w:tcPr>
                  <w:tcW w:w="235" w:type="pct"/>
                  <w:vMerge w:val="continue"/>
                  <w:noWrap w:val="0"/>
                  <w:vAlign w:val="center"/>
                </w:tcPr>
                <w:p w14:paraId="7F2D33F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5BDCD36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628DC7F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39.1 </w:t>
                  </w:r>
                </w:p>
              </w:tc>
              <w:tc>
                <w:tcPr>
                  <w:tcW w:w="355" w:type="pct"/>
                  <w:vMerge w:val="continue"/>
                  <w:noWrap w:val="0"/>
                  <w:vAlign w:val="center"/>
                </w:tcPr>
                <w:p w14:paraId="384C8FB3">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38DC9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restart"/>
                  <w:noWrap w:val="0"/>
                  <w:vAlign w:val="center"/>
                </w:tcPr>
                <w:p w14:paraId="156C345E">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15</w:t>
                  </w:r>
                </w:p>
              </w:tc>
              <w:tc>
                <w:tcPr>
                  <w:tcW w:w="467" w:type="pct"/>
                  <w:vMerge w:val="restart"/>
                  <w:noWrap w:val="0"/>
                  <w:vAlign w:val="center"/>
                </w:tcPr>
                <w:p w14:paraId="2D41173A">
                  <w:pPr>
                    <w:keepNext w:val="0"/>
                    <w:keepLines w:val="0"/>
                    <w:widowControl/>
                    <w:suppressLineNumbers w:val="0"/>
                    <w:jc w:val="center"/>
                    <w:textAlignment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变频螺杆空气压缩机</w:t>
                  </w:r>
                </w:p>
              </w:tc>
              <w:tc>
                <w:tcPr>
                  <w:tcW w:w="195" w:type="pct"/>
                  <w:vMerge w:val="restart"/>
                  <w:noWrap w:val="0"/>
                  <w:vAlign w:val="center"/>
                </w:tcPr>
                <w:p w14:paraId="2C1479AD">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w:t>
                  </w:r>
                </w:p>
              </w:tc>
              <w:tc>
                <w:tcPr>
                  <w:tcW w:w="568" w:type="pct"/>
                  <w:vMerge w:val="restart"/>
                  <w:noWrap w:val="0"/>
                  <w:vAlign w:val="center"/>
                </w:tcPr>
                <w:p w14:paraId="050469C5">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85</w:t>
                  </w:r>
                </w:p>
              </w:tc>
              <w:tc>
                <w:tcPr>
                  <w:tcW w:w="313" w:type="pct"/>
                  <w:vMerge w:val="continue"/>
                  <w:noWrap w:val="0"/>
                  <w:vAlign w:val="center"/>
                </w:tcPr>
                <w:p w14:paraId="79A6DDA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restart"/>
                  <w:noWrap w:val="0"/>
                  <w:vAlign w:val="center"/>
                </w:tcPr>
                <w:p w14:paraId="7D33BA30">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3.9</w:t>
                  </w:r>
                </w:p>
              </w:tc>
              <w:tc>
                <w:tcPr>
                  <w:tcW w:w="303" w:type="pct"/>
                  <w:vMerge w:val="restart"/>
                  <w:noWrap w:val="0"/>
                  <w:vAlign w:val="center"/>
                </w:tcPr>
                <w:p w14:paraId="30356DFA">
                  <w:pPr>
                    <w:pStyle w:val="22"/>
                    <w:spacing w:before="0" w:after="0"/>
                    <w:ind w:right="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286" w:type="pct"/>
                  <w:vMerge w:val="restart"/>
                  <w:noWrap w:val="0"/>
                  <w:vAlign w:val="center"/>
                </w:tcPr>
                <w:p w14:paraId="565878BB">
                  <w:pPr>
                    <w:pStyle w:val="22"/>
                    <w:spacing w:before="0" w:after="0"/>
                    <w:ind w:right="0" w:firstLine="0" w:firstLineChars="0"/>
                    <w:jc w:val="center"/>
                    <w:rPr>
                      <w:rFonts w:hint="default" w:ascii="Times New Roman" w:hAnsi="Times New Roman" w:eastAsia="仿宋" w:cs="Times New Roman"/>
                      <w:color w:val="000000"/>
                      <w:sz w:val="18"/>
                      <w:szCs w:val="18"/>
                      <w:lang w:val="en-US" w:eastAsia="zh-CN"/>
                    </w:rPr>
                  </w:pPr>
                  <w:r>
                    <w:rPr>
                      <w:rFonts w:hint="default" w:ascii="Times New Roman" w:hAnsi="Times New Roman" w:eastAsia="仿宋" w:cs="Times New Roman"/>
                      <w:color w:val="000000"/>
                      <w:sz w:val="18"/>
                      <w:szCs w:val="18"/>
                      <w:lang w:val="en-US" w:eastAsia="zh-CN"/>
                    </w:rPr>
                    <w:t>1</w:t>
                  </w:r>
                </w:p>
              </w:tc>
              <w:tc>
                <w:tcPr>
                  <w:tcW w:w="235" w:type="pct"/>
                  <w:noWrap w:val="0"/>
                  <w:vAlign w:val="center"/>
                </w:tcPr>
                <w:p w14:paraId="2C26F9CC">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东</w:t>
                  </w:r>
                </w:p>
              </w:tc>
              <w:tc>
                <w:tcPr>
                  <w:tcW w:w="373" w:type="pct"/>
                  <w:noWrap w:val="0"/>
                  <w:vAlign w:val="center"/>
                </w:tcPr>
                <w:p w14:paraId="1CEF60F0">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50</w:t>
                  </w:r>
                </w:p>
              </w:tc>
              <w:tc>
                <w:tcPr>
                  <w:tcW w:w="350" w:type="pct"/>
                  <w:noWrap w:val="0"/>
                  <w:vAlign w:val="center"/>
                </w:tcPr>
                <w:p w14:paraId="32D68C0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63.7 </w:t>
                  </w:r>
                </w:p>
              </w:tc>
              <w:tc>
                <w:tcPr>
                  <w:tcW w:w="235" w:type="pct"/>
                  <w:vMerge w:val="continue"/>
                  <w:noWrap w:val="0"/>
                  <w:vAlign w:val="center"/>
                </w:tcPr>
                <w:p w14:paraId="43536957">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D85F598">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4A29FF5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37.7 </w:t>
                  </w:r>
                </w:p>
              </w:tc>
              <w:tc>
                <w:tcPr>
                  <w:tcW w:w="355" w:type="pct"/>
                  <w:vMerge w:val="continue"/>
                  <w:noWrap w:val="0"/>
                  <w:vAlign w:val="center"/>
                </w:tcPr>
                <w:p w14:paraId="6649ECA7">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2283A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95" w:type="pct"/>
                  <w:vMerge w:val="continue"/>
                  <w:noWrap w:val="0"/>
                  <w:vAlign w:val="center"/>
                </w:tcPr>
                <w:p w14:paraId="4C7AAEF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723B064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3CFB630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7DD2955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256A1E6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6EDDE02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0A8A17F0">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1A3541A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3A02B7A">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南</w:t>
                  </w:r>
                </w:p>
              </w:tc>
              <w:tc>
                <w:tcPr>
                  <w:tcW w:w="373" w:type="pct"/>
                  <w:noWrap w:val="0"/>
                  <w:vAlign w:val="center"/>
                </w:tcPr>
                <w:p w14:paraId="397265A4">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2</w:t>
                  </w:r>
                </w:p>
              </w:tc>
              <w:tc>
                <w:tcPr>
                  <w:tcW w:w="350" w:type="pct"/>
                  <w:noWrap w:val="0"/>
                  <w:vAlign w:val="center"/>
                </w:tcPr>
                <w:p w14:paraId="6EBCE8C7">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77.2 </w:t>
                  </w:r>
                </w:p>
              </w:tc>
              <w:tc>
                <w:tcPr>
                  <w:tcW w:w="235" w:type="pct"/>
                  <w:vMerge w:val="continue"/>
                  <w:noWrap w:val="0"/>
                  <w:vAlign w:val="center"/>
                </w:tcPr>
                <w:p w14:paraId="06505AF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DF3263D">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E1B855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51.2 </w:t>
                  </w:r>
                </w:p>
              </w:tc>
              <w:tc>
                <w:tcPr>
                  <w:tcW w:w="355" w:type="pct"/>
                  <w:vMerge w:val="continue"/>
                  <w:noWrap w:val="0"/>
                  <w:vAlign w:val="center"/>
                </w:tcPr>
                <w:p w14:paraId="4317539B">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7E5571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trPr>
              <w:tc>
                <w:tcPr>
                  <w:tcW w:w="195" w:type="pct"/>
                  <w:vMerge w:val="continue"/>
                  <w:noWrap w:val="0"/>
                  <w:vAlign w:val="center"/>
                </w:tcPr>
                <w:p w14:paraId="0F3449B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02CA93BB">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5E0858F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5E048E65">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362177F2">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45AE4B54">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481BB5A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348DC27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1B3A7E38">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西</w:t>
                  </w:r>
                </w:p>
              </w:tc>
              <w:tc>
                <w:tcPr>
                  <w:tcW w:w="373" w:type="pct"/>
                  <w:noWrap w:val="0"/>
                  <w:vAlign w:val="center"/>
                </w:tcPr>
                <w:p w14:paraId="2F25E56B">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3.9</w:t>
                  </w:r>
                </w:p>
              </w:tc>
              <w:tc>
                <w:tcPr>
                  <w:tcW w:w="350" w:type="pct"/>
                  <w:noWrap w:val="0"/>
                  <w:vAlign w:val="center"/>
                </w:tcPr>
                <w:p w14:paraId="0081881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71.9 </w:t>
                  </w:r>
                </w:p>
              </w:tc>
              <w:tc>
                <w:tcPr>
                  <w:tcW w:w="235" w:type="pct"/>
                  <w:vMerge w:val="continue"/>
                  <w:noWrap w:val="0"/>
                  <w:vAlign w:val="center"/>
                </w:tcPr>
                <w:p w14:paraId="74BA61B1">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6DA96ED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53D8F7C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45.9 </w:t>
                  </w:r>
                </w:p>
              </w:tc>
              <w:tc>
                <w:tcPr>
                  <w:tcW w:w="355" w:type="pct"/>
                  <w:vMerge w:val="continue"/>
                  <w:noWrap w:val="0"/>
                  <w:vAlign w:val="center"/>
                </w:tcPr>
                <w:p w14:paraId="60010DEF">
                  <w:pPr>
                    <w:pStyle w:val="22"/>
                    <w:spacing w:before="0" w:after="0"/>
                    <w:ind w:right="0" w:firstLine="0" w:firstLineChars="0"/>
                    <w:jc w:val="center"/>
                    <w:rPr>
                      <w:rFonts w:hint="default" w:ascii="Times New Roman" w:hAnsi="Times New Roman" w:eastAsia="仿宋" w:cs="Times New Roman"/>
                      <w:color w:val="000000"/>
                      <w:sz w:val="18"/>
                      <w:szCs w:val="18"/>
                    </w:rPr>
                  </w:pPr>
                </w:p>
              </w:tc>
            </w:tr>
            <w:tr w14:paraId="5E5EB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13" w:hRule="atLeast"/>
              </w:trPr>
              <w:tc>
                <w:tcPr>
                  <w:tcW w:w="195" w:type="pct"/>
                  <w:vMerge w:val="continue"/>
                  <w:noWrap w:val="0"/>
                  <w:vAlign w:val="center"/>
                </w:tcPr>
                <w:p w14:paraId="75D2363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467" w:type="pct"/>
                  <w:vMerge w:val="continue"/>
                  <w:noWrap w:val="0"/>
                  <w:vAlign w:val="center"/>
                </w:tcPr>
                <w:p w14:paraId="6BA61BEC">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95" w:type="pct"/>
                  <w:vMerge w:val="continue"/>
                  <w:noWrap w:val="0"/>
                  <w:vAlign w:val="center"/>
                </w:tcPr>
                <w:p w14:paraId="480AB30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568" w:type="pct"/>
                  <w:vMerge w:val="continue"/>
                  <w:noWrap w:val="0"/>
                  <w:vAlign w:val="center"/>
                </w:tcPr>
                <w:p w14:paraId="4E6B019F">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13" w:type="pct"/>
                  <w:vMerge w:val="continue"/>
                  <w:noWrap w:val="0"/>
                  <w:vAlign w:val="center"/>
                </w:tcPr>
                <w:p w14:paraId="7D9C5253">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5" w:type="pct"/>
                  <w:vMerge w:val="continue"/>
                  <w:noWrap w:val="0"/>
                  <w:vAlign w:val="center"/>
                </w:tcPr>
                <w:p w14:paraId="227E49BA">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03" w:type="pct"/>
                  <w:vMerge w:val="continue"/>
                  <w:noWrap w:val="0"/>
                  <w:vAlign w:val="center"/>
                </w:tcPr>
                <w:p w14:paraId="30CBD0BE">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86" w:type="pct"/>
                  <w:vMerge w:val="continue"/>
                  <w:noWrap w:val="0"/>
                  <w:vAlign w:val="center"/>
                </w:tcPr>
                <w:p w14:paraId="7DB2913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235" w:type="pct"/>
                  <w:noWrap w:val="0"/>
                  <w:vAlign w:val="center"/>
                </w:tcPr>
                <w:p w14:paraId="09E59A9E">
                  <w:pPr>
                    <w:pStyle w:val="22"/>
                    <w:spacing w:before="0" w:after="0"/>
                    <w:ind w:right="0" w:rightChars="0" w:firstLine="0" w:firstLineChars="0"/>
                    <w:jc w:val="center"/>
                    <w:rPr>
                      <w:rFonts w:hint="default" w:ascii="Times New Roman" w:hAnsi="Times New Roman" w:eastAsia="仿宋" w:cs="Times New Roman"/>
                      <w:color w:val="000000"/>
                      <w:sz w:val="18"/>
                      <w:szCs w:val="18"/>
                    </w:rPr>
                  </w:pPr>
                  <w:r>
                    <w:rPr>
                      <w:rFonts w:hint="default" w:ascii="Times New Roman" w:hAnsi="Times New Roman" w:eastAsia="仿宋" w:cs="Times New Roman"/>
                      <w:color w:val="000000"/>
                      <w:sz w:val="18"/>
                      <w:szCs w:val="18"/>
                    </w:rPr>
                    <w:t>北</w:t>
                  </w:r>
                </w:p>
              </w:tc>
              <w:tc>
                <w:tcPr>
                  <w:tcW w:w="373" w:type="pct"/>
                  <w:noWrap w:val="0"/>
                  <w:vAlign w:val="center"/>
                </w:tcPr>
                <w:p w14:paraId="739B7A8E">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15</w:t>
                  </w:r>
                </w:p>
              </w:tc>
              <w:tc>
                <w:tcPr>
                  <w:tcW w:w="350" w:type="pct"/>
                  <w:noWrap w:val="0"/>
                  <w:vAlign w:val="center"/>
                </w:tcPr>
                <w:p w14:paraId="5CD2E481">
                  <w:pPr>
                    <w:keepNext w:val="0"/>
                    <w:keepLines w:val="0"/>
                    <w:widowControl/>
                    <w:suppressLineNumbers w:val="0"/>
                    <w:jc w:val="center"/>
                    <w:textAlignment w:val="center"/>
                    <w:rPr>
                      <w:rFonts w:hint="default" w:ascii="Times New Roman" w:hAnsi="Times New Roman" w:eastAsia="仿宋" w:cs="Times New Roman"/>
                      <w:color w:val="000000"/>
                      <w:kern w:val="0"/>
                      <w:sz w:val="18"/>
                      <w:szCs w:val="18"/>
                      <w:lang w:val="en-US" w:eastAsia="zh-CN"/>
                    </w:rPr>
                  </w:pPr>
                  <w:r>
                    <w:rPr>
                      <w:rFonts w:hint="default" w:ascii="Times New Roman" w:hAnsi="Times New Roman" w:eastAsia="仿宋" w:cs="Times New Roman"/>
                      <w:i w:val="0"/>
                      <w:iCs w:val="0"/>
                      <w:color w:val="000000"/>
                      <w:kern w:val="0"/>
                      <w:sz w:val="18"/>
                      <w:szCs w:val="18"/>
                      <w:u w:val="none"/>
                      <w:lang w:val="en-US" w:eastAsia="zh-CN" w:bidi="ar"/>
                    </w:rPr>
                    <w:t xml:space="preserve">65.0 </w:t>
                  </w:r>
                </w:p>
              </w:tc>
              <w:tc>
                <w:tcPr>
                  <w:tcW w:w="235" w:type="pct"/>
                  <w:vMerge w:val="continue"/>
                  <w:noWrap w:val="0"/>
                  <w:vAlign w:val="center"/>
                </w:tcPr>
                <w:p w14:paraId="4681FA59">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383" w:type="pct"/>
                  <w:vMerge w:val="continue"/>
                  <w:noWrap w:val="0"/>
                  <w:vAlign w:val="center"/>
                </w:tcPr>
                <w:p w14:paraId="296D5806">
                  <w:pPr>
                    <w:pStyle w:val="22"/>
                    <w:spacing w:before="0" w:after="0"/>
                    <w:ind w:right="0" w:firstLine="0" w:firstLineChars="0"/>
                    <w:jc w:val="center"/>
                    <w:rPr>
                      <w:rFonts w:hint="default" w:ascii="Times New Roman" w:hAnsi="Times New Roman" w:eastAsia="仿宋" w:cs="Times New Roman"/>
                      <w:color w:val="000000"/>
                      <w:sz w:val="18"/>
                      <w:szCs w:val="18"/>
                    </w:rPr>
                  </w:pPr>
                </w:p>
              </w:tc>
              <w:tc>
                <w:tcPr>
                  <w:tcW w:w="1029" w:type="dxa"/>
                  <w:noWrap w:val="0"/>
                  <w:vAlign w:val="center"/>
                </w:tcPr>
                <w:p w14:paraId="104E58B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18"/>
                      <w:szCs w:val="18"/>
                      <w:u w:val="none"/>
                      <w:lang w:val="en-US" w:eastAsia="zh-CN" w:bidi="ar"/>
                    </w:rPr>
                  </w:pPr>
                  <w:r>
                    <w:rPr>
                      <w:rFonts w:hint="default" w:ascii="Times New Roman" w:hAnsi="Times New Roman" w:eastAsia="仿宋" w:cs="Times New Roman"/>
                      <w:i w:val="0"/>
                      <w:iCs w:val="0"/>
                      <w:color w:val="000000"/>
                      <w:kern w:val="0"/>
                      <w:sz w:val="18"/>
                      <w:szCs w:val="18"/>
                      <w:u w:val="none"/>
                      <w:lang w:val="en-US" w:eastAsia="zh-CN" w:bidi="ar"/>
                    </w:rPr>
                    <w:t xml:space="preserve">39.0 </w:t>
                  </w:r>
                </w:p>
              </w:tc>
              <w:tc>
                <w:tcPr>
                  <w:tcW w:w="355" w:type="pct"/>
                  <w:vMerge w:val="continue"/>
                  <w:noWrap w:val="0"/>
                  <w:vAlign w:val="center"/>
                </w:tcPr>
                <w:p w14:paraId="34AD2E6D">
                  <w:pPr>
                    <w:pStyle w:val="22"/>
                    <w:spacing w:before="0" w:after="0"/>
                    <w:ind w:right="0" w:firstLine="0" w:firstLineChars="0"/>
                    <w:jc w:val="center"/>
                    <w:rPr>
                      <w:rFonts w:hint="default" w:ascii="Times New Roman" w:hAnsi="Times New Roman" w:eastAsia="仿宋" w:cs="Times New Roman"/>
                      <w:color w:val="000000"/>
                      <w:sz w:val="18"/>
                      <w:szCs w:val="18"/>
                    </w:rPr>
                  </w:pPr>
                </w:p>
              </w:tc>
            </w:tr>
          </w:tbl>
          <w:p w14:paraId="18100DAE">
            <w:pPr>
              <w:spacing w:line="240" w:lineRule="auto"/>
              <w:jc w:val="both"/>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注：以9幢厂房西南角为（0，0，0）。</w:t>
            </w:r>
          </w:p>
          <w:p w14:paraId="693EC9FD">
            <w:pPr>
              <w:spacing w:line="360" w:lineRule="exact"/>
              <w:jc w:val="center"/>
              <w:rPr>
                <w:rFonts w:hint="default" w:ascii="Times New Roman" w:hAnsi="Times New Roman" w:eastAsia="仿宋" w:cs="Times New Roman"/>
                <w:b/>
                <w:color w:val="auto"/>
                <w:szCs w:val="21"/>
              </w:rPr>
            </w:pPr>
          </w:p>
          <w:p w14:paraId="0046BC5B">
            <w:pPr>
              <w:spacing w:line="360" w:lineRule="exact"/>
              <w:jc w:val="center"/>
              <w:rPr>
                <w:rFonts w:hint="default" w:ascii="Times New Roman" w:hAnsi="Times New Roman" w:eastAsia="仿宋" w:cs="Times New Roman"/>
                <w:b/>
                <w:color w:val="auto"/>
                <w:szCs w:val="21"/>
              </w:rPr>
            </w:pPr>
          </w:p>
          <w:p w14:paraId="1ED13922">
            <w:pPr>
              <w:spacing w:line="360" w:lineRule="exact"/>
              <w:jc w:val="center"/>
              <w:rPr>
                <w:rFonts w:hint="default" w:ascii="Times New Roman" w:hAnsi="Times New Roman" w:eastAsia="仿宋" w:cs="Times New Roman"/>
                <w:b/>
                <w:color w:val="auto"/>
                <w:szCs w:val="21"/>
              </w:rPr>
            </w:pPr>
          </w:p>
          <w:p w14:paraId="62F6C66A">
            <w:pPr>
              <w:spacing w:line="360" w:lineRule="exact"/>
              <w:jc w:val="center"/>
              <w:rPr>
                <w:rFonts w:hint="default" w:ascii="Times New Roman" w:hAnsi="Times New Roman" w:eastAsia="仿宋" w:cs="Times New Roman"/>
                <w:b/>
                <w:color w:val="auto"/>
                <w:szCs w:val="21"/>
              </w:rPr>
            </w:pPr>
          </w:p>
          <w:p w14:paraId="6EA88A1D">
            <w:pPr>
              <w:spacing w:line="360" w:lineRule="exact"/>
              <w:jc w:val="center"/>
              <w:rPr>
                <w:rFonts w:hint="default" w:ascii="Times New Roman" w:hAnsi="Times New Roman" w:eastAsia="仿宋" w:cs="Times New Roman"/>
                <w:b/>
                <w:color w:val="auto"/>
                <w:szCs w:val="21"/>
              </w:rPr>
            </w:pPr>
          </w:p>
          <w:p w14:paraId="39132832">
            <w:pPr>
              <w:spacing w:line="360" w:lineRule="exact"/>
              <w:jc w:val="center"/>
              <w:rPr>
                <w:rFonts w:hint="default" w:ascii="Times New Roman" w:hAnsi="Times New Roman" w:eastAsia="仿宋" w:cs="Times New Roman"/>
                <w:b/>
                <w:color w:val="auto"/>
                <w:szCs w:val="21"/>
              </w:rPr>
            </w:pPr>
          </w:p>
          <w:p w14:paraId="05732F5A">
            <w:pPr>
              <w:pStyle w:val="43"/>
              <w:rPr>
                <w:rFonts w:hint="default" w:ascii="Times New Roman" w:hAnsi="Times New Roman" w:eastAsia="仿宋" w:cs="Times New Roman"/>
                <w:color w:val="auto"/>
              </w:rPr>
            </w:pPr>
          </w:p>
        </w:tc>
      </w:tr>
    </w:tbl>
    <w:p w14:paraId="07FE8F4D">
      <w:pPr>
        <w:pStyle w:val="43"/>
        <w:rPr>
          <w:rFonts w:hint="default" w:ascii="Times New Roman" w:hAnsi="Times New Roman" w:eastAsia="仿宋" w:cs="Times New Roman"/>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17"/>
      </w:tblGrid>
      <w:tr w14:paraId="3EEDC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noWrap w:val="0"/>
            <w:vAlign w:val="center"/>
          </w:tcPr>
          <w:p w14:paraId="242F95FB">
            <w:pPr>
              <w:adjustRightInd w:val="0"/>
              <w:snapToGrid w:val="0"/>
              <w:jc w:val="center"/>
              <w:rPr>
                <w:rFonts w:hint="default" w:ascii="Times New Roman" w:hAnsi="Times New Roman" w:eastAsia="仿宋" w:cs="Times New Roman"/>
                <w:color w:val="auto"/>
              </w:rPr>
            </w:pPr>
            <w:r>
              <w:rPr>
                <w:rFonts w:hint="default" w:ascii="Times New Roman" w:hAnsi="Times New Roman" w:eastAsia="仿宋" w:cs="Times New Roman"/>
                <w:bCs/>
                <w:color w:val="auto"/>
                <w:szCs w:val="21"/>
              </w:rPr>
              <w:t>运营期环境影响和保护措施</w:t>
            </w:r>
          </w:p>
        </w:tc>
        <w:tc>
          <w:tcPr>
            <w:tcW w:w="8417" w:type="dxa"/>
            <w:noWrap w:val="0"/>
            <w:vAlign w:val="top"/>
          </w:tcPr>
          <w:p w14:paraId="18C5ECED">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3</w:t>
            </w:r>
            <w:r>
              <w:rPr>
                <w:rFonts w:hint="default" w:ascii="Times New Roman" w:hAnsi="Times New Roman" w:eastAsia="仿宋" w:cs="Times New Roman"/>
                <w:b/>
                <w:bCs/>
                <w:color w:val="auto"/>
                <w:sz w:val="24"/>
                <w:szCs w:val="24"/>
              </w:rPr>
              <w:t>.2噪声防治措施</w:t>
            </w:r>
          </w:p>
          <w:p w14:paraId="0D1C10FF">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针对不同类别的噪声，本项目拟采取以下措施：</w:t>
            </w:r>
          </w:p>
          <w:p w14:paraId="31ED7619">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（1）首先考虑选用低噪声设备，并按照工业设备安装的有关规范进行安装，在源头上控制噪声污染；</w:t>
            </w:r>
          </w:p>
          <w:p w14:paraId="2AC45C21">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（2）项目各类生产设备均布置在车间内，针对较大的设备噪声源，可通过对设备安装减振座、加设减振垫等方式来进行减振处理，同时通过车间隔声可有效的减轻设备噪声影响；</w:t>
            </w:r>
          </w:p>
          <w:p w14:paraId="6E516599">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（3）保持设备处于良好的运转状态，防止因设备运转不正常而增大噪声，要经常进行保养，减少</w:t>
            </w:r>
            <w:r>
              <w:rPr>
                <w:rFonts w:hint="default" w:ascii="Times New Roman" w:hAnsi="Times New Roman" w:eastAsia="仿宋" w:cs="Times New Roman"/>
                <w:color w:val="auto"/>
                <w:spacing w:val="-6"/>
                <w:sz w:val="24"/>
                <w:szCs w:val="24"/>
                <w:lang w:eastAsia="zh-CN"/>
              </w:rPr>
              <w:t>摩擦力</w:t>
            </w:r>
            <w:r>
              <w:rPr>
                <w:rFonts w:hint="default" w:ascii="Times New Roman" w:hAnsi="Times New Roman" w:eastAsia="仿宋" w:cs="Times New Roman"/>
                <w:color w:val="auto"/>
                <w:spacing w:val="-6"/>
                <w:sz w:val="24"/>
                <w:szCs w:val="24"/>
              </w:rPr>
              <w:t>，降低噪声；</w:t>
            </w:r>
          </w:p>
          <w:p w14:paraId="54272442">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（4）作业期间不开启车间门，可通过对</w:t>
            </w:r>
            <w:r>
              <w:rPr>
                <w:rFonts w:hint="eastAsia" w:eastAsia="仿宋" w:cs="Times New Roman"/>
                <w:color w:val="auto"/>
                <w:spacing w:val="-6"/>
                <w:sz w:val="24"/>
                <w:szCs w:val="24"/>
                <w:lang w:val="en-US" w:eastAsia="zh-CN"/>
              </w:rPr>
              <w:t>磨床</w:t>
            </w:r>
            <w:r>
              <w:rPr>
                <w:rFonts w:hint="default" w:ascii="Times New Roman" w:hAnsi="Times New Roman" w:eastAsia="仿宋" w:cs="Times New Roman"/>
                <w:color w:val="auto"/>
                <w:spacing w:val="-6"/>
                <w:sz w:val="24"/>
                <w:szCs w:val="24"/>
              </w:rPr>
              <w:t>等安装减振座、加设减振垫等方式来进行处理，同时通过车间隔声可有效的减轻设备噪声影响；</w:t>
            </w:r>
          </w:p>
          <w:p w14:paraId="7252B3D2">
            <w:pPr>
              <w:keepNext w:val="0"/>
              <w:keepLines w:val="0"/>
              <w:pageBreakBefore w:val="0"/>
              <w:widowControl w:val="0"/>
              <w:kinsoku/>
              <w:wordWrap/>
              <w:overflowPunct/>
              <w:topLinePunct w:val="0"/>
              <w:autoSpaceDE/>
              <w:autoSpaceDN/>
              <w:bidi w:val="0"/>
              <w:adjustRightInd/>
              <w:snapToGrid/>
              <w:spacing w:line="480" w:lineRule="exact"/>
              <w:ind w:firstLine="456" w:firstLineChars="200"/>
              <w:textAlignment w:val="auto"/>
              <w:rPr>
                <w:rFonts w:hint="default" w:ascii="Times New Roman" w:hAnsi="Times New Roman" w:eastAsia="仿宋" w:cs="Times New Roman"/>
                <w:color w:val="auto"/>
                <w:spacing w:val="-6"/>
                <w:sz w:val="24"/>
                <w:szCs w:val="24"/>
              </w:rPr>
            </w:pPr>
            <w:r>
              <w:rPr>
                <w:rFonts w:hint="default" w:ascii="Times New Roman" w:hAnsi="Times New Roman" w:eastAsia="仿宋" w:cs="Times New Roman"/>
                <w:color w:val="auto"/>
                <w:spacing w:val="-6"/>
                <w:sz w:val="24"/>
                <w:szCs w:val="24"/>
              </w:rPr>
              <w:t>（5）总图合理布局，在满足工艺要求的前提下，考虑将高噪声设备集中布置，在总平面布置时做到远离厂界以减少高噪声源对厂界外环境的影响；同时设计中，尽量做到高噪声车间与非噪声产生的工作场所闹静分开。</w:t>
            </w:r>
          </w:p>
          <w:p w14:paraId="1E0131CC">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3</w:t>
            </w:r>
            <w:r>
              <w:rPr>
                <w:rFonts w:hint="default" w:ascii="Times New Roman" w:hAnsi="Times New Roman" w:eastAsia="仿宋" w:cs="Times New Roman"/>
                <w:b/>
                <w:bCs/>
                <w:color w:val="auto"/>
                <w:sz w:val="24"/>
                <w:szCs w:val="24"/>
              </w:rPr>
              <w:t>.3厂界达标性分析</w:t>
            </w:r>
          </w:p>
          <w:p w14:paraId="5F24CD9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噪声预测采用HJ2.4-2021附录B典型行业噪声预测模型。设备均安装于车间内，属于室内点声源。</w:t>
            </w:r>
          </w:p>
          <w:p w14:paraId="5BC0E9A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（1）室外声源</w:t>
            </w:r>
          </w:p>
          <w:p w14:paraId="5F1A4D6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户外声传播衰减包括几何发散（A</w:t>
            </w:r>
            <w:r>
              <w:rPr>
                <w:rFonts w:hint="default" w:ascii="Times New Roman" w:hAnsi="Times New Roman" w:eastAsia="仿宋" w:cs="Times New Roman"/>
                <w:color w:val="auto"/>
                <w:sz w:val="24"/>
                <w:szCs w:val="24"/>
                <w:vertAlign w:val="subscript"/>
              </w:rPr>
              <w:t>div</w:t>
            </w:r>
            <w:r>
              <w:rPr>
                <w:rFonts w:hint="default" w:ascii="Times New Roman" w:hAnsi="Times New Roman" w:eastAsia="仿宋" w:cs="Times New Roman"/>
                <w:color w:val="auto"/>
                <w:sz w:val="24"/>
                <w:szCs w:val="24"/>
              </w:rPr>
              <w:t>）、大气吸收（A</w:t>
            </w:r>
            <w:r>
              <w:rPr>
                <w:rFonts w:hint="default" w:ascii="Times New Roman" w:hAnsi="Times New Roman" w:eastAsia="仿宋" w:cs="Times New Roman"/>
                <w:color w:val="auto"/>
                <w:sz w:val="24"/>
                <w:szCs w:val="24"/>
                <w:vertAlign w:val="subscript"/>
              </w:rPr>
              <w:t>atm</w:t>
            </w:r>
            <w:r>
              <w:rPr>
                <w:rFonts w:hint="default" w:ascii="Times New Roman" w:hAnsi="Times New Roman" w:eastAsia="仿宋" w:cs="Times New Roman"/>
                <w:color w:val="auto"/>
                <w:sz w:val="24"/>
                <w:szCs w:val="24"/>
              </w:rPr>
              <w:t>）、地面效应（A</w:t>
            </w:r>
            <w:r>
              <w:rPr>
                <w:rFonts w:hint="default" w:ascii="Times New Roman" w:hAnsi="Times New Roman" w:eastAsia="仿宋" w:cs="Times New Roman"/>
                <w:color w:val="auto"/>
                <w:sz w:val="24"/>
                <w:szCs w:val="24"/>
                <w:vertAlign w:val="subscript"/>
              </w:rPr>
              <w:t>gr</w:t>
            </w:r>
            <w:r>
              <w:rPr>
                <w:rFonts w:hint="default" w:ascii="Times New Roman" w:hAnsi="Times New Roman" w:eastAsia="仿宋" w:cs="Times New Roman"/>
                <w:color w:val="auto"/>
                <w:sz w:val="24"/>
                <w:szCs w:val="24"/>
              </w:rPr>
              <w:t>）、障碍物屏蔽（A</w:t>
            </w:r>
            <w:r>
              <w:rPr>
                <w:rFonts w:hint="default" w:ascii="Times New Roman" w:hAnsi="Times New Roman" w:eastAsia="仿宋" w:cs="Times New Roman"/>
                <w:color w:val="auto"/>
                <w:sz w:val="24"/>
                <w:szCs w:val="24"/>
                <w:vertAlign w:val="subscript"/>
              </w:rPr>
              <w:t>bar</w:t>
            </w:r>
            <w:r>
              <w:rPr>
                <w:rFonts w:hint="default" w:ascii="Times New Roman" w:hAnsi="Times New Roman" w:eastAsia="仿宋" w:cs="Times New Roman"/>
                <w:color w:val="auto"/>
                <w:sz w:val="24"/>
                <w:szCs w:val="24"/>
              </w:rPr>
              <w:t>）、其他多方面效应（A</w:t>
            </w:r>
            <w:r>
              <w:rPr>
                <w:rFonts w:hint="default" w:ascii="Times New Roman" w:hAnsi="Times New Roman" w:eastAsia="仿宋" w:cs="Times New Roman"/>
                <w:color w:val="auto"/>
                <w:sz w:val="24"/>
                <w:szCs w:val="24"/>
                <w:vertAlign w:val="subscript"/>
              </w:rPr>
              <w:t>misc</w:t>
            </w:r>
            <w:r>
              <w:rPr>
                <w:rFonts w:hint="default" w:ascii="Times New Roman" w:hAnsi="Times New Roman" w:eastAsia="仿宋" w:cs="Times New Roman"/>
                <w:color w:val="auto"/>
                <w:sz w:val="24"/>
                <w:szCs w:val="24"/>
              </w:rPr>
              <w:t>）引起的衰减。</w:t>
            </w:r>
          </w:p>
          <w:p w14:paraId="6CA4729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a）在环境影响评价中，应根据声源声功率级或参考位置处的声压级、户外声传播衰减，计算预测点的声级，分别按式（A.1）或式（A.2）计算。</w:t>
            </w:r>
          </w:p>
          <w:p w14:paraId="639D8692">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w</w:t>
            </w:r>
            <w:r>
              <w:rPr>
                <w:rFonts w:hint="default" w:ascii="Times New Roman" w:hAnsi="Times New Roman" w:eastAsia="仿宋" w:cs="Times New Roman"/>
                <w:color w:val="auto"/>
                <w:sz w:val="24"/>
                <w:szCs w:val="24"/>
              </w:rPr>
              <w:t>+D</w:t>
            </w:r>
            <w:r>
              <w:rPr>
                <w:rFonts w:hint="default" w:ascii="Times New Roman" w:hAnsi="Times New Roman" w:eastAsia="仿宋" w:cs="Times New Roman"/>
                <w:color w:val="auto"/>
                <w:sz w:val="24"/>
                <w:szCs w:val="24"/>
                <w:vertAlign w:val="subscript"/>
              </w:rPr>
              <w:t>C</w:t>
            </w:r>
            <w:r>
              <w:rPr>
                <w:rFonts w:hint="default" w:ascii="Times New Roman" w:hAnsi="Times New Roman" w:eastAsia="仿宋" w:cs="Times New Roman"/>
                <w:color w:val="auto"/>
                <w:sz w:val="24"/>
                <w:szCs w:val="24"/>
              </w:rPr>
              <w:t>－</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div</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atm</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gr</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bar</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misc</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 xml:space="preserve">           （A.1）</w:t>
            </w:r>
          </w:p>
          <w:p w14:paraId="6A3CF84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——预测点处声压级，dB；</w:t>
            </w:r>
          </w:p>
          <w:p w14:paraId="192B0A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w</w:t>
            </w:r>
            <w:r>
              <w:rPr>
                <w:rFonts w:hint="default" w:ascii="Times New Roman" w:hAnsi="Times New Roman" w:eastAsia="仿宋" w:cs="Times New Roman"/>
                <w:color w:val="auto"/>
                <w:sz w:val="24"/>
                <w:szCs w:val="24"/>
              </w:rPr>
              <w:t>——由点声源产生的声功率级（A计权或倍频带），dB；</w:t>
            </w:r>
          </w:p>
          <w:p w14:paraId="6E283D6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w:t>
            </w:r>
            <w:r>
              <w:rPr>
                <w:rFonts w:hint="default" w:ascii="Times New Roman" w:hAnsi="Times New Roman" w:eastAsia="仿宋" w:cs="Times New Roman"/>
                <w:color w:val="auto"/>
                <w:sz w:val="24"/>
                <w:szCs w:val="24"/>
                <w:vertAlign w:val="subscript"/>
              </w:rPr>
              <w:t>C</w:t>
            </w:r>
            <w:r>
              <w:rPr>
                <w:rFonts w:hint="default" w:ascii="Times New Roman" w:hAnsi="Times New Roman" w:eastAsia="仿宋" w:cs="Times New Roman"/>
                <w:color w:val="auto"/>
                <w:sz w:val="24"/>
                <w:szCs w:val="24"/>
              </w:rPr>
              <w:t>——指向性校正，它描述点声源的等效连续声压级与产生声功率级Lw的全向点声源在规定方向的声级的偏差程度，dB；</w:t>
            </w:r>
          </w:p>
          <w:p w14:paraId="579D4CF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div</w:t>
            </w:r>
            <w:r>
              <w:rPr>
                <w:rFonts w:hint="default" w:ascii="Times New Roman" w:hAnsi="Times New Roman" w:eastAsia="仿宋" w:cs="Times New Roman"/>
                <w:color w:val="auto"/>
                <w:sz w:val="24"/>
                <w:szCs w:val="24"/>
              </w:rPr>
              <w:t>——几何发散引起的衰减，dB；</w:t>
            </w:r>
          </w:p>
          <w:p w14:paraId="3695848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atm</w:t>
            </w:r>
            <w:r>
              <w:rPr>
                <w:rFonts w:hint="default" w:ascii="Times New Roman" w:hAnsi="Times New Roman" w:eastAsia="仿宋" w:cs="Times New Roman"/>
                <w:color w:val="auto"/>
                <w:sz w:val="24"/>
                <w:szCs w:val="24"/>
              </w:rPr>
              <w:t>——大气吸收引起的衰减，dB；</w:t>
            </w:r>
          </w:p>
          <w:p w14:paraId="05443A2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gr</w:t>
            </w:r>
            <w:r>
              <w:rPr>
                <w:rFonts w:hint="default" w:ascii="Times New Roman" w:hAnsi="Times New Roman" w:eastAsia="仿宋" w:cs="Times New Roman"/>
                <w:color w:val="auto"/>
                <w:sz w:val="24"/>
                <w:szCs w:val="24"/>
              </w:rPr>
              <w:t>——地面效应引起的衰减，dB；</w:t>
            </w:r>
          </w:p>
          <w:p w14:paraId="00C7F20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bar</w:t>
            </w:r>
            <w:r>
              <w:rPr>
                <w:rFonts w:hint="default" w:ascii="Times New Roman" w:hAnsi="Times New Roman" w:eastAsia="仿宋" w:cs="Times New Roman"/>
                <w:color w:val="auto"/>
                <w:sz w:val="24"/>
                <w:szCs w:val="24"/>
              </w:rPr>
              <w:t>——障碍物屏蔽引起的衰减，dB；</w:t>
            </w:r>
          </w:p>
          <w:p w14:paraId="2C8075E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misc</w:t>
            </w:r>
            <w:r>
              <w:rPr>
                <w:rFonts w:hint="default" w:ascii="Times New Roman" w:hAnsi="Times New Roman" w:eastAsia="仿宋" w:cs="Times New Roman"/>
                <w:color w:val="auto"/>
                <w:sz w:val="24"/>
                <w:szCs w:val="24"/>
              </w:rPr>
              <w:t>——其他多方面效应引起的衰减，dB。</w:t>
            </w:r>
          </w:p>
          <w:p w14:paraId="5DCBEFEE">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＝Lp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r0</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+DC－</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Adiv＋Aatm＋Agr＋Abar＋Amisc</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 xml:space="preserve">    （A.2）</w:t>
            </w:r>
          </w:p>
          <w:p w14:paraId="7842F7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——预测点处声压级，dB；</w:t>
            </w:r>
          </w:p>
          <w:p w14:paraId="4F7A9F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p</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r0</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——参考位置r0处的声压级，dB；</w:t>
            </w:r>
          </w:p>
          <w:p w14:paraId="5F66FB7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D</w:t>
            </w:r>
            <w:r>
              <w:rPr>
                <w:rFonts w:hint="default" w:ascii="Times New Roman" w:hAnsi="Times New Roman" w:eastAsia="仿宋" w:cs="Times New Roman"/>
                <w:color w:val="auto"/>
                <w:sz w:val="24"/>
                <w:szCs w:val="24"/>
                <w:vertAlign w:val="subscript"/>
              </w:rPr>
              <w:t>C</w:t>
            </w:r>
            <w:r>
              <w:rPr>
                <w:rFonts w:hint="default" w:ascii="Times New Roman" w:hAnsi="Times New Roman" w:eastAsia="仿宋" w:cs="Times New Roman"/>
                <w:color w:val="auto"/>
                <w:sz w:val="24"/>
                <w:szCs w:val="24"/>
              </w:rPr>
              <w:t>——指向性校正，它描述点声源的等效连续声压级与产生声功率级L</w:t>
            </w:r>
            <w:r>
              <w:rPr>
                <w:rFonts w:hint="default" w:ascii="Times New Roman" w:hAnsi="Times New Roman" w:eastAsia="仿宋" w:cs="Times New Roman"/>
                <w:color w:val="auto"/>
                <w:sz w:val="24"/>
                <w:szCs w:val="24"/>
                <w:vertAlign w:val="subscript"/>
              </w:rPr>
              <w:t>w</w:t>
            </w:r>
            <w:r>
              <w:rPr>
                <w:rFonts w:hint="default" w:ascii="Times New Roman" w:hAnsi="Times New Roman" w:eastAsia="仿宋" w:cs="Times New Roman"/>
                <w:color w:val="auto"/>
                <w:sz w:val="24"/>
                <w:szCs w:val="24"/>
              </w:rPr>
              <w:t>的全向点声源在规定方向的声级的偏差程度，dB；</w:t>
            </w:r>
          </w:p>
          <w:p w14:paraId="60CE80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eastAsia="zh-CN"/>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div</w:t>
            </w:r>
            <w:r>
              <w:rPr>
                <w:rFonts w:hint="default" w:ascii="Times New Roman" w:hAnsi="Times New Roman" w:eastAsia="仿宋" w:cs="Times New Roman"/>
                <w:color w:val="auto"/>
                <w:sz w:val="24"/>
                <w:szCs w:val="24"/>
              </w:rPr>
              <w:t>——几何发散引起的衰减，dB</w:t>
            </w:r>
            <w:r>
              <w:rPr>
                <w:rFonts w:hint="default" w:ascii="Times New Roman" w:hAnsi="Times New Roman" w:eastAsia="仿宋" w:cs="Times New Roman"/>
                <w:color w:val="auto"/>
                <w:sz w:val="24"/>
                <w:szCs w:val="24"/>
                <w:lang w:eastAsia="zh-CN"/>
              </w:rPr>
              <w:t>；</w:t>
            </w:r>
          </w:p>
          <w:p w14:paraId="1F87D73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atm</w:t>
            </w:r>
            <w:r>
              <w:rPr>
                <w:rFonts w:hint="default" w:ascii="Times New Roman" w:hAnsi="Times New Roman" w:eastAsia="仿宋" w:cs="Times New Roman"/>
                <w:color w:val="auto"/>
                <w:sz w:val="24"/>
                <w:szCs w:val="24"/>
              </w:rPr>
              <w:t>——大气吸收引起的衰减，dB；</w:t>
            </w:r>
          </w:p>
          <w:p w14:paraId="428D755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gr</w:t>
            </w:r>
            <w:r>
              <w:rPr>
                <w:rFonts w:hint="default" w:ascii="Times New Roman" w:hAnsi="Times New Roman" w:eastAsia="仿宋" w:cs="Times New Roman"/>
                <w:color w:val="auto"/>
                <w:sz w:val="24"/>
                <w:szCs w:val="24"/>
              </w:rPr>
              <w:t>——地面效应引起的衰减，dB；</w:t>
            </w:r>
          </w:p>
          <w:p w14:paraId="43A2B5E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bar</w:t>
            </w:r>
            <w:r>
              <w:rPr>
                <w:rFonts w:hint="default" w:ascii="Times New Roman" w:hAnsi="Times New Roman" w:eastAsia="仿宋" w:cs="Times New Roman"/>
                <w:color w:val="auto"/>
                <w:sz w:val="24"/>
                <w:szCs w:val="24"/>
              </w:rPr>
              <w:t>——障碍物屏蔽引起的衰减，dB；</w:t>
            </w:r>
          </w:p>
          <w:p w14:paraId="674295F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vertAlign w:val="subscript"/>
              </w:rPr>
              <w:t>misc</w:t>
            </w:r>
            <w:r>
              <w:rPr>
                <w:rFonts w:hint="default" w:ascii="Times New Roman" w:hAnsi="Times New Roman" w:eastAsia="仿宋" w:cs="Times New Roman"/>
                <w:color w:val="auto"/>
                <w:sz w:val="24"/>
                <w:szCs w:val="24"/>
              </w:rPr>
              <w:t>——其他多方面效应引起的衰减，dB。</w:t>
            </w:r>
          </w:p>
          <w:p w14:paraId="70E674B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（2）室内点声源</w:t>
            </w:r>
          </w:p>
          <w:p w14:paraId="1C7C169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室内声源等效室外声源声功率级计算方法可按下式计算某一室内声源靠近围护结构处产生的倍频带声压级或A声级。</w:t>
            </w:r>
          </w:p>
          <w:p w14:paraId="65853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25" o:spt="75" type="#_x0000_t75" style="height:34pt;width:137pt;" o:ole="t" filled="f" o:preferrelative="t" stroked="f" coordsize="21600,21600">
                  <v:path/>
                  <v:fill on="f" focussize="0,0"/>
                  <v:stroke on="f"/>
                  <v:imagedata r:id="rId19" o:title=""/>
                  <o:lock v:ext="edit" grouping="f" rotation="f" text="f" aspectratio="t"/>
                  <w10:wrap type="none"/>
                  <w10:anchorlock/>
                </v:shape>
                <o:OLEObject Type="Embed" ProgID="Equation.DSMT4" ShapeID="_x0000_i1025" DrawAspect="Content" ObjectID="_1468075726" r:id="rId18">
                  <o:LockedField>false</o:LockedField>
                </o:OLEObject>
              </w:object>
            </w:r>
            <w:r>
              <w:rPr>
                <w:rFonts w:hint="default" w:ascii="Times New Roman" w:hAnsi="Times New Roman" w:eastAsia="仿宋" w:cs="Times New Roman"/>
                <w:color w:val="auto"/>
                <w:sz w:val="24"/>
                <w:szCs w:val="24"/>
              </w:rPr>
              <w:t xml:space="preserve">       （B.2）</w:t>
            </w:r>
          </w:p>
          <w:p w14:paraId="78FE7BA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p1</w:t>
            </w:r>
            <w:r>
              <w:rPr>
                <w:rFonts w:hint="default" w:ascii="Times New Roman" w:hAnsi="Times New Roman" w:eastAsia="仿宋" w:cs="Times New Roman"/>
                <w:color w:val="auto"/>
                <w:sz w:val="24"/>
                <w:szCs w:val="24"/>
              </w:rPr>
              <w:t>——靠近开口处（或窗户）室内某倍频带的声压级或A声级，dB；</w:t>
            </w:r>
          </w:p>
          <w:p w14:paraId="6FC6913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w</w:t>
            </w:r>
            <w:r>
              <w:rPr>
                <w:rFonts w:hint="default" w:ascii="Times New Roman" w:hAnsi="Times New Roman" w:eastAsia="仿宋" w:cs="Times New Roman"/>
                <w:color w:val="auto"/>
                <w:sz w:val="24"/>
                <w:szCs w:val="24"/>
              </w:rPr>
              <w:t>——点声源声功率级（A 计权或倍频带），dB；</w:t>
            </w:r>
          </w:p>
          <w:p w14:paraId="0A08AD0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Q——指向性因数；通常对无指向性声源，当声源放在房间中心时，Q=1；当放在一面墙的中心时，Q=2；当放在两面墙夹角处时，Q=4；当放在三面墙夹角处时，Q=8；</w:t>
            </w:r>
          </w:p>
          <w:p w14:paraId="294674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R——房间常数；R=Sa/（1-α），S为房间内表面面积，m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；α为平均吸声系数；</w:t>
            </w:r>
          </w:p>
          <w:p w14:paraId="3E4811D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r ——声源到靠近围护结构某点处的距离，m。</w:t>
            </w:r>
          </w:p>
          <w:p w14:paraId="62DD086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然后按式（B.3）计算出所有室内声源在围护结构处产生的i倍频带叠加声压级：</w:t>
            </w:r>
          </w:p>
          <w:p w14:paraId="1ACEA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26" o:spt="75" type="#_x0000_t75" style="height:38pt;width:135pt;" o:ole="t" filled="f" o:preferrelative="t" stroked="f" coordsize="21600,21600">
                  <v:path/>
                  <v:fill on="f" focussize="0,0"/>
                  <v:stroke on="f"/>
                  <v:imagedata r:id="rId21" o:title=""/>
                  <o:lock v:ext="edit" grouping="f" rotation="f" text="f" aspectratio="t"/>
                  <w10:wrap type="none"/>
                  <w10:anchorlock/>
                </v:shape>
                <o:OLEObject Type="Embed" ProgID="Equation.DSMT4" ShapeID="_x0000_i1026" DrawAspect="Content" ObjectID="_1468075727" r:id="rId20">
                  <o:LockedField>false</o:LockedField>
                </o:OLEObject>
              </w:object>
            </w:r>
            <w:r>
              <w:rPr>
                <w:rFonts w:hint="default" w:ascii="Times New Roman" w:hAnsi="Times New Roman" w:eastAsia="仿宋" w:cs="Times New Roman"/>
                <w:color w:val="auto"/>
                <w:sz w:val="24"/>
                <w:szCs w:val="24"/>
              </w:rPr>
              <w:t xml:space="preserve">        （B.3）</w:t>
            </w:r>
          </w:p>
          <w:p w14:paraId="5DDD7DD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pli</w:t>
            </w:r>
            <w:r>
              <w:rPr>
                <w:rFonts w:hint="default" w:ascii="Times New Roman" w:hAnsi="Times New Roman" w:eastAsia="仿宋" w:cs="Times New Roman"/>
                <w:color w:val="auto"/>
                <w:sz w:val="24"/>
                <w:szCs w:val="24"/>
              </w:rPr>
              <w:t>（T）—靠近围护结构处室内N个声源i倍频带的叠加声压级，dB；</w:t>
            </w:r>
          </w:p>
          <w:p w14:paraId="621A19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plij</w:t>
            </w:r>
            <w:r>
              <w:rPr>
                <w:rFonts w:hint="default" w:ascii="Times New Roman" w:hAnsi="Times New Roman" w:eastAsia="仿宋" w:cs="Times New Roman"/>
                <w:color w:val="auto"/>
                <w:sz w:val="24"/>
                <w:szCs w:val="24"/>
              </w:rPr>
              <w:t>——室内j声源i倍频带的声压级，dB；</w:t>
            </w:r>
          </w:p>
          <w:p w14:paraId="675F7F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N——室内声源总数。</w:t>
            </w:r>
          </w:p>
          <w:p w14:paraId="3A0729A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在室内近似为扩散声场时，按式（B.4）计算出靠近室外围护结构处的声压级：</w:t>
            </w:r>
          </w:p>
          <w:p w14:paraId="3FAAC0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27" o:spt="75" type="#_x0000_t75" style="height:20pt;width:139.95pt;" o:ole="t" filled="f" o:preferrelative="t" stroked="f" coordsize="21600,21600">
                  <v:path/>
                  <v:fill on="f" focussize="0,0"/>
                  <v:stroke on="f"/>
                  <v:imagedata r:id="rId23" o:title=""/>
                  <o:lock v:ext="edit" grouping="f" rotation="f" text="f" aspectratio="t"/>
                  <w10:wrap type="none"/>
                  <w10:anchorlock/>
                </v:shape>
                <o:OLEObject Type="Embed" ProgID="Equation.DSMT4" ShapeID="_x0000_i1027" DrawAspect="Content" ObjectID="_1468075728" r:id="rId22">
                  <o:LockedField>false</o:LockedField>
                </o:OLEObject>
              </w:object>
            </w:r>
            <w:r>
              <w:rPr>
                <w:rFonts w:hint="default" w:ascii="Times New Roman" w:hAnsi="Times New Roman" w:eastAsia="仿宋" w:cs="Times New Roman"/>
                <w:color w:val="auto"/>
                <w:sz w:val="24"/>
                <w:szCs w:val="24"/>
              </w:rPr>
              <w:t xml:space="preserve">        （B.4）</w:t>
            </w:r>
          </w:p>
          <w:p w14:paraId="1B8202F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 xml:space="preserve">p2i </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T</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——靠近围护结构处室外N个声源i倍频带的叠加声压级，dB；</w:t>
            </w:r>
          </w:p>
          <w:p w14:paraId="1D7AA7C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p1i</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T</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——靠近围护结构处室内N个声源i倍频带的叠加声压级，dB；</w:t>
            </w:r>
          </w:p>
          <w:p w14:paraId="41D491D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T</w:t>
            </w:r>
            <w:r>
              <w:rPr>
                <w:rFonts w:hint="default" w:ascii="Times New Roman" w:hAnsi="Times New Roman" w:eastAsia="仿宋" w:cs="Times New Roman"/>
                <w:color w:val="auto"/>
                <w:sz w:val="24"/>
                <w:szCs w:val="24"/>
                <w:vertAlign w:val="subscript"/>
              </w:rPr>
              <w:t>Li</w:t>
            </w:r>
            <w:r>
              <w:rPr>
                <w:rFonts w:hint="default" w:ascii="Times New Roman" w:hAnsi="Times New Roman" w:eastAsia="仿宋" w:cs="Times New Roman"/>
                <w:color w:val="auto"/>
                <w:sz w:val="24"/>
                <w:szCs w:val="24"/>
              </w:rPr>
              <w:t>——围护结构i倍频带的隔声量，dB。</w:t>
            </w:r>
          </w:p>
          <w:p w14:paraId="36EFD9A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然后按式（B.5）将室外声源的声压级和透过面积换算成等效的室外声源，计算出中心位置位于透声面积（S）处的等效声源的倍频带声功率级。</w:t>
            </w:r>
          </w:p>
          <w:p w14:paraId="5FCD33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28" o:spt="75" type="#_x0000_t75" style="height:20pt;width:103.95pt;" o:ole="t" filled="f" o:preferrelative="t" stroked="f" coordsize="21600,21600">
                  <v:path/>
                  <v:fill on="f" focussize="0,0"/>
                  <v:stroke on="f"/>
                  <v:imagedata r:id="rId25" o:title=""/>
                  <o:lock v:ext="edit" grouping="f" rotation="f" text="f" aspectratio="t"/>
                  <w10:wrap type="none"/>
                  <w10:anchorlock/>
                </v:shape>
                <o:OLEObject Type="Embed" ProgID="Equation.DSMT4" ShapeID="_x0000_i1028" DrawAspect="Content" ObjectID="_1468075729" r:id="rId24">
                  <o:LockedField>false</o:LockedField>
                </o:OLEObject>
              </w:object>
            </w:r>
            <w:r>
              <w:rPr>
                <w:rFonts w:hint="default" w:ascii="Times New Roman" w:hAnsi="Times New Roman" w:eastAsia="仿宋" w:cs="Times New Roman"/>
                <w:color w:val="auto"/>
                <w:sz w:val="24"/>
                <w:szCs w:val="24"/>
              </w:rPr>
              <w:t xml:space="preserve">        （B.5）</w:t>
            </w:r>
          </w:p>
          <w:p w14:paraId="077D480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式中：L</w:t>
            </w:r>
            <w:r>
              <w:rPr>
                <w:rFonts w:hint="default" w:ascii="Times New Roman" w:hAnsi="Times New Roman" w:eastAsia="仿宋" w:cs="Times New Roman"/>
                <w:color w:val="auto"/>
                <w:sz w:val="24"/>
                <w:szCs w:val="24"/>
                <w:vertAlign w:val="subscript"/>
              </w:rPr>
              <w:t>w</w:t>
            </w:r>
            <w:r>
              <w:rPr>
                <w:rFonts w:hint="default" w:ascii="Times New Roman" w:hAnsi="Times New Roman" w:eastAsia="仿宋" w:cs="Times New Roman"/>
                <w:color w:val="auto"/>
                <w:sz w:val="24"/>
                <w:szCs w:val="24"/>
              </w:rPr>
              <w:t>—中心位置位于透声面积（S）处的等效声源的倍频带声功率级，dB；</w:t>
            </w:r>
          </w:p>
          <w:p w14:paraId="0D69373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L</w:t>
            </w:r>
            <w:r>
              <w:rPr>
                <w:rFonts w:hint="default" w:ascii="Times New Roman" w:hAnsi="Times New Roman" w:eastAsia="仿宋" w:cs="Times New Roman"/>
                <w:color w:val="auto"/>
                <w:sz w:val="24"/>
                <w:szCs w:val="24"/>
                <w:vertAlign w:val="subscript"/>
              </w:rPr>
              <w:t>p2</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T</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——靠近围护结构处室外声源的声压级，dB；</w:t>
            </w:r>
          </w:p>
          <w:p w14:paraId="4C88AE9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S——透声面积，m</w:t>
            </w:r>
            <w:r>
              <w:rPr>
                <w:rFonts w:hint="default" w:ascii="Times New Roman" w:hAnsi="Times New Roman" w:eastAsia="仿宋" w:cs="Times New Roman"/>
                <w:color w:val="auto"/>
                <w:sz w:val="24"/>
                <w:szCs w:val="24"/>
                <w:vertAlign w:val="superscript"/>
              </w:rPr>
              <w:t>2</w:t>
            </w:r>
            <w:r>
              <w:rPr>
                <w:rFonts w:hint="default" w:ascii="Times New Roman" w:hAnsi="Times New Roman" w:eastAsia="仿宋" w:cs="Times New Roman"/>
                <w:color w:val="auto"/>
                <w:sz w:val="24"/>
                <w:szCs w:val="24"/>
              </w:rPr>
              <w:t>。</w:t>
            </w:r>
          </w:p>
          <w:p w14:paraId="54F33F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然后按室外声源预测方法计算预测点处的A声级。</w:t>
            </w:r>
          </w:p>
          <w:p w14:paraId="7194A9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（3）工业企业噪声计算</w:t>
            </w:r>
          </w:p>
          <w:p w14:paraId="0E50A35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设第</w:t>
            </w:r>
            <w:r>
              <w:rPr>
                <w:rFonts w:hint="default" w:ascii="Times New Roman" w:hAnsi="Times New Roman" w:eastAsia="仿宋" w:cs="Times New Roman"/>
                <w:i/>
                <w:color w:val="auto"/>
                <w:sz w:val="24"/>
                <w:szCs w:val="24"/>
              </w:rPr>
              <w:t>i</w:t>
            </w:r>
            <w:r>
              <w:rPr>
                <w:rFonts w:hint="default" w:ascii="Times New Roman" w:hAnsi="Times New Roman" w:eastAsia="仿宋" w:cs="Times New Roman"/>
                <w:color w:val="auto"/>
                <w:sz w:val="24"/>
                <w:szCs w:val="24"/>
              </w:rPr>
              <w:t>个室外声源在预测点产生的A声级为</w:t>
            </w:r>
            <w:r>
              <w:rPr>
                <w:rFonts w:hint="default" w:ascii="Times New Roman" w:hAnsi="Times New Roman" w:eastAsia="仿宋" w:cs="Times New Roman"/>
                <w:i/>
                <w:color w:val="auto"/>
                <w:sz w:val="24"/>
                <w:szCs w:val="24"/>
              </w:rPr>
              <w:t>L</w:t>
            </w:r>
            <w:r>
              <w:rPr>
                <w:rFonts w:hint="default" w:ascii="Times New Roman" w:hAnsi="Times New Roman" w:eastAsia="仿宋" w:cs="Times New Roman"/>
                <w:i/>
                <w:color w:val="auto"/>
                <w:sz w:val="24"/>
                <w:szCs w:val="24"/>
                <w:vertAlign w:val="subscript"/>
              </w:rPr>
              <w:t>Ai</w:t>
            </w:r>
            <w:r>
              <w:rPr>
                <w:rFonts w:hint="default" w:ascii="Times New Roman" w:hAnsi="Times New Roman" w:eastAsia="仿宋" w:cs="Times New Roman"/>
                <w:color w:val="auto"/>
                <w:sz w:val="24"/>
                <w:szCs w:val="24"/>
              </w:rPr>
              <w:t>，在</w:t>
            </w:r>
            <w:r>
              <w:rPr>
                <w:rFonts w:hint="default" w:ascii="Times New Roman" w:hAnsi="Times New Roman" w:eastAsia="仿宋" w:cs="Times New Roman"/>
                <w:i/>
                <w:color w:val="auto"/>
                <w:sz w:val="24"/>
                <w:szCs w:val="24"/>
              </w:rPr>
              <w:t>T</w:t>
            </w:r>
            <w:r>
              <w:rPr>
                <w:rFonts w:hint="default" w:ascii="Times New Roman" w:hAnsi="Times New Roman" w:eastAsia="仿宋" w:cs="Times New Roman"/>
                <w:color w:val="auto"/>
                <w:sz w:val="24"/>
                <w:szCs w:val="24"/>
              </w:rPr>
              <w:t>时间内该声源工作时间为</w:t>
            </w:r>
            <w:r>
              <w:rPr>
                <w:rFonts w:hint="default" w:ascii="Times New Roman" w:hAnsi="Times New Roman" w:eastAsia="仿宋" w:cs="Times New Roman"/>
                <w:i/>
                <w:color w:val="auto"/>
                <w:sz w:val="24"/>
                <w:szCs w:val="24"/>
              </w:rPr>
              <w:t>t</w:t>
            </w:r>
            <w:r>
              <w:rPr>
                <w:rFonts w:hint="default" w:ascii="Times New Roman" w:hAnsi="Times New Roman" w:eastAsia="仿宋" w:cs="Times New Roman"/>
                <w:i/>
                <w:color w:val="auto"/>
                <w:sz w:val="24"/>
                <w:szCs w:val="24"/>
                <w:vertAlign w:val="subscript"/>
              </w:rPr>
              <w:t>i</w:t>
            </w:r>
            <w:r>
              <w:rPr>
                <w:rFonts w:hint="default" w:ascii="Times New Roman" w:hAnsi="Times New Roman" w:eastAsia="仿宋" w:cs="Times New Roman"/>
                <w:color w:val="auto"/>
                <w:sz w:val="24"/>
                <w:szCs w:val="24"/>
              </w:rPr>
              <w:t>；第</w:t>
            </w:r>
            <w:r>
              <w:rPr>
                <w:rFonts w:hint="default" w:ascii="Times New Roman" w:hAnsi="Times New Roman" w:eastAsia="仿宋" w:cs="Times New Roman"/>
                <w:i/>
                <w:color w:val="auto"/>
                <w:sz w:val="24"/>
                <w:szCs w:val="24"/>
              </w:rPr>
              <w:t>j</w:t>
            </w:r>
            <w:r>
              <w:rPr>
                <w:rFonts w:hint="default" w:ascii="Times New Roman" w:hAnsi="Times New Roman" w:eastAsia="仿宋" w:cs="Times New Roman"/>
                <w:color w:val="auto"/>
                <w:sz w:val="24"/>
                <w:szCs w:val="24"/>
              </w:rPr>
              <w:t>个等效室外声源在预测点产生的A声级为L</w:t>
            </w:r>
            <w:r>
              <w:rPr>
                <w:rFonts w:hint="default" w:ascii="Times New Roman" w:hAnsi="Times New Roman" w:eastAsia="仿宋" w:cs="Times New Roman"/>
                <w:i/>
                <w:color w:val="auto"/>
                <w:sz w:val="24"/>
                <w:szCs w:val="24"/>
                <w:vertAlign w:val="subscript"/>
              </w:rPr>
              <w:t>Aj</w:t>
            </w:r>
            <w:r>
              <w:rPr>
                <w:rFonts w:hint="default" w:ascii="Times New Roman" w:hAnsi="Times New Roman" w:eastAsia="仿宋" w:cs="Times New Roman"/>
                <w:color w:val="auto"/>
                <w:sz w:val="24"/>
                <w:szCs w:val="24"/>
              </w:rPr>
              <w:t>，在</w:t>
            </w:r>
            <w:r>
              <w:rPr>
                <w:rFonts w:hint="default" w:ascii="Times New Roman" w:hAnsi="Times New Roman" w:eastAsia="仿宋" w:cs="Times New Roman"/>
                <w:i/>
                <w:color w:val="auto"/>
                <w:sz w:val="24"/>
                <w:szCs w:val="24"/>
              </w:rPr>
              <w:t>T</w:t>
            </w:r>
            <w:r>
              <w:rPr>
                <w:rFonts w:hint="default" w:ascii="Times New Roman" w:hAnsi="Times New Roman" w:eastAsia="仿宋" w:cs="Times New Roman"/>
                <w:color w:val="auto"/>
                <w:sz w:val="24"/>
                <w:szCs w:val="24"/>
              </w:rPr>
              <w:t>时间内该声源工作时间为</w:t>
            </w:r>
            <w:r>
              <w:rPr>
                <w:rFonts w:hint="default" w:ascii="Times New Roman" w:hAnsi="Times New Roman" w:eastAsia="仿宋" w:cs="Times New Roman"/>
                <w:i/>
                <w:color w:val="auto"/>
                <w:sz w:val="24"/>
                <w:szCs w:val="24"/>
              </w:rPr>
              <w:t>t</w:t>
            </w:r>
            <w:r>
              <w:rPr>
                <w:rFonts w:hint="default" w:ascii="Times New Roman" w:hAnsi="Times New Roman" w:eastAsia="仿宋" w:cs="Times New Roman"/>
                <w:i/>
                <w:color w:val="auto"/>
                <w:sz w:val="24"/>
                <w:szCs w:val="24"/>
                <w:vertAlign w:val="subscript"/>
              </w:rPr>
              <w:t>j</w:t>
            </w:r>
            <w:r>
              <w:rPr>
                <w:rFonts w:hint="default" w:ascii="Times New Roman" w:hAnsi="Times New Roman" w:eastAsia="仿宋" w:cs="Times New Roman"/>
                <w:color w:val="auto"/>
                <w:sz w:val="24"/>
                <w:szCs w:val="24"/>
              </w:rPr>
              <w:t>，则拟建工程声源对预测点产生的贡献值为：</w:t>
            </w:r>
          </w:p>
          <w:p w14:paraId="4408C7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29" o:spt="75" type="#_x0000_t75" style="height:37.1pt;width:192.6pt;" o:ole="t" filled="f" o:preferrelative="t" stroked="f" coordsize="21600,21600">
                  <v:path/>
                  <v:fill on="f" focussize="0,0"/>
                  <v:stroke on="f"/>
                  <v:imagedata r:id="rId27" o:title=""/>
                  <o:lock v:ext="edit" grouping="f" rotation="f" text="f" aspectratio="t"/>
                  <w10:wrap type="none"/>
                  <w10:anchorlock/>
                </v:shape>
                <o:OLEObject Type="Embed" ProgID="Equation.DSMT4" ShapeID="_x0000_i1029" DrawAspect="Content" ObjectID="_1468075730" r:id="rId26">
                  <o:LockedField>false</o:LockedField>
                </o:OLEObject>
              </w:object>
            </w:r>
          </w:p>
          <w:p w14:paraId="3C6FC03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（4）预测值计算</w:t>
            </w:r>
          </w:p>
          <w:p w14:paraId="6FDEDBB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预测点的预测等效声级为：</w:t>
            </w:r>
          </w:p>
          <w:p w14:paraId="43837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object>
                <v:shape id="_x0000_i1030" o:spt="75" type="#_x0000_t75" style="height:21.25pt;width:122.9pt;" o:ole="t" filled="f" o:preferrelative="t" stroked="f" coordsize="21600,21600">
                  <v:path/>
                  <v:fill on="f" focussize="0,0"/>
                  <v:stroke on="f"/>
                  <v:imagedata r:id="rId29" o:title=""/>
                  <o:lock v:ext="edit" grouping="f" rotation="f" text="f" aspectratio="t"/>
                  <w10:wrap type="none"/>
                  <w10:anchorlock/>
                </v:shape>
                <o:OLEObject Type="Embed" ProgID="Equation.DSMT4" ShapeID="_x0000_i1030" DrawAspect="Content" ObjectID="_1468075731" r:id="rId28">
                  <o:LockedField>false</o:LockedField>
                </o:OLEObject>
              </w:object>
            </w:r>
          </w:p>
          <w:p w14:paraId="7223F1B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（5）预测结果</w:t>
            </w:r>
          </w:p>
          <w:p w14:paraId="057293F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根据HJ2.4-2021“工业噪声预测模式”对本次噪声影响进行预测，各厂界噪声预测结果见表4-</w:t>
            </w:r>
            <w:r>
              <w:rPr>
                <w:rFonts w:hint="default" w:ascii="Times New Roman" w:hAnsi="Times New Roman" w:eastAsia="仿宋" w:cs="Times New Roman"/>
                <w:color w:val="auto"/>
                <w:sz w:val="24"/>
                <w:szCs w:val="24"/>
                <w:lang w:val="en-US" w:eastAsia="zh-CN"/>
              </w:rPr>
              <w:t>14</w:t>
            </w:r>
            <w:r>
              <w:rPr>
                <w:rFonts w:hint="default" w:ascii="Times New Roman" w:hAnsi="Times New Roman" w:eastAsia="仿宋" w:cs="Times New Roman"/>
                <w:color w:val="auto"/>
                <w:sz w:val="24"/>
                <w:szCs w:val="24"/>
              </w:rPr>
              <w:t>。</w:t>
            </w:r>
          </w:p>
          <w:p w14:paraId="144C11BF">
            <w:pPr>
              <w:spacing w:line="240" w:lineRule="auto"/>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表4</w:t>
            </w:r>
            <w:r>
              <w:rPr>
                <w:rFonts w:hint="default" w:ascii="Times New Roman" w:hAnsi="Times New Roman" w:eastAsia="仿宋" w:cs="Times New Roman"/>
                <w:b/>
                <w:color w:val="auto"/>
                <w:szCs w:val="21"/>
                <w:lang w:val="en-US" w:eastAsia="zh-CN"/>
              </w:rPr>
              <w:t>-14</w:t>
            </w:r>
            <w:r>
              <w:rPr>
                <w:rFonts w:hint="default" w:ascii="Times New Roman" w:hAnsi="Times New Roman" w:eastAsia="仿宋" w:cs="Times New Roman"/>
                <w:b/>
                <w:color w:val="auto"/>
                <w:szCs w:val="21"/>
              </w:rPr>
              <w:t xml:space="preserve">  项目噪声源强预测结果一览表    单位：dB（A）</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2127"/>
              <w:gridCol w:w="1939"/>
              <w:gridCol w:w="2065"/>
              <w:gridCol w:w="2067"/>
            </w:tblGrid>
            <w:tr w14:paraId="041080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97" w:type="pct"/>
                  <w:vMerge w:val="restart"/>
                  <w:noWrap w:val="0"/>
                  <w:vAlign w:val="center"/>
                </w:tcPr>
                <w:p w14:paraId="4C982C00">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预测点</w:t>
                  </w:r>
                </w:p>
              </w:tc>
              <w:tc>
                <w:tcPr>
                  <w:tcW w:w="1182" w:type="pct"/>
                  <w:vMerge w:val="restart"/>
                  <w:noWrap w:val="0"/>
                  <w:vAlign w:val="center"/>
                </w:tcPr>
                <w:p w14:paraId="48AF908C">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lang w:val="en-US" w:eastAsia="zh-CN"/>
                    </w:rPr>
                    <w:t>预测</w:t>
                  </w:r>
                  <w:r>
                    <w:rPr>
                      <w:rFonts w:hint="default" w:ascii="Times New Roman" w:hAnsi="Times New Roman" w:eastAsia="仿宋" w:cs="Times New Roman"/>
                      <w:b/>
                      <w:color w:val="auto"/>
                      <w:sz w:val="21"/>
                      <w:szCs w:val="21"/>
                    </w:rPr>
                    <w:t>贡献值</w:t>
                  </w:r>
                </w:p>
              </w:tc>
              <w:tc>
                <w:tcPr>
                  <w:tcW w:w="1259" w:type="pct"/>
                  <w:noWrap w:val="0"/>
                  <w:vAlign w:val="center"/>
                </w:tcPr>
                <w:p w14:paraId="75423FD5">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标准</w:t>
                  </w:r>
                </w:p>
              </w:tc>
              <w:tc>
                <w:tcPr>
                  <w:tcW w:w="1260" w:type="pct"/>
                  <w:noWrap w:val="0"/>
                  <w:vAlign w:val="center"/>
                </w:tcPr>
                <w:p w14:paraId="33A57C60">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超标情况</w:t>
                  </w:r>
                </w:p>
              </w:tc>
            </w:tr>
            <w:tr w14:paraId="62A00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97" w:type="pct"/>
                  <w:vMerge w:val="continue"/>
                  <w:noWrap w:val="0"/>
                  <w:vAlign w:val="center"/>
                </w:tcPr>
                <w:p w14:paraId="681A8ECB">
                  <w:pPr>
                    <w:autoSpaceDE w:val="0"/>
                    <w:autoSpaceDN w:val="0"/>
                    <w:spacing w:line="300" w:lineRule="exact"/>
                    <w:jc w:val="center"/>
                    <w:rPr>
                      <w:rFonts w:hint="default" w:ascii="Times New Roman" w:hAnsi="Times New Roman" w:eastAsia="仿宋" w:cs="Times New Roman"/>
                      <w:b/>
                      <w:color w:val="auto"/>
                      <w:sz w:val="21"/>
                      <w:szCs w:val="21"/>
                    </w:rPr>
                  </w:pPr>
                </w:p>
              </w:tc>
              <w:tc>
                <w:tcPr>
                  <w:tcW w:w="1182" w:type="pct"/>
                  <w:vMerge w:val="continue"/>
                  <w:noWrap w:val="0"/>
                  <w:vAlign w:val="center"/>
                </w:tcPr>
                <w:p w14:paraId="3EA2D991">
                  <w:pPr>
                    <w:autoSpaceDE w:val="0"/>
                    <w:autoSpaceDN w:val="0"/>
                    <w:spacing w:line="300" w:lineRule="exact"/>
                    <w:jc w:val="center"/>
                    <w:rPr>
                      <w:rFonts w:hint="default" w:ascii="Times New Roman" w:hAnsi="Times New Roman" w:eastAsia="仿宋" w:cs="Times New Roman"/>
                      <w:b/>
                      <w:color w:val="auto"/>
                      <w:sz w:val="21"/>
                      <w:szCs w:val="21"/>
                    </w:rPr>
                  </w:pPr>
                </w:p>
              </w:tc>
              <w:tc>
                <w:tcPr>
                  <w:tcW w:w="1259" w:type="pct"/>
                  <w:noWrap w:val="0"/>
                  <w:vAlign w:val="center"/>
                </w:tcPr>
                <w:p w14:paraId="344A4B35">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昼</w:t>
                  </w:r>
                </w:p>
              </w:tc>
              <w:tc>
                <w:tcPr>
                  <w:tcW w:w="1260" w:type="pct"/>
                  <w:noWrap w:val="0"/>
                  <w:vAlign w:val="center"/>
                </w:tcPr>
                <w:p w14:paraId="2E35BF70">
                  <w:pPr>
                    <w:autoSpaceDE w:val="0"/>
                    <w:autoSpaceDN w:val="0"/>
                    <w:spacing w:line="300" w:lineRule="exact"/>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昼</w:t>
                  </w:r>
                </w:p>
              </w:tc>
            </w:tr>
            <w:tr w14:paraId="7EDE5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297" w:type="pct"/>
                  <w:noWrap w:val="0"/>
                  <w:vAlign w:val="center"/>
                </w:tcPr>
                <w:p w14:paraId="0D127486">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N1（东</w:t>
                  </w:r>
                  <w:r>
                    <w:rPr>
                      <w:rFonts w:hint="default" w:ascii="Times New Roman" w:hAnsi="Times New Roman" w:eastAsia="仿宋" w:cs="Times New Roman"/>
                      <w:color w:val="auto"/>
                      <w:kern w:val="0"/>
                      <w:sz w:val="21"/>
                      <w:szCs w:val="21"/>
                    </w:rPr>
                    <w:t>厂界）</w:t>
                  </w:r>
                </w:p>
              </w:tc>
              <w:tc>
                <w:tcPr>
                  <w:tcW w:w="1894" w:type="dxa"/>
                  <w:noWrap w:val="0"/>
                  <w:vAlign w:val="center"/>
                </w:tcPr>
                <w:p w14:paraId="7C020D65">
                  <w:pPr>
                    <w:autoSpaceDE w:val="0"/>
                    <w:autoSpaceDN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48.4</w:t>
                  </w:r>
                </w:p>
              </w:tc>
              <w:tc>
                <w:tcPr>
                  <w:tcW w:w="1259" w:type="pct"/>
                  <w:noWrap w:val="0"/>
                  <w:vAlign w:val="center"/>
                </w:tcPr>
                <w:p w14:paraId="11081FEC">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1260" w:type="pct"/>
                  <w:noWrap w:val="0"/>
                  <w:vAlign w:val="center"/>
                </w:tcPr>
                <w:p w14:paraId="2204C9C4">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1535C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1297" w:type="pct"/>
                  <w:noWrap w:val="0"/>
                  <w:vAlign w:val="center"/>
                </w:tcPr>
                <w:p w14:paraId="1A0490EE">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N2（南</w:t>
                  </w:r>
                  <w:r>
                    <w:rPr>
                      <w:rFonts w:hint="default" w:ascii="Times New Roman" w:hAnsi="Times New Roman" w:eastAsia="仿宋" w:cs="Times New Roman"/>
                      <w:color w:val="auto"/>
                      <w:kern w:val="0"/>
                      <w:sz w:val="21"/>
                      <w:szCs w:val="21"/>
                    </w:rPr>
                    <w:t>厂界</w:t>
                  </w:r>
                  <w:r>
                    <w:rPr>
                      <w:rFonts w:hint="default" w:ascii="Times New Roman" w:hAnsi="Times New Roman" w:eastAsia="仿宋" w:cs="Times New Roman"/>
                      <w:color w:val="auto"/>
                      <w:sz w:val="21"/>
                      <w:szCs w:val="21"/>
                    </w:rPr>
                    <w:t>）</w:t>
                  </w:r>
                </w:p>
              </w:tc>
              <w:tc>
                <w:tcPr>
                  <w:tcW w:w="1894" w:type="dxa"/>
                  <w:noWrap w:val="0"/>
                  <w:vAlign w:val="center"/>
                </w:tcPr>
                <w:p w14:paraId="7FC614CD">
                  <w:pPr>
                    <w:autoSpaceDE w:val="0"/>
                    <w:autoSpaceDN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54.6</w:t>
                  </w:r>
                </w:p>
              </w:tc>
              <w:tc>
                <w:tcPr>
                  <w:tcW w:w="1259" w:type="pct"/>
                  <w:noWrap w:val="0"/>
                  <w:vAlign w:val="center"/>
                </w:tcPr>
                <w:p w14:paraId="31C27AD3">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1260" w:type="pct"/>
                  <w:noWrap w:val="0"/>
                  <w:vAlign w:val="center"/>
                </w:tcPr>
                <w:p w14:paraId="7315586F">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2280D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0" w:hRule="atLeast"/>
                <w:jc w:val="center"/>
              </w:trPr>
              <w:tc>
                <w:tcPr>
                  <w:tcW w:w="1297" w:type="pct"/>
                  <w:noWrap w:val="0"/>
                  <w:vAlign w:val="center"/>
                </w:tcPr>
                <w:p w14:paraId="0F9A99F7">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N3（西</w:t>
                  </w:r>
                  <w:r>
                    <w:rPr>
                      <w:rFonts w:hint="default" w:ascii="Times New Roman" w:hAnsi="Times New Roman" w:eastAsia="仿宋" w:cs="Times New Roman"/>
                      <w:color w:val="auto"/>
                      <w:kern w:val="0"/>
                      <w:sz w:val="21"/>
                      <w:szCs w:val="21"/>
                    </w:rPr>
                    <w:t>厂界</w:t>
                  </w:r>
                  <w:r>
                    <w:rPr>
                      <w:rFonts w:hint="default" w:ascii="Times New Roman" w:hAnsi="Times New Roman" w:eastAsia="仿宋" w:cs="Times New Roman"/>
                      <w:color w:val="auto"/>
                      <w:sz w:val="21"/>
                      <w:szCs w:val="21"/>
                    </w:rPr>
                    <w:t>）</w:t>
                  </w:r>
                </w:p>
              </w:tc>
              <w:tc>
                <w:tcPr>
                  <w:tcW w:w="1894" w:type="dxa"/>
                  <w:noWrap w:val="0"/>
                  <w:vAlign w:val="center"/>
                </w:tcPr>
                <w:p w14:paraId="793D6A65">
                  <w:pPr>
                    <w:autoSpaceDE w:val="0"/>
                    <w:autoSpaceDN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48.8</w:t>
                  </w:r>
                </w:p>
              </w:tc>
              <w:tc>
                <w:tcPr>
                  <w:tcW w:w="1259" w:type="pct"/>
                  <w:noWrap w:val="0"/>
                  <w:vAlign w:val="center"/>
                </w:tcPr>
                <w:p w14:paraId="5BFB6636">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1260" w:type="pct"/>
                  <w:noWrap w:val="0"/>
                  <w:vAlign w:val="center"/>
                </w:tcPr>
                <w:p w14:paraId="3A324095">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r w14:paraId="6C68D5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97" w:type="pct"/>
                  <w:noWrap w:val="0"/>
                  <w:vAlign w:val="center"/>
                </w:tcPr>
                <w:p w14:paraId="02E8A157">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N4（北</w:t>
                  </w:r>
                  <w:r>
                    <w:rPr>
                      <w:rFonts w:hint="default" w:ascii="Times New Roman" w:hAnsi="Times New Roman" w:eastAsia="仿宋" w:cs="Times New Roman"/>
                      <w:color w:val="auto"/>
                      <w:kern w:val="0"/>
                      <w:sz w:val="21"/>
                      <w:szCs w:val="21"/>
                    </w:rPr>
                    <w:t>厂界</w:t>
                  </w:r>
                  <w:r>
                    <w:rPr>
                      <w:rFonts w:hint="default" w:ascii="Times New Roman" w:hAnsi="Times New Roman" w:eastAsia="仿宋" w:cs="Times New Roman"/>
                      <w:color w:val="auto"/>
                      <w:sz w:val="21"/>
                      <w:szCs w:val="21"/>
                    </w:rPr>
                    <w:t>）</w:t>
                  </w:r>
                </w:p>
              </w:tc>
              <w:tc>
                <w:tcPr>
                  <w:tcW w:w="1894" w:type="dxa"/>
                  <w:noWrap w:val="0"/>
                  <w:vAlign w:val="center"/>
                </w:tcPr>
                <w:p w14:paraId="42D9B9F8">
                  <w:pPr>
                    <w:autoSpaceDE w:val="0"/>
                    <w:autoSpaceDN w:val="0"/>
                    <w:spacing w:line="30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52.5</w:t>
                  </w:r>
                </w:p>
              </w:tc>
              <w:tc>
                <w:tcPr>
                  <w:tcW w:w="1259" w:type="pct"/>
                  <w:noWrap w:val="0"/>
                  <w:vAlign w:val="center"/>
                </w:tcPr>
                <w:p w14:paraId="491A317C">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65</w:t>
                  </w:r>
                </w:p>
              </w:tc>
              <w:tc>
                <w:tcPr>
                  <w:tcW w:w="1260" w:type="pct"/>
                  <w:noWrap w:val="0"/>
                  <w:vAlign w:val="center"/>
                </w:tcPr>
                <w:p w14:paraId="26EB4257">
                  <w:pPr>
                    <w:autoSpaceDE w:val="0"/>
                    <w:autoSpaceDN w:val="0"/>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达标</w:t>
                  </w:r>
                </w:p>
              </w:tc>
            </w:tr>
          </w:tbl>
          <w:p w14:paraId="5BB1388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 w:cs="Times New Roman"/>
                <w:b/>
                <w:bCs/>
                <w:color w:val="auto"/>
                <w:sz w:val="21"/>
                <w:szCs w:val="21"/>
                <w:lang w:val="en-US" w:eastAsia="zh-CN"/>
              </w:rPr>
            </w:pPr>
            <w:r>
              <w:rPr>
                <w:rFonts w:hint="default" w:ascii="Times New Roman" w:hAnsi="Times New Roman" w:eastAsia="仿宋" w:cs="Times New Roman"/>
                <w:b/>
                <w:bCs/>
                <w:color w:val="auto"/>
                <w:sz w:val="21"/>
                <w:szCs w:val="21"/>
                <w:lang w:val="en-US" w:eastAsia="zh-CN"/>
              </w:rPr>
              <w:t>注：本项目夜间不生产。</w:t>
            </w:r>
          </w:p>
          <w:p w14:paraId="4D29EB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由预测结果可见，建设项目高噪声设备经厂房隔声、减振等措施治理后，东、南、西、北四个厂界的昼间噪声预测</w:t>
            </w:r>
            <w:r>
              <w:rPr>
                <w:rFonts w:hint="default" w:ascii="Times New Roman" w:hAnsi="Times New Roman" w:eastAsia="仿宋" w:cs="Times New Roman"/>
                <w:color w:val="auto"/>
                <w:sz w:val="24"/>
                <w:szCs w:val="24"/>
                <w:lang w:val="en-US" w:eastAsia="zh-CN"/>
              </w:rPr>
              <w:t>贡献</w:t>
            </w:r>
            <w:r>
              <w:rPr>
                <w:rFonts w:hint="default" w:ascii="Times New Roman" w:hAnsi="Times New Roman" w:eastAsia="仿宋" w:cs="Times New Roman"/>
                <w:color w:val="auto"/>
                <w:sz w:val="24"/>
                <w:szCs w:val="24"/>
              </w:rPr>
              <w:t>值</w:t>
            </w:r>
            <w:r>
              <w:rPr>
                <w:rFonts w:hint="default" w:ascii="Times New Roman" w:hAnsi="Times New Roman" w:eastAsia="仿宋" w:cs="Times New Roman"/>
                <w:color w:val="auto"/>
                <w:sz w:val="24"/>
                <w:szCs w:val="24"/>
                <w:lang w:val="en-US" w:eastAsia="zh-CN"/>
              </w:rPr>
              <w:t>小于65d</w:t>
            </w:r>
            <w:r>
              <w:rPr>
                <w:rFonts w:hint="default" w:ascii="Times New Roman" w:hAnsi="Times New Roman" w:eastAsia="仿宋" w:cs="Times New Roman"/>
                <w:color w:val="auto"/>
                <w:sz w:val="24"/>
                <w:szCs w:val="24"/>
              </w:rPr>
              <w:t>B（A）</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可使项目各厂界噪声排放符合《工业企业厂界环境噪声排放标准》（GB12348-2008）表1中</w:t>
            </w:r>
            <w:r>
              <w:rPr>
                <w:rFonts w:hint="default" w:ascii="Times New Roman" w:hAnsi="Times New Roman" w:eastAsia="仿宋" w:cs="Times New Roman"/>
                <w:color w:val="auto"/>
                <w:sz w:val="24"/>
                <w:szCs w:val="24"/>
                <w:lang w:val="en-US" w:eastAsia="zh-CN"/>
              </w:rPr>
              <w:t>3</w:t>
            </w:r>
            <w:r>
              <w:rPr>
                <w:rFonts w:hint="default" w:ascii="Times New Roman" w:hAnsi="Times New Roman" w:eastAsia="仿宋" w:cs="Times New Roman"/>
                <w:color w:val="auto"/>
                <w:sz w:val="24"/>
                <w:szCs w:val="24"/>
              </w:rPr>
              <w:t>类功能区对应标准限值，即：昼间噪声值≤6</w:t>
            </w:r>
            <w:r>
              <w:rPr>
                <w:rFonts w:hint="default" w:ascii="Times New Roman" w:hAnsi="Times New Roman" w:eastAsia="仿宋" w:cs="Times New Roman"/>
                <w:color w:val="auto"/>
                <w:sz w:val="24"/>
                <w:szCs w:val="24"/>
                <w:lang w:val="en-US" w:eastAsia="zh-CN"/>
              </w:rPr>
              <w:t>5</w:t>
            </w:r>
            <w:r>
              <w:rPr>
                <w:rFonts w:hint="default" w:ascii="Times New Roman" w:hAnsi="Times New Roman" w:eastAsia="仿宋" w:cs="Times New Roman"/>
                <w:color w:val="auto"/>
                <w:sz w:val="24"/>
                <w:szCs w:val="24"/>
              </w:rPr>
              <w:t>dB（A）</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可达标排放。</w:t>
            </w:r>
          </w:p>
          <w:p w14:paraId="5593FA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因此，建设项目噪声防治措施可行，厂界噪声可以达标，项目建成运营后对周边的声环境影响很小，不会产生扰民现象。</w:t>
            </w:r>
          </w:p>
          <w:p w14:paraId="64B40C6B">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3.4噪声监测计划</w:t>
            </w:r>
          </w:p>
          <w:p w14:paraId="21C54E2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监测点位：厂界四周布设4个点位；</w:t>
            </w:r>
          </w:p>
          <w:p w14:paraId="28B98B5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监测频次：《排污单位自行监测技术指南 总则》（HJ819-2017）要求每季度监测一次。</w:t>
            </w:r>
          </w:p>
          <w:p w14:paraId="2A3D816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监测因子：</w:t>
            </w:r>
            <w:r>
              <w:rPr>
                <w:rFonts w:hint="default" w:ascii="Times New Roman" w:hAnsi="Times New Roman" w:eastAsia="仿宋" w:cs="Times New Roman"/>
                <w:bCs/>
                <w:color w:val="auto"/>
                <w:sz w:val="24"/>
                <w:szCs w:val="24"/>
              </w:rPr>
              <w:t>厂界噪声</w:t>
            </w:r>
            <w:r>
              <w:rPr>
                <w:rFonts w:hint="default" w:ascii="Times New Roman" w:hAnsi="Times New Roman" w:eastAsia="仿宋" w:cs="Times New Roman"/>
                <w:color w:val="auto"/>
                <w:sz w:val="24"/>
                <w:szCs w:val="24"/>
              </w:rPr>
              <w:t>昼间</w:t>
            </w:r>
            <w:r>
              <w:rPr>
                <w:rFonts w:hint="default" w:ascii="Times New Roman" w:hAnsi="Times New Roman" w:eastAsia="仿宋" w:cs="Times New Roman"/>
                <w:bCs/>
                <w:color w:val="auto"/>
                <w:sz w:val="24"/>
                <w:szCs w:val="24"/>
              </w:rPr>
              <w:t>等效连续A声级</w:t>
            </w:r>
            <w:r>
              <w:rPr>
                <w:rFonts w:hint="default" w:ascii="Times New Roman" w:hAnsi="Times New Roman" w:eastAsia="仿宋" w:cs="Times New Roman"/>
                <w:color w:val="auto"/>
                <w:sz w:val="24"/>
                <w:szCs w:val="24"/>
              </w:rPr>
              <w:t>Leq</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A</w:t>
            </w:r>
            <w:r>
              <w:rPr>
                <w:rFonts w:hint="default" w:ascii="Times New Roman" w:hAnsi="Times New Roman" w:eastAsia="仿宋" w:cs="Times New Roman"/>
                <w:color w:val="auto"/>
                <w:sz w:val="24"/>
                <w:szCs w:val="24"/>
                <w:lang w:eastAsia="zh-CN"/>
              </w:rPr>
              <w:t>）</w:t>
            </w:r>
            <w:r>
              <w:rPr>
                <w:rFonts w:hint="default" w:ascii="Times New Roman" w:hAnsi="Times New Roman" w:eastAsia="仿宋" w:cs="Times New Roman"/>
                <w:color w:val="auto"/>
                <w:sz w:val="24"/>
                <w:szCs w:val="24"/>
              </w:rPr>
              <w:t>。</w:t>
            </w:r>
          </w:p>
          <w:p w14:paraId="38496875">
            <w:pPr>
              <w:keepNext w:val="0"/>
              <w:keepLines w:val="0"/>
              <w:pageBreakBefore w:val="0"/>
              <w:widowControl w:val="0"/>
              <w:tabs>
                <w:tab w:val="left" w:pos="2160"/>
              </w:tabs>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噪声监测位置、监测因子、频率等详见表4-</w:t>
            </w:r>
            <w:r>
              <w:rPr>
                <w:rFonts w:hint="default" w:ascii="Times New Roman" w:hAnsi="Times New Roman" w:eastAsia="仿宋" w:cs="Times New Roman"/>
                <w:color w:val="auto"/>
                <w:sz w:val="24"/>
                <w:szCs w:val="24"/>
                <w:lang w:val="en-US" w:eastAsia="zh-CN"/>
              </w:rPr>
              <w:t>15</w:t>
            </w:r>
            <w:r>
              <w:rPr>
                <w:rFonts w:hint="default" w:ascii="Times New Roman" w:hAnsi="Times New Roman" w:eastAsia="仿宋" w:cs="Times New Roman"/>
                <w:color w:val="auto"/>
                <w:sz w:val="24"/>
                <w:szCs w:val="24"/>
              </w:rPr>
              <w:t>。</w:t>
            </w:r>
          </w:p>
          <w:p w14:paraId="422C18B1">
            <w:pPr>
              <w:spacing w:line="240" w:lineRule="auto"/>
              <w:jc w:val="center"/>
              <w:rPr>
                <w:rFonts w:hint="default" w:ascii="Times New Roman" w:hAnsi="Times New Roman" w:eastAsia="仿宋" w:cs="Times New Roman"/>
                <w:b/>
                <w:color w:val="auto"/>
                <w:szCs w:val="21"/>
                <w:lang w:val="en-US" w:eastAsia="zh-CN"/>
              </w:rPr>
            </w:pPr>
          </w:p>
          <w:p w14:paraId="5DC33C89">
            <w:pPr>
              <w:spacing w:line="240" w:lineRule="auto"/>
              <w:jc w:val="center"/>
              <w:rPr>
                <w:rFonts w:hint="default" w:ascii="Times New Roman" w:hAnsi="Times New Roman" w:eastAsia="仿宋" w:cs="Times New Roman"/>
                <w:b/>
                <w:color w:val="auto"/>
                <w:szCs w:val="21"/>
                <w:lang w:val="en-US" w:eastAsia="zh-CN"/>
              </w:rPr>
            </w:pPr>
          </w:p>
          <w:p w14:paraId="53006C91">
            <w:pPr>
              <w:spacing w:line="240" w:lineRule="auto"/>
              <w:jc w:val="center"/>
              <w:rPr>
                <w:rFonts w:hint="default" w:ascii="Times New Roman" w:hAnsi="Times New Roman" w:eastAsia="仿宋" w:cs="Times New Roman"/>
                <w:b/>
                <w:color w:val="auto"/>
                <w:szCs w:val="21"/>
                <w:lang w:val="en-US" w:eastAsia="zh-CN"/>
              </w:rPr>
            </w:pPr>
            <w:r>
              <w:rPr>
                <w:rFonts w:hint="default" w:ascii="Times New Roman" w:hAnsi="Times New Roman" w:eastAsia="仿宋" w:cs="Times New Roman"/>
                <w:b/>
                <w:color w:val="auto"/>
                <w:szCs w:val="21"/>
                <w:lang w:val="en-US" w:eastAsia="zh-CN"/>
              </w:rPr>
              <w:t>表4-15  噪声监测因子及频次表</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889"/>
              <w:gridCol w:w="1912"/>
              <w:gridCol w:w="4397"/>
            </w:tblGrid>
            <w:tr w14:paraId="682708E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noWrap w:val="0"/>
                  <w:vAlign w:val="center"/>
                </w:tcPr>
                <w:p w14:paraId="0A7222F3">
                  <w:pPr>
                    <w:snapToGrid w:val="0"/>
                    <w:spacing w:line="28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监测点位</w:t>
                  </w:r>
                </w:p>
              </w:tc>
              <w:tc>
                <w:tcPr>
                  <w:tcW w:w="1166" w:type="pct"/>
                  <w:noWrap w:val="0"/>
                  <w:vAlign w:val="center"/>
                </w:tcPr>
                <w:p w14:paraId="5AFDCE82">
                  <w:pPr>
                    <w:snapToGrid w:val="0"/>
                    <w:spacing w:line="28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监测因子</w:t>
                  </w:r>
                </w:p>
              </w:tc>
              <w:tc>
                <w:tcPr>
                  <w:tcW w:w="2682" w:type="pct"/>
                  <w:noWrap w:val="0"/>
                  <w:vAlign w:val="center"/>
                </w:tcPr>
                <w:p w14:paraId="2AF6D46A">
                  <w:pPr>
                    <w:snapToGrid w:val="0"/>
                    <w:spacing w:line="280" w:lineRule="exact"/>
                    <w:jc w:val="center"/>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监测频次</w:t>
                  </w:r>
                </w:p>
              </w:tc>
            </w:tr>
            <w:tr w14:paraId="1A26A9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40" w:hRule="atLeast"/>
                <w:jc w:val="center"/>
              </w:trPr>
              <w:tc>
                <w:tcPr>
                  <w:tcW w:w="1152" w:type="pct"/>
                  <w:noWrap w:val="0"/>
                  <w:vAlign w:val="center"/>
                </w:tcPr>
                <w:p w14:paraId="538D570B">
                  <w:pPr>
                    <w:snapToGrid w:val="0"/>
                    <w:spacing w:line="28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厂界四周</w:t>
                  </w:r>
                </w:p>
              </w:tc>
              <w:tc>
                <w:tcPr>
                  <w:tcW w:w="1166" w:type="pct"/>
                  <w:noWrap w:val="0"/>
                  <w:vAlign w:val="center"/>
                </w:tcPr>
                <w:p w14:paraId="0D258BE4">
                  <w:pPr>
                    <w:snapToGrid w:val="0"/>
                    <w:spacing w:line="28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bCs/>
                      <w:color w:val="auto"/>
                      <w:szCs w:val="21"/>
                    </w:rPr>
                    <w:t>等效连续A声级</w:t>
                  </w:r>
                </w:p>
              </w:tc>
              <w:tc>
                <w:tcPr>
                  <w:tcW w:w="2682" w:type="pct"/>
                  <w:noWrap w:val="0"/>
                  <w:vAlign w:val="center"/>
                </w:tcPr>
                <w:p w14:paraId="769F217C">
                  <w:pPr>
                    <w:snapToGrid w:val="0"/>
                    <w:spacing w:line="28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根据《排污单位自行监测技术指南 总则》（HJ819-2017）要求每季度监测一次</w:t>
                  </w:r>
                </w:p>
              </w:tc>
            </w:tr>
          </w:tbl>
          <w:p w14:paraId="67589A37">
            <w:pPr>
              <w:keepNext w:val="0"/>
              <w:keepLines w:val="0"/>
              <w:pageBreakBefore w:val="0"/>
              <w:widowControl w:val="0"/>
              <w:tabs>
                <w:tab w:val="left" w:pos="1684"/>
              </w:tabs>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b/>
                <w:bCs/>
                <w:color w:val="auto"/>
                <w:spacing w:val="-4"/>
                <w:sz w:val="24"/>
                <w:szCs w:val="24"/>
              </w:rPr>
            </w:pPr>
            <w:r>
              <w:rPr>
                <w:rFonts w:hint="default" w:ascii="Times New Roman" w:hAnsi="Times New Roman" w:eastAsia="仿宋" w:cs="Times New Roman"/>
                <w:b/>
                <w:bCs/>
                <w:color w:val="auto"/>
                <w:spacing w:val="-4"/>
                <w:sz w:val="24"/>
                <w:szCs w:val="24"/>
                <w:lang w:val="en-US" w:eastAsia="zh-CN"/>
              </w:rPr>
              <w:t>4</w:t>
            </w:r>
            <w:r>
              <w:rPr>
                <w:rFonts w:hint="default" w:ascii="Times New Roman" w:hAnsi="Times New Roman" w:eastAsia="仿宋" w:cs="Times New Roman"/>
                <w:b/>
                <w:bCs/>
                <w:color w:val="auto"/>
                <w:spacing w:val="-4"/>
                <w:sz w:val="24"/>
                <w:szCs w:val="24"/>
              </w:rPr>
              <w:t>、固体废物</w:t>
            </w:r>
          </w:p>
          <w:p w14:paraId="221837F4">
            <w:pPr>
              <w:keepNext w:val="0"/>
              <w:keepLines w:val="0"/>
              <w:pageBreakBefore w:val="0"/>
              <w:widowControl w:val="0"/>
              <w:tabs>
                <w:tab w:val="left" w:pos="1684"/>
              </w:tabs>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4</w:t>
            </w:r>
            <w:r>
              <w:rPr>
                <w:rFonts w:hint="default" w:ascii="Times New Roman" w:hAnsi="Times New Roman" w:eastAsia="仿宋" w:cs="Times New Roman"/>
                <w:b/>
                <w:bCs/>
                <w:color w:val="auto"/>
                <w:sz w:val="24"/>
                <w:szCs w:val="24"/>
              </w:rPr>
              <w:t>.1产生源强核算</w:t>
            </w:r>
          </w:p>
          <w:p w14:paraId="1F06580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本项目产生的固废有：</w:t>
            </w:r>
          </w:p>
          <w:p w14:paraId="0C3C694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一般固废：</w:t>
            </w:r>
            <w:r>
              <w:rPr>
                <w:rFonts w:hint="default" w:ascii="Times New Roman" w:hAnsi="Times New Roman" w:eastAsia="仿宋" w:cs="Times New Roman"/>
                <w:color w:val="auto"/>
                <w:sz w:val="24"/>
                <w:szCs w:val="24"/>
                <w:highlight w:val="none"/>
                <w:lang w:val="en-US" w:eastAsia="zh-CN"/>
              </w:rPr>
              <w:t>废金属</w:t>
            </w:r>
            <w:r>
              <w:rPr>
                <w:rFonts w:hint="default" w:ascii="Times New Roman" w:hAnsi="Times New Roman" w:eastAsia="仿宋" w:cs="Times New Roman"/>
                <w:color w:val="auto"/>
                <w:sz w:val="24"/>
                <w:szCs w:val="24"/>
                <w:highlight w:val="none"/>
              </w:rPr>
              <w:t>边角料、</w:t>
            </w:r>
            <w:r>
              <w:rPr>
                <w:rFonts w:hint="default" w:ascii="Times New Roman" w:hAnsi="Times New Roman" w:eastAsia="仿宋" w:cs="Times New Roman"/>
                <w:color w:val="auto"/>
                <w:sz w:val="24"/>
                <w:szCs w:val="24"/>
                <w:highlight w:val="none"/>
                <w:lang w:val="en-US" w:eastAsia="zh-CN"/>
              </w:rPr>
              <w:t>废塑料</w:t>
            </w:r>
            <w:r>
              <w:rPr>
                <w:rFonts w:hint="default" w:ascii="Times New Roman" w:hAnsi="Times New Roman" w:eastAsia="仿宋" w:cs="Times New Roman"/>
                <w:color w:val="auto"/>
                <w:sz w:val="24"/>
                <w:szCs w:val="24"/>
                <w:highlight w:val="none"/>
              </w:rPr>
              <w:t>边角料。</w:t>
            </w:r>
          </w:p>
          <w:p w14:paraId="57B6C4D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危险废物：废</w:t>
            </w:r>
            <w:r>
              <w:rPr>
                <w:rFonts w:hint="default" w:ascii="Times New Roman" w:hAnsi="Times New Roman" w:eastAsia="仿宋" w:cs="Times New Roman"/>
                <w:color w:val="auto"/>
                <w:sz w:val="24"/>
                <w:szCs w:val="24"/>
                <w:highlight w:val="none"/>
                <w:lang w:val="en-US" w:eastAsia="zh-CN"/>
              </w:rPr>
              <w:t>液压油</w:t>
            </w:r>
            <w:r>
              <w:rPr>
                <w:rFonts w:hint="default" w:ascii="Times New Roman" w:hAnsi="Times New Roman" w:eastAsia="仿宋" w:cs="Times New Roman"/>
                <w:color w:val="auto"/>
                <w:sz w:val="24"/>
                <w:szCs w:val="24"/>
                <w:highlight w:val="none"/>
              </w:rPr>
              <w:t>、废</w:t>
            </w:r>
            <w:r>
              <w:rPr>
                <w:rFonts w:hint="default" w:ascii="Times New Roman" w:hAnsi="Times New Roman" w:eastAsia="仿宋" w:cs="Times New Roman"/>
                <w:color w:val="auto"/>
                <w:sz w:val="24"/>
                <w:szCs w:val="24"/>
                <w:highlight w:val="none"/>
                <w:lang w:val="en-US" w:eastAsia="zh-CN"/>
              </w:rPr>
              <w:t>珩磨</w:t>
            </w:r>
            <w:r>
              <w:rPr>
                <w:rFonts w:hint="default" w:ascii="Times New Roman" w:hAnsi="Times New Roman" w:eastAsia="仿宋" w:cs="Times New Roman"/>
                <w:color w:val="auto"/>
                <w:sz w:val="24"/>
                <w:szCs w:val="24"/>
                <w:highlight w:val="none"/>
              </w:rPr>
              <w:t>油、</w:t>
            </w:r>
            <w:r>
              <w:rPr>
                <w:rFonts w:hint="default" w:ascii="Times New Roman" w:hAnsi="Times New Roman" w:eastAsia="仿宋" w:cs="Times New Roman"/>
                <w:color w:val="auto"/>
                <w:sz w:val="24"/>
                <w:szCs w:val="24"/>
                <w:highlight w:val="none"/>
                <w:lang w:val="en-US" w:eastAsia="zh-CN"/>
              </w:rPr>
              <w:t>清洗废液</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废切削液、废包装桶、沾染废液的废抹布、手套、拖把等、废过滤纸、磨床灰</w:t>
            </w:r>
            <w:r>
              <w:rPr>
                <w:rFonts w:hint="default" w:ascii="Times New Roman" w:hAnsi="Times New Roman" w:eastAsia="仿宋" w:cs="Times New Roman"/>
                <w:color w:val="auto"/>
                <w:sz w:val="24"/>
                <w:szCs w:val="24"/>
                <w:highlight w:val="none"/>
              </w:rPr>
              <w:t>。</w:t>
            </w:r>
          </w:p>
          <w:p w14:paraId="51E77E2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生活垃圾。</w:t>
            </w:r>
          </w:p>
          <w:p w14:paraId="5EF80A5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（1）一般固废</w:t>
            </w:r>
          </w:p>
          <w:p w14:paraId="543506C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①</w:t>
            </w:r>
            <w:r>
              <w:rPr>
                <w:rFonts w:hint="default" w:ascii="Times New Roman" w:hAnsi="Times New Roman" w:eastAsia="仿宋" w:cs="Times New Roman"/>
                <w:color w:val="000000"/>
                <w:sz w:val="24"/>
                <w:szCs w:val="24"/>
                <w:highlight w:val="none"/>
                <w:lang w:val="en-US" w:eastAsia="zh-CN"/>
              </w:rPr>
              <w:t>废金属</w:t>
            </w:r>
            <w:r>
              <w:rPr>
                <w:rFonts w:hint="default" w:ascii="Times New Roman" w:hAnsi="Times New Roman" w:eastAsia="仿宋" w:cs="Times New Roman"/>
                <w:color w:val="000000"/>
                <w:sz w:val="24"/>
                <w:szCs w:val="24"/>
                <w:highlight w:val="none"/>
              </w:rPr>
              <w:t>边角料</w:t>
            </w:r>
          </w:p>
          <w:p w14:paraId="76ACA008">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本项目</w:t>
            </w:r>
            <w:r>
              <w:rPr>
                <w:rFonts w:hint="default" w:ascii="Times New Roman" w:hAnsi="Times New Roman" w:eastAsia="仿宋" w:cs="Times New Roman"/>
                <w:color w:val="000000"/>
                <w:sz w:val="24"/>
                <w:szCs w:val="24"/>
                <w:highlight w:val="none"/>
                <w:lang w:val="en-US" w:eastAsia="zh-CN"/>
              </w:rPr>
              <w:t>内孔珩磨</w:t>
            </w:r>
            <w:r>
              <w:rPr>
                <w:rFonts w:hint="default" w:ascii="Times New Roman" w:hAnsi="Times New Roman" w:eastAsia="仿宋" w:cs="Times New Roman"/>
                <w:color w:val="000000"/>
                <w:sz w:val="24"/>
                <w:szCs w:val="24"/>
                <w:highlight w:val="none"/>
              </w:rPr>
              <w:t>工序会产生废</w:t>
            </w:r>
            <w:r>
              <w:rPr>
                <w:rFonts w:hint="default" w:ascii="Times New Roman" w:hAnsi="Times New Roman" w:eastAsia="仿宋" w:cs="Times New Roman"/>
                <w:color w:val="000000"/>
                <w:sz w:val="24"/>
                <w:szCs w:val="24"/>
                <w:highlight w:val="none"/>
                <w:lang w:val="en-US" w:eastAsia="zh-CN"/>
              </w:rPr>
              <w:t>金属</w:t>
            </w:r>
            <w:r>
              <w:rPr>
                <w:rFonts w:hint="default" w:ascii="Times New Roman" w:hAnsi="Times New Roman" w:eastAsia="仿宋" w:cs="Times New Roman"/>
                <w:color w:val="000000"/>
                <w:sz w:val="24"/>
                <w:szCs w:val="24"/>
                <w:highlight w:val="none"/>
              </w:rPr>
              <w:t>边角料，年产生量约为</w:t>
            </w:r>
            <w:r>
              <w:rPr>
                <w:rFonts w:hint="default" w:ascii="Times New Roman" w:hAnsi="Times New Roman" w:eastAsia="仿宋" w:cs="Times New Roman"/>
                <w:color w:val="000000"/>
                <w:sz w:val="24"/>
                <w:szCs w:val="24"/>
                <w:highlight w:val="none"/>
                <w:lang w:val="en-US" w:eastAsia="zh-CN"/>
              </w:rPr>
              <w:t>100</w:t>
            </w:r>
            <w:r>
              <w:rPr>
                <w:rFonts w:hint="default" w:ascii="Times New Roman" w:hAnsi="Times New Roman" w:eastAsia="仿宋" w:cs="Times New Roman"/>
                <w:color w:val="000000"/>
                <w:sz w:val="24"/>
                <w:szCs w:val="24"/>
                <w:highlight w:val="none"/>
              </w:rPr>
              <w:t>t/a，主要成分为</w:t>
            </w:r>
            <w:r>
              <w:rPr>
                <w:rFonts w:hint="default" w:ascii="Times New Roman" w:hAnsi="Times New Roman" w:eastAsia="仿宋" w:cs="Times New Roman"/>
                <w:color w:val="000000"/>
                <w:sz w:val="24"/>
                <w:szCs w:val="24"/>
                <w:highlight w:val="none"/>
                <w:lang w:val="en-US" w:eastAsia="zh-CN"/>
              </w:rPr>
              <w:t>铁</w:t>
            </w:r>
            <w:r>
              <w:rPr>
                <w:rFonts w:hint="default" w:ascii="Times New Roman" w:hAnsi="Times New Roman" w:eastAsia="仿宋" w:cs="Times New Roman"/>
                <w:color w:val="000000"/>
                <w:sz w:val="24"/>
                <w:szCs w:val="24"/>
                <w:highlight w:val="none"/>
              </w:rPr>
              <w:t>，属于一般工业固废，收集后外售综合利用。</w:t>
            </w:r>
          </w:p>
          <w:p w14:paraId="645C5EF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rPr>
              <w:t>②</w:t>
            </w:r>
            <w:r>
              <w:rPr>
                <w:rFonts w:hint="default" w:ascii="Times New Roman" w:hAnsi="Times New Roman" w:eastAsia="仿宋" w:cs="Times New Roman"/>
                <w:color w:val="000000"/>
                <w:sz w:val="24"/>
                <w:szCs w:val="24"/>
                <w:highlight w:val="none"/>
                <w:lang w:val="en-US" w:eastAsia="zh-CN"/>
              </w:rPr>
              <w:t>废塑料边角料</w:t>
            </w:r>
          </w:p>
          <w:p w14:paraId="09582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本项目</w:t>
            </w:r>
            <w:r>
              <w:rPr>
                <w:rFonts w:hint="default" w:ascii="Times New Roman" w:hAnsi="Times New Roman" w:eastAsia="仿宋" w:cs="Times New Roman"/>
                <w:color w:val="000000"/>
                <w:sz w:val="24"/>
                <w:szCs w:val="24"/>
                <w:highlight w:val="none"/>
                <w:lang w:val="en-US" w:eastAsia="zh-CN"/>
              </w:rPr>
              <w:t>脱漆皮</w:t>
            </w:r>
            <w:r>
              <w:rPr>
                <w:rFonts w:hint="default" w:ascii="Times New Roman" w:hAnsi="Times New Roman" w:eastAsia="仿宋" w:cs="Times New Roman"/>
                <w:color w:val="000000"/>
                <w:sz w:val="24"/>
                <w:szCs w:val="24"/>
                <w:highlight w:val="none"/>
              </w:rPr>
              <w:t>工序会产生</w:t>
            </w:r>
            <w:r>
              <w:rPr>
                <w:rFonts w:hint="default" w:ascii="Times New Roman" w:hAnsi="Times New Roman" w:eastAsia="仿宋" w:cs="Times New Roman"/>
                <w:color w:val="000000"/>
                <w:sz w:val="24"/>
                <w:szCs w:val="24"/>
                <w:highlight w:val="none"/>
                <w:lang w:val="en-US" w:eastAsia="zh-CN"/>
              </w:rPr>
              <w:t>废塑料边角料</w:t>
            </w:r>
            <w:r>
              <w:rPr>
                <w:rFonts w:hint="default" w:ascii="Times New Roman" w:hAnsi="Times New Roman" w:eastAsia="仿宋" w:cs="Times New Roman"/>
                <w:color w:val="000000"/>
                <w:sz w:val="24"/>
                <w:szCs w:val="24"/>
                <w:highlight w:val="none"/>
              </w:rPr>
              <w:t>，年产生量约</w:t>
            </w:r>
            <w:r>
              <w:rPr>
                <w:rFonts w:hint="eastAsia" w:eastAsia="仿宋" w:cs="Times New Roman"/>
                <w:color w:val="000000"/>
                <w:sz w:val="24"/>
                <w:szCs w:val="24"/>
                <w:highlight w:val="none"/>
                <w:lang w:val="en-US" w:eastAsia="zh-CN"/>
              </w:rPr>
              <w:t>0.0</w:t>
            </w:r>
            <w:r>
              <w:rPr>
                <w:rFonts w:hint="default" w:ascii="Times New Roman" w:hAnsi="Times New Roman" w:eastAsia="仿宋" w:cs="Times New Roman"/>
                <w:color w:val="000000"/>
                <w:sz w:val="24"/>
                <w:szCs w:val="24"/>
                <w:highlight w:val="none"/>
                <w:lang w:val="en-US" w:eastAsia="zh-CN"/>
              </w:rPr>
              <w:t>1</w:t>
            </w:r>
            <w:r>
              <w:rPr>
                <w:rFonts w:hint="default" w:ascii="Times New Roman" w:hAnsi="Times New Roman" w:eastAsia="仿宋" w:cs="Times New Roman"/>
                <w:color w:val="000000"/>
                <w:sz w:val="24"/>
                <w:szCs w:val="24"/>
                <w:highlight w:val="none"/>
              </w:rPr>
              <w:t>t/a，主要成分为</w:t>
            </w:r>
            <w:r>
              <w:rPr>
                <w:rFonts w:hint="default" w:ascii="Times New Roman" w:hAnsi="Times New Roman" w:eastAsia="仿宋" w:cs="Times New Roman"/>
                <w:color w:val="000000"/>
                <w:sz w:val="24"/>
                <w:szCs w:val="24"/>
                <w:highlight w:val="none"/>
                <w:lang w:val="en-US" w:eastAsia="zh-CN"/>
              </w:rPr>
              <w:t>线材表面的塑料护套</w:t>
            </w:r>
            <w:r>
              <w:rPr>
                <w:rFonts w:hint="default" w:ascii="Times New Roman" w:hAnsi="Times New Roman" w:eastAsia="仿宋" w:cs="Times New Roman"/>
                <w:color w:val="000000"/>
                <w:sz w:val="24"/>
                <w:szCs w:val="24"/>
                <w:highlight w:val="none"/>
              </w:rPr>
              <w:t>，属于一般工业固废，收集后外售综合利用。</w:t>
            </w:r>
          </w:p>
          <w:p w14:paraId="7F1500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（2）危险废物</w:t>
            </w:r>
          </w:p>
          <w:p w14:paraId="0FD16AD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000000"/>
                <w:sz w:val="24"/>
                <w:szCs w:val="24"/>
                <w:highlight w:val="none"/>
                <w:lang w:val="en-US" w:eastAsia="zh-CN"/>
              </w:rPr>
              <w:t>①</w:t>
            </w:r>
            <w:r>
              <w:rPr>
                <w:rFonts w:hint="default" w:ascii="Times New Roman" w:hAnsi="Times New Roman" w:eastAsia="仿宋" w:cs="Times New Roman"/>
                <w:color w:val="000000"/>
                <w:sz w:val="24"/>
                <w:szCs w:val="24"/>
                <w:highlight w:val="none"/>
              </w:rPr>
              <w:t>废</w:t>
            </w:r>
            <w:r>
              <w:rPr>
                <w:rFonts w:hint="default" w:ascii="Times New Roman" w:hAnsi="Times New Roman" w:eastAsia="仿宋" w:cs="Times New Roman"/>
                <w:color w:val="000000"/>
                <w:sz w:val="24"/>
                <w:szCs w:val="24"/>
                <w:highlight w:val="none"/>
                <w:lang w:val="en-US" w:eastAsia="zh-CN"/>
              </w:rPr>
              <w:t>液压油</w:t>
            </w:r>
          </w:p>
          <w:p w14:paraId="6DD88C7E">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本项目</w:t>
            </w:r>
            <w:r>
              <w:rPr>
                <w:rFonts w:hint="default" w:ascii="Times New Roman" w:hAnsi="Times New Roman" w:eastAsia="仿宋" w:cs="Times New Roman"/>
                <w:color w:val="000000"/>
                <w:sz w:val="24"/>
                <w:szCs w:val="24"/>
                <w:highlight w:val="none"/>
                <w:lang w:val="en-US" w:eastAsia="zh-CN"/>
              </w:rPr>
              <w:t>压机等设备维护保养时需更换液压油</w:t>
            </w:r>
            <w:r>
              <w:rPr>
                <w:rFonts w:hint="default" w:ascii="Times New Roman" w:hAnsi="Times New Roman" w:eastAsia="仿宋" w:cs="Times New Roman"/>
                <w:color w:val="000000"/>
                <w:sz w:val="24"/>
                <w:szCs w:val="24"/>
                <w:highlight w:val="none"/>
              </w:rPr>
              <w:t>，</w:t>
            </w:r>
            <w:r>
              <w:rPr>
                <w:rFonts w:hint="default" w:ascii="Times New Roman" w:hAnsi="Times New Roman" w:eastAsia="仿宋" w:cs="Times New Roman"/>
                <w:color w:val="000000"/>
                <w:sz w:val="24"/>
                <w:szCs w:val="24"/>
                <w:highlight w:val="none"/>
                <w:lang w:val="en-US" w:eastAsia="zh-CN"/>
              </w:rPr>
              <w:t>废液压油</w:t>
            </w:r>
            <w:r>
              <w:rPr>
                <w:rFonts w:hint="default" w:ascii="Times New Roman" w:hAnsi="Times New Roman" w:eastAsia="仿宋" w:cs="Times New Roman"/>
                <w:color w:val="000000"/>
                <w:sz w:val="24"/>
                <w:szCs w:val="24"/>
                <w:highlight w:val="none"/>
              </w:rPr>
              <w:t>产生量约为</w:t>
            </w:r>
            <w:r>
              <w:rPr>
                <w:rFonts w:hint="default" w:ascii="Times New Roman" w:hAnsi="Times New Roman" w:eastAsia="仿宋" w:cs="Times New Roman"/>
                <w:color w:val="000000"/>
                <w:sz w:val="24"/>
                <w:szCs w:val="24"/>
                <w:highlight w:val="none"/>
                <w:lang w:val="en-US" w:eastAsia="zh-CN"/>
              </w:rPr>
              <w:t>0.05</w:t>
            </w:r>
            <w:r>
              <w:rPr>
                <w:rFonts w:hint="default" w:ascii="Times New Roman" w:hAnsi="Times New Roman" w:eastAsia="仿宋" w:cs="Times New Roman"/>
                <w:color w:val="000000"/>
                <w:sz w:val="24"/>
                <w:szCs w:val="24"/>
                <w:highlight w:val="none"/>
              </w:rPr>
              <w:t>t/a，属于危险废物，废物类别为HW0</w:t>
            </w:r>
            <w:r>
              <w:rPr>
                <w:rFonts w:hint="default" w:ascii="Times New Roman" w:hAnsi="Times New Roman" w:eastAsia="仿宋" w:cs="Times New Roman"/>
                <w:color w:val="000000"/>
                <w:sz w:val="24"/>
                <w:szCs w:val="24"/>
                <w:highlight w:val="none"/>
                <w:lang w:val="en-US" w:eastAsia="zh-CN"/>
              </w:rPr>
              <w:t>8</w:t>
            </w:r>
            <w:r>
              <w:rPr>
                <w:rFonts w:hint="default" w:ascii="Times New Roman" w:hAnsi="Times New Roman" w:eastAsia="仿宋" w:cs="Times New Roman"/>
                <w:color w:val="000000"/>
                <w:sz w:val="24"/>
                <w:szCs w:val="24"/>
                <w:highlight w:val="none"/>
              </w:rPr>
              <w:t>（900-</w:t>
            </w:r>
            <w:r>
              <w:rPr>
                <w:rFonts w:hint="default" w:ascii="Times New Roman" w:hAnsi="Times New Roman" w:eastAsia="仿宋" w:cs="Times New Roman"/>
                <w:color w:val="000000"/>
                <w:sz w:val="24"/>
                <w:szCs w:val="24"/>
                <w:highlight w:val="none"/>
                <w:lang w:val="en-US" w:eastAsia="zh-CN"/>
              </w:rPr>
              <w:t>218</w:t>
            </w:r>
            <w:r>
              <w:rPr>
                <w:rFonts w:hint="default" w:ascii="Times New Roman" w:hAnsi="Times New Roman" w:eastAsia="仿宋" w:cs="Times New Roman"/>
                <w:color w:val="000000"/>
                <w:sz w:val="24"/>
                <w:szCs w:val="24"/>
                <w:highlight w:val="none"/>
              </w:rPr>
              <w:t>-0</w:t>
            </w:r>
            <w:r>
              <w:rPr>
                <w:rFonts w:hint="default" w:ascii="Times New Roman" w:hAnsi="Times New Roman" w:eastAsia="仿宋" w:cs="Times New Roman"/>
                <w:color w:val="000000"/>
                <w:sz w:val="24"/>
                <w:szCs w:val="24"/>
                <w:highlight w:val="none"/>
                <w:lang w:val="en-US" w:eastAsia="zh-CN"/>
              </w:rPr>
              <w:t>8</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0F06D06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②废珩磨油</w:t>
            </w:r>
          </w:p>
          <w:p w14:paraId="4CCB705A">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w:t>
            </w:r>
            <w:r>
              <w:rPr>
                <w:rFonts w:hint="default" w:ascii="Times New Roman" w:hAnsi="Times New Roman" w:eastAsia="仿宋" w:cs="Times New Roman"/>
                <w:color w:val="auto"/>
                <w:sz w:val="24"/>
                <w:szCs w:val="24"/>
                <w:highlight w:val="none"/>
                <w:lang w:val="en-US" w:eastAsia="zh-CN"/>
              </w:rPr>
              <w:t>外圆珩磨工序需添加珩磨油，定期更换产生废珩磨油</w:t>
            </w:r>
            <w:r>
              <w:rPr>
                <w:rFonts w:hint="default" w:ascii="Times New Roman" w:hAnsi="Times New Roman" w:eastAsia="仿宋" w:cs="Times New Roman"/>
                <w:color w:val="auto"/>
                <w:sz w:val="24"/>
                <w:szCs w:val="24"/>
                <w:highlight w:val="none"/>
              </w:rPr>
              <w:t>约</w:t>
            </w:r>
            <w:r>
              <w:rPr>
                <w:rFonts w:hint="default" w:ascii="Times New Roman" w:hAnsi="Times New Roman" w:eastAsia="仿宋" w:cs="Times New Roman"/>
                <w:color w:val="auto"/>
                <w:sz w:val="24"/>
                <w:szCs w:val="24"/>
                <w:highlight w:val="none"/>
                <w:lang w:val="en-US" w:eastAsia="zh-CN"/>
              </w:rPr>
              <w:t>0.1</w:t>
            </w:r>
            <w:r>
              <w:rPr>
                <w:rFonts w:hint="default" w:ascii="Times New Roman" w:hAnsi="Times New Roman" w:eastAsia="仿宋" w:cs="Times New Roman"/>
                <w:color w:val="auto"/>
                <w:sz w:val="24"/>
                <w:szCs w:val="24"/>
                <w:highlight w:val="none"/>
              </w:rPr>
              <w:t>t/a，属于危险废物，废物类别为HW0</w:t>
            </w:r>
            <w:r>
              <w:rPr>
                <w:rFonts w:hint="default"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rPr>
              <w:t>（900-</w:t>
            </w:r>
            <w:r>
              <w:rPr>
                <w:rFonts w:hint="default" w:ascii="Times New Roman" w:hAnsi="Times New Roman" w:eastAsia="仿宋" w:cs="Times New Roman"/>
                <w:color w:val="auto"/>
                <w:sz w:val="24"/>
                <w:szCs w:val="24"/>
                <w:highlight w:val="none"/>
                <w:lang w:val="en-US" w:eastAsia="zh-CN"/>
              </w:rPr>
              <w:t>200-</w:t>
            </w:r>
            <w:r>
              <w:rPr>
                <w:rFonts w:hint="default" w:ascii="Times New Roman" w:hAnsi="Times New Roman" w:eastAsia="仿宋" w:cs="Times New Roman"/>
                <w:color w:val="auto"/>
                <w:sz w:val="24"/>
                <w:szCs w:val="24"/>
                <w:highlight w:val="none"/>
              </w:rPr>
              <w:t>0</w:t>
            </w:r>
            <w:r>
              <w:rPr>
                <w:rFonts w:hint="default" w:ascii="Times New Roman" w:hAnsi="Times New Roman" w:eastAsia="仿宋" w:cs="Times New Roman"/>
                <w:color w:val="auto"/>
                <w:sz w:val="24"/>
                <w:szCs w:val="24"/>
                <w:highlight w:val="none"/>
                <w:lang w:val="en-US" w:eastAsia="zh-CN"/>
              </w:rPr>
              <w:t>8</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6CEFFBB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eastAsia="zh-CN"/>
              </w:rPr>
            </w:pPr>
            <w:r>
              <w:rPr>
                <w:rFonts w:hint="default" w:ascii="Times New Roman" w:hAnsi="Times New Roman" w:eastAsia="仿宋" w:cs="Times New Roman"/>
                <w:color w:val="auto"/>
                <w:sz w:val="24"/>
                <w:szCs w:val="24"/>
                <w:highlight w:val="none"/>
                <w:lang w:val="en-US" w:eastAsia="zh-CN"/>
              </w:rPr>
              <w:t>③</w:t>
            </w:r>
            <w:r>
              <w:rPr>
                <w:rFonts w:hint="default" w:ascii="Times New Roman" w:hAnsi="Times New Roman" w:eastAsia="仿宋" w:cs="Times New Roman"/>
                <w:color w:val="auto"/>
                <w:sz w:val="24"/>
                <w:szCs w:val="24"/>
                <w:highlight w:val="none"/>
              </w:rPr>
              <w:t>废</w:t>
            </w:r>
            <w:r>
              <w:rPr>
                <w:rFonts w:hint="default" w:ascii="Times New Roman" w:hAnsi="Times New Roman" w:eastAsia="仿宋" w:cs="Times New Roman"/>
                <w:color w:val="auto"/>
                <w:sz w:val="24"/>
                <w:szCs w:val="24"/>
                <w:highlight w:val="none"/>
                <w:lang w:val="en-US" w:eastAsia="zh-CN"/>
              </w:rPr>
              <w:t>包装桶</w:t>
            </w:r>
          </w:p>
          <w:p w14:paraId="5698061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rPr>
              <w:t>本项目</w:t>
            </w:r>
            <w:r>
              <w:rPr>
                <w:rFonts w:hint="default" w:ascii="Times New Roman" w:hAnsi="Times New Roman" w:eastAsia="仿宋" w:cs="Times New Roman"/>
                <w:bCs/>
                <w:sz w:val="24"/>
                <w:szCs w:val="24"/>
                <w:highlight w:val="none"/>
                <w:lang w:val="en-US" w:eastAsia="zh-CN"/>
              </w:rPr>
              <w:t>珩磨油、液压油</w:t>
            </w:r>
            <w:r>
              <w:rPr>
                <w:rFonts w:hint="eastAsia" w:eastAsia="仿宋" w:cs="Times New Roman"/>
                <w:bCs/>
                <w:sz w:val="24"/>
                <w:szCs w:val="24"/>
                <w:highlight w:val="none"/>
                <w:lang w:eastAsia="zh-CN"/>
              </w:rPr>
              <w:t>、</w:t>
            </w:r>
            <w:r>
              <w:rPr>
                <w:rFonts w:hint="default" w:ascii="Times New Roman" w:hAnsi="Times New Roman" w:eastAsia="仿宋" w:cs="Times New Roman"/>
                <w:bCs/>
                <w:sz w:val="24"/>
                <w:szCs w:val="24"/>
                <w:highlight w:val="none"/>
                <w:lang w:val="en-US" w:eastAsia="zh-CN"/>
              </w:rPr>
              <w:t>清洗剂</w:t>
            </w:r>
            <w:r>
              <w:rPr>
                <w:rFonts w:hint="eastAsia" w:eastAsia="仿宋" w:cs="Times New Roman"/>
                <w:bCs/>
                <w:sz w:val="24"/>
                <w:szCs w:val="24"/>
                <w:highlight w:val="none"/>
                <w:lang w:val="en-US" w:eastAsia="zh-CN"/>
              </w:rPr>
              <w:t>、</w:t>
            </w:r>
            <w:r>
              <w:rPr>
                <w:rFonts w:hint="default" w:ascii="Times New Roman" w:hAnsi="Times New Roman" w:eastAsia="仿宋" w:cs="Times New Roman"/>
                <w:bCs/>
                <w:sz w:val="24"/>
                <w:szCs w:val="24"/>
                <w:highlight w:val="none"/>
                <w:lang w:val="en-US" w:eastAsia="zh-CN"/>
              </w:rPr>
              <w:t>切削液</w:t>
            </w:r>
            <w:r>
              <w:rPr>
                <w:rFonts w:hint="eastAsia" w:eastAsia="仿宋" w:cs="Times New Roman"/>
                <w:bCs/>
                <w:sz w:val="24"/>
                <w:szCs w:val="24"/>
                <w:highlight w:val="none"/>
                <w:lang w:val="en-US" w:eastAsia="zh-CN"/>
              </w:rPr>
              <w:t>和胶水</w:t>
            </w:r>
            <w:r>
              <w:rPr>
                <w:rFonts w:hint="default" w:ascii="Times New Roman" w:hAnsi="Times New Roman" w:eastAsia="仿宋" w:cs="Times New Roman"/>
                <w:bCs/>
                <w:sz w:val="24"/>
                <w:szCs w:val="24"/>
                <w:highlight w:val="none"/>
                <w:lang w:val="en-US" w:eastAsia="zh-CN"/>
              </w:rPr>
              <w:t>均为桶装，使用过程中产生的废包装桶0.</w:t>
            </w:r>
            <w:r>
              <w:rPr>
                <w:rFonts w:hint="eastAsia" w:eastAsia="仿宋" w:cs="Times New Roman"/>
                <w:bCs/>
                <w:sz w:val="24"/>
                <w:szCs w:val="24"/>
                <w:highlight w:val="none"/>
                <w:lang w:val="en-US" w:eastAsia="zh-CN"/>
              </w:rPr>
              <w:t>2</w:t>
            </w:r>
            <w:r>
              <w:rPr>
                <w:rFonts w:hint="default" w:ascii="Times New Roman" w:hAnsi="Times New Roman" w:eastAsia="仿宋" w:cs="Times New Roman"/>
                <w:bCs/>
                <w:sz w:val="24"/>
                <w:szCs w:val="24"/>
                <w:highlight w:val="none"/>
                <w:lang w:val="en-US" w:eastAsia="zh-CN"/>
              </w:rPr>
              <w:t>t/a，</w:t>
            </w:r>
            <w:r>
              <w:rPr>
                <w:rFonts w:hint="default" w:ascii="Times New Roman" w:hAnsi="Times New Roman" w:eastAsia="仿宋" w:cs="Times New Roman"/>
                <w:color w:val="auto"/>
                <w:sz w:val="24"/>
                <w:szCs w:val="24"/>
                <w:highlight w:val="none"/>
              </w:rPr>
              <w:t>属于危险废物，废物类别为HW</w:t>
            </w:r>
            <w:r>
              <w:rPr>
                <w:rFonts w:hint="default" w:ascii="Times New Roman" w:hAnsi="Times New Roman" w:eastAsia="仿宋" w:cs="Times New Roman"/>
                <w:color w:val="auto"/>
                <w:sz w:val="24"/>
                <w:szCs w:val="24"/>
                <w:highlight w:val="none"/>
                <w:lang w:val="en-US" w:eastAsia="zh-CN"/>
              </w:rPr>
              <w:t>49</w:t>
            </w:r>
            <w:r>
              <w:rPr>
                <w:rFonts w:hint="default" w:ascii="Times New Roman" w:hAnsi="Times New Roman" w:eastAsia="仿宋" w:cs="Times New Roman"/>
                <w:color w:val="auto"/>
                <w:sz w:val="24"/>
                <w:szCs w:val="24"/>
                <w:highlight w:val="none"/>
              </w:rPr>
              <w:t>（900-</w:t>
            </w:r>
            <w:r>
              <w:rPr>
                <w:rFonts w:hint="default" w:ascii="Times New Roman" w:hAnsi="Times New Roman" w:eastAsia="仿宋" w:cs="Times New Roman"/>
                <w:color w:val="auto"/>
                <w:sz w:val="24"/>
                <w:szCs w:val="24"/>
                <w:highlight w:val="none"/>
                <w:lang w:val="en-US" w:eastAsia="zh-CN"/>
              </w:rPr>
              <w:t>041</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49</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3E97329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rPr>
            </w:pPr>
            <w:r>
              <w:rPr>
                <w:rFonts w:hint="default" w:ascii="Times New Roman" w:hAnsi="Times New Roman" w:eastAsia="仿宋" w:cs="Times New Roman"/>
                <w:color w:val="auto"/>
                <w:sz w:val="24"/>
                <w:szCs w:val="24"/>
                <w:highlight w:val="none"/>
                <w:lang w:val="en-US" w:eastAsia="zh-CN"/>
              </w:rPr>
              <w:t>④沾染废液的废抹布、手套、拖把等</w:t>
            </w:r>
          </w:p>
          <w:p w14:paraId="405013B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auto"/>
                <w:sz w:val="24"/>
                <w:szCs w:val="24"/>
                <w:highlight w:val="none"/>
                <w:lang w:val="en-US" w:eastAsia="zh-CN"/>
              </w:rPr>
              <w:t>生产</w:t>
            </w:r>
            <w:r>
              <w:rPr>
                <w:rFonts w:hint="default" w:ascii="Times New Roman" w:hAnsi="Times New Roman" w:eastAsia="仿宋" w:cs="Times New Roman"/>
                <w:color w:val="auto"/>
                <w:sz w:val="24"/>
                <w:szCs w:val="24"/>
                <w:highlight w:val="none"/>
              </w:rPr>
              <w:t>过程中会产生</w:t>
            </w:r>
            <w:r>
              <w:rPr>
                <w:rFonts w:hint="default" w:ascii="Times New Roman" w:hAnsi="Times New Roman" w:eastAsia="仿宋" w:cs="Times New Roman"/>
                <w:color w:val="auto"/>
                <w:sz w:val="24"/>
                <w:szCs w:val="24"/>
                <w:highlight w:val="none"/>
                <w:lang w:val="en-US" w:eastAsia="zh-CN"/>
              </w:rPr>
              <w:t>沾染废切削液的劳保用品</w:t>
            </w:r>
            <w:r>
              <w:rPr>
                <w:rFonts w:hint="default" w:ascii="Times New Roman" w:hAnsi="Times New Roman" w:eastAsia="仿宋" w:cs="Times New Roman"/>
                <w:color w:val="auto"/>
                <w:sz w:val="24"/>
                <w:szCs w:val="24"/>
                <w:highlight w:val="none"/>
              </w:rPr>
              <w:t>，产生量约</w:t>
            </w:r>
            <w:r>
              <w:rPr>
                <w:rFonts w:hint="default" w:ascii="Times New Roman" w:hAnsi="Times New Roman" w:eastAsia="仿宋" w:cs="Times New Roman"/>
                <w:color w:val="auto"/>
                <w:sz w:val="24"/>
                <w:szCs w:val="24"/>
                <w:highlight w:val="none"/>
                <w:lang w:val="en-US" w:eastAsia="zh-CN"/>
              </w:rPr>
              <w:t>0.</w:t>
            </w:r>
            <w:r>
              <w:rPr>
                <w:rFonts w:hint="eastAsia" w:eastAsia="仿宋" w:cs="Times New Roman"/>
                <w:color w:val="auto"/>
                <w:sz w:val="24"/>
                <w:szCs w:val="24"/>
                <w:highlight w:val="none"/>
                <w:lang w:val="en-US" w:eastAsia="zh-CN"/>
              </w:rPr>
              <w:t>2</w:t>
            </w:r>
            <w:r>
              <w:rPr>
                <w:rFonts w:hint="default" w:ascii="Times New Roman" w:hAnsi="Times New Roman" w:eastAsia="仿宋" w:cs="Times New Roman"/>
                <w:color w:val="auto"/>
                <w:sz w:val="24"/>
                <w:szCs w:val="24"/>
                <w:highlight w:val="none"/>
              </w:rPr>
              <w:t>t/a，属于危险废物，废物类别为HW49（900-041-49），</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05EBC50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⑤清洗废液</w:t>
            </w:r>
          </w:p>
          <w:p w14:paraId="4F02C6F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rPr>
            </w:pPr>
            <w:r>
              <w:rPr>
                <w:rFonts w:hint="default" w:ascii="Times New Roman" w:hAnsi="Times New Roman" w:eastAsia="仿宋" w:cs="Times New Roman"/>
                <w:color w:val="auto"/>
                <w:sz w:val="24"/>
                <w:szCs w:val="24"/>
                <w:highlight w:val="none"/>
                <w:lang w:val="en-US" w:eastAsia="zh-CN"/>
              </w:rPr>
              <w:t>本项目Luna-202清洗剂，与水按1:15配制后使用，清洗剂年用量3t，则配制用水量为45t，清洗用水循环使用，每半个月更换一次。清洗槽和漂洗槽容积均为0.08m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（0.5m×0.4m×0.4m），单台六槽超声波清洗机设有2个清洗槽、1个漂洗槽、</w:t>
            </w:r>
            <w:r>
              <w:rPr>
                <w:rFonts w:hint="eastAsia" w:eastAsia="仿宋" w:cs="Times New Roman"/>
                <w:color w:val="auto"/>
                <w:sz w:val="24"/>
                <w:szCs w:val="24"/>
                <w:highlight w:val="none"/>
                <w:lang w:val="en-US" w:eastAsia="zh-CN"/>
              </w:rPr>
              <w:t>3</w:t>
            </w:r>
            <w:r>
              <w:rPr>
                <w:rFonts w:hint="default" w:ascii="Times New Roman" w:hAnsi="Times New Roman" w:eastAsia="仿宋" w:cs="Times New Roman"/>
                <w:color w:val="auto"/>
                <w:sz w:val="24"/>
                <w:szCs w:val="24"/>
                <w:highlight w:val="none"/>
                <w:lang w:val="en-US" w:eastAsia="zh-CN"/>
              </w:rPr>
              <w:t>个沥干槽，清洗槽和漂洗槽有效容积为50%，则单台清洗机内水量为0.12m</w:t>
            </w:r>
            <w:r>
              <w:rPr>
                <w:rFonts w:hint="default" w:ascii="Times New Roman" w:hAnsi="Times New Roman" w:eastAsia="仿宋" w:cs="Times New Roman"/>
                <w:color w:val="auto"/>
                <w:sz w:val="24"/>
                <w:szCs w:val="24"/>
                <w:highlight w:val="none"/>
                <w:vertAlign w:val="superscript"/>
                <w:lang w:val="en-US" w:eastAsia="zh-CN"/>
              </w:rPr>
              <w:t>3</w:t>
            </w:r>
            <w:r>
              <w:rPr>
                <w:rFonts w:hint="default" w:ascii="Times New Roman" w:hAnsi="Times New Roman" w:eastAsia="仿宋" w:cs="Times New Roman"/>
                <w:color w:val="auto"/>
                <w:sz w:val="24"/>
                <w:szCs w:val="24"/>
                <w:highlight w:val="none"/>
                <w:lang w:val="en-US" w:eastAsia="zh-CN"/>
              </w:rPr>
              <w:t>，本项目共设有3台六槽超声波清洗机，则清洗废液产生量为0.12×3×24=8.64t/a</w:t>
            </w:r>
            <w:r>
              <w:rPr>
                <w:rFonts w:hint="default" w:ascii="Times New Roman" w:hAnsi="Times New Roman" w:eastAsia="仿宋" w:cs="Times New Roman"/>
                <w:color w:val="auto"/>
                <w:sz w:val="24"/>
                <w:szCs w:val="24"/>
                <w:highlight w:val="none"/>
              </w:rPr>
              <w:t>，属于危险废物，废物类别</w:t>
            </w:r>
            <w:r>
              <w:rPr>
                <w:rFonts w:hint="eastAsia" w:eastAsia="仿宋" w:cs="Times New Roman"/>
                <w:color w:val="auto"/>
                <w:sz w:val="24"/>
                <w:szCs w:val="24"/>
                <w:highlight w:val="none"/>
                <w:lang w:eastAsia="zh-CN"/>
              </w:rPr>
              <w:t>HW09（900-007-09）</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3516CBA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⑥废切削液</w:t>
            </w:r>
          </w:p>
          <w:p w14:paraId="67A21A6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auto"/>
                <w:sz w:val="24"/>
                <w:szCs w:val="24"/>
                <w:highlight w:val="none"/>
                <w:lang w:val="en-US" w:eastAsia="zh-CN"/>
              </w:rPr>
              <w:t>本项目外圆磨加工工序需添加切削液</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定期</w:t>
            </w:r>
            <w:r>
              <w:rPr>
                <w:rFonts w:hint="default" w:ascii="Times New Roman" w:hAnsi="Times New Roman" w:eastAsia="仿宋" w:cs="Times New Roman"/>
                <w:color w:val="auto"/>
                <w:sz w:val="24"/>
                <w:szCs w:val="24"/>
                <w:highlight w:val="none"/>
              </w:rPr>
              <w:t>更换</w:t>
            </w:r>
            <w:r>
              <w:rPr>
                <w:rFonts w:hint="default" w:ascii="Times New Roman" w:hAnsi="Times New Roman" w:eastAsia="仿宋" w:cs="Times New Roman"/>
                <w:color w:val="auto"/>
                <w:sz w:val="24"/>
                <w:szCs w:val="24"/>
                <w:highlight w:val="none"/>
                <w:lang w:val="en-US" w:eastAsia="zh-CN"/>
              </w:rPr>
              <w:t>产生废切削液</w:t>
            </w:r>
            <w:r>
              <w:rPr>
                <w:rFonts w:hint="eastAsia"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t/a，属于危险废物，废物类别HW</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9（900-0</w:t>
            </w:r>
            <w:r>
              <w:rPr>
                <w:rFonts w:hint="default" w:ascii="Times New Roman" w:hAnsi="Times New Roman" w:eastAsia="仿宋" w:cs="Times New Roman"/>
                <w:color w:val="auto"/>
                <w:sz w:val="24"/>
                <w:szCs w:val="24"/>
                <w:highlight w:val="none"/>
                <w:lang w:val="en-US" w:eastAsia="zh-CN"/>
              </w:rPr>
              <w:t>06</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rPr>
              <w:t>9），</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282030F2">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⑦废过滤纸</w:t>
            </w:r>
          </w:p>
          <w:p w14:paraId="1D44C66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auto"/>
                <w:sz w:val="24"/>
                <w:szCs w:val="24"/>
                <w:highlight w:val="none"/>
                <w:lang w:val="en-US" w:eastAsia="zh-CN"/>
              </w:rPr>
              <w:t>本项目外圆磨加工工序需添加切削液</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配套有切削液过滤设备，运行过程中产生废过滤纸</w:t>
            </w:r>
            <w:r>
              <w:rPr>
                <w:rFonts w:hint="eastAsia" w:eastAsia="仿宋" w:cs="Times New Roman"/>
                <w:color w:val="auto"/>
                <w:sz w:val="24"/>
                <w:szCs w:val="24"/>
                <w:highlight w:val="none"/>
                <w:lang w:val="en-US" w:eastAsia="zh-CN"/>
              </w:rPr>
              <w:t>0.</w:t>
            </w:r>
            <w:r>
              <w:rPr>
                <w:rFonts w:hint="default" w:ascii="Times New Roman" w:hAnsi="Times New Roman" w:eastAsia="仿宋" w:cs="Times New Roman"/>
                <w:color w:val="auto"/>
                <w:sz w:val="24"/>
                <w:szCs w:val="24"/>
                <w:highlight w:val="none"/>
                <w:lang w:val="en-US" w:eastAsia="zh-CN"/>
              </w:rPr>
              <w:t>1t/a，</w:t>
            </w:r>
            <w:r>
              <w:rPr>
                <w:rFonts w:hint="default" w:ascii="Times New Roman" w:hAnsi="Times New Roman" w:eastAsia="仿宋" w:cs="Times New Roman"/>
                <w:color w:val="auto"/>
                <w:sz w:val="24"/>
                <w:szCs w:val="24"/>
                <w:highlight w:val="none"/>
              </w:rPr>
              <w:t>属于危险废物，废物类别HW</w:t>
            </w:r>
            <w:r>
              <w:rPr>
                <w:rFonts w:hint="default" w:ascii="Times New Roman" w:hAns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9（900-</w:t>
            </w:r>
            <w:r>
              <w:rPr>
                <w:rFonts w:hint="default" w:ascii="Times New Roman" w:hAnsi="Times New Roman" w:eastAsia="仿宋" w:cs="Times New Roman"/>
                <w:color w:val="auto"/>
                <w:sz w:val="24"/>
                <w:szCs w:val="24"/>
                <w:highlight w:val="none"/>
                <w:lang w:val="en-US" w:eastAsia="zh-CN"/>
              </w:rPr>
              <w:t>041</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4</w:t>
            </w:r>
            <w:r>
              <w:rPr>
                <w:rFonts w:hint="default" w:ascii="Times New Roman" w:hAnsi="Times New Roman" w:eastAsia="仿宋" w:cs="Times New Roman"/>
                <w:color w:val="auto"/>
                <w:sz w:val="24"/>
                <w:szCs w:val="24"/>
                <w:highlight w:val="none"/>
              </w:rPr>
              <w:t>9），</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57B2845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auto"/>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⑧磨床灰</w:t>
            </w:r>
          </w:p>
          <w:p w14:paraId="418C921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lang w:val="en-US" w:eastAsia="zh-CN"/>
              </w:rPr>
            </w:pPr>
            <w:r>
              <w:rPr>
                <w:rFonts w:hint="default" w:ascii="Times New Roman" w:hAnsi="Times New Roman" w:eastAsia="仿宋" w:cs="Times New Roman"/>
                <w:color w:val="auto"/>
                <w:sz w:val="24"/>
                <w:szCs w:val="24"/>
                <w:highlight w:val="none"/>
                <w:lang w:val="en-US" w:eastAsia="zh-CN"/>
              </w:rPr>
              <w:t>本项目外圆磨加工工序配套有切削液过滤设备，能将磨床灰和切削液分离，磨床灰产生量为2t/a，</w:t>
            </w:r>
            <w:r>
              <w:rPr>
                <w:rFonts w:hint="default" w:ascii="Times New Roman" w:hAnsi="Times New Roman" w:eastAsia="仿宋" w:cs="Times New Roman"/>
                <w:color w:val="auto"/>
                <w:sz w:val="24"/>
                <w:szCs w:val="24"/>
                <w:highlight w:val="none"/>
              </w:rPr>
              <w:t>属于危险废物，废物类别HW</w:t>
            </w:r>
            <w:r>
              <w:rPr>
                <w:rFonts w:hint="default" w:ascii="Times New Roman" w:hAnsi="Times New Roman" w:eastAsia="仿宋" w:cs="Times New Roman"/>
                <w:color w:val="auto"/>
                <w:sz w:val="24"/>
                <w:szCs w:val="24"/>
                <w:highlight w:val="none"/>
                <w:lang w:val="en-US" w:eastAsia="zh-CN"/>
              </w:rPr>
              <w:t>08</w:t>
            </w:r>
            <w:r>
              <w:rPr>
                <w:rFonts w:hint="default" w:ascii="Times New Roman" w:hAnsi="Times New Roman" w:eastAsia="仿宋" w:cs="Times New Roman"/>
                <w:color w:val="auto"/>
                <w:sz w:val="24"/>
                <w:szCs w:val="24"/>
                <w:highlight w:val="none"/>
              </w:rPr>
              <w:t>（900-</w:t>
            </w:r>
            <w:r>
              <w:rPr>
                <w:rFonts w:hint="default" w:ascii="Times New Roman" w:hAnsi="Times New Roman" w:eastAsia="仿宋" w:cs="Times New Roman"/>
                <w:color w:val="auto"/>
                <w:sz w:val="24"/>
                <w:szCs w:val="24"/>
                <w:highlight w:val="none"/>
                <w:lang w:val="en-US" w:eastAsia="zh-CN"/>
              </w:rPr>
              <w:t>200</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auto"/>
                <w:sz w:val="24"/>
                <w:szCs w:val="24"/>
                <w:highlight w:val="none"/>
                <w:lang w:val="en-US" w:eastAsia="zh-CN"/>
              </w:rPr>
              <w:t>08</w:t>
            </w:r>
            <w:r>
              <w:rPr>
                <w:rFonts w:hint="default" w:ascii="Times New Roman" w:hAnsi="Times New Roman" w:eastAsia="仿宋" w:cs="Times New Roman"/>
                <w:color w:val="auto"/>
                <w:sz w:val="24"/>
                <w:szCs w:val="24"/>
                <w:highlight w:val="none"/>
              </w:rPr>
              <w:t>），</w:t>
            </w:r>
            <w:r>
              <w:rPr>
                <w:rFonts w:hint="default" w:ascii="Times New Roman" w:hAnsi="Times New Roman" w:eastAsia="仿宋" w:cs="Times New Roman"/>
                <w:color w:val="000000"/>
                <w:sz w:val="24"/>
                <w:szCs w:val="24"/>
                <w:highlight w:val="none"/>
              </w:rPr>
              <w:t>经收集后</w:t>
            </w:r>
            <w:r>
              <w:rPr>
                <w:rFonts w:hint="default" w:ascii="Times New Roman" w:hAnsi="Times New Roman" w:eastAsia="仿宋" w:cs="Times New Roman"/>
                <w:color w:val="000000"/>
                <w:sz w:val="24"/>
                <w:szCs w:val="24"/>
                <w:highlight w:val="none"/>
                <w:lang w:val="en-US" w:eastAsia="zh-CN"/>
              </w:rPr>
              <w:t>暂存</w:t>
            </w:r>
            <w:r>
              <w:rPr>
                <w:rFonts w:hint="default" w:ascii="Times New Roman" w:hAnsi="Times New Roman" w:eastAsia="仿宋" w:cs="Times New Roman"/>
                <w:color w:val="000000"/>
                <w:sz w:val="24"/>
                <w:szCs w:val="24"/>
                <w:highlight w:val="none"/>
              </w:rPr>
              <w:t>于危废</w:t>
            </w:r>
            <w:r>
              <w:rPr>
                <w:rFonts w:hint="default" w:ascii="Times New Roman" w:hAnsi="Times New Roman" w:eastAsia="仿宋" w:cs="Times New Roman"/>
                <w:color w:val="000000"/>
                <w:sz w:val="24"/>
                <w:szCs w:val="24"/>
                <w:highlight w:val="none"/>
                <w:lang w:val="en-US" w:eastAsia="zh-CN"/>
              </w:rPr>
              <w:t>仓库</w:t>
            </w:r>
            <w:r>
              <w:rPr>
                <w:rFonts w:hint="default" w:ascii="Times New Roman" w:hAnsi="Times New Roman" w:eastAsia="仿宋" w:cs="Times New Roman"/>
                <w:color w:val="000000"/>
                <w:sz w:val="24"/>
                <w:szCs w:val="24"/>
                <w:highlight w:val="none"/>
              </w:rPr>
              <w:t>内，</w:t>
            </w:r>
            <w:r>
              <w:rPr>
                <w:rFonts w:hint="default" w:ascii="Times New Roman" w:hAnsi="Times New Roman" w:eastAsia="仿宋" w:cs="Times New Roman"/>
                <w:color w:val="000000"/>
                <w:sz w:val="24"/>
                <w:szCs w:val="24"/>
                <w:highlight w:val="none"/>
                <w:lang w:val="en-US" w:eastAsia="zh-CN"/>
              </w:rPr>
              <w:t>定期委托有资质单位处置</w:t>
            </w:r>
            <w:r>
              <w:rPr>
                <w:rFonts w:hint="default" w:ascii="Times New Roman" w:hAnsi="Times New Roman" w:eastAsia="仿宋" w:cs="Times New Roman"/>
                <w:color w:val="000000"/>
                <w:sz w:val="24"/>
                <w:szCs w:val="24"/>
                <w:highlight w:val="none"/>
              </w:rPr>
              <w:t>。</w:t>
            </w:r>
          </w:p>
          <w:p w14:paraId="2CFF0BF7">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lang w:val="en-US" w:eastAsia="zh-CN"/>
              </w:rPr>
              <w:t>（3）</w:t>
            </w:r>
            <w:r>
              <w:rPr>
                <w:rFonts w:hint="default" w:ascii="Times New Roman" w:hAnsi="Times New Roman" w:eastAsia="仿宋" w:cs="Times New Roman"/>
                <w:color w:val="000000"/>
                <w:sz w:val="24"/>
                <w:szCs w:val="24"/>
                <w:highlight w:val="none"/>
              </w:rPr>
              <w:t>生活垃圾</w:t>
            </w:r>
          </w:p>
          <w:p w14:paraId="606075E4">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color w:val="000000"/>
                <w:sz w:val="24"/>
                <w:szCs w:val="24"/>
                <w:highlight w:val="none"/>
              </w:rPr>
            </w:pPr>
            <w:r>
              <w:rPr>
                <w:rFonts w:hint="default" w:ascii="Times New Roman" w:hAnsi="Times New Roman" w:eastAsia="仿宋" w:cs="Times New Roman"/>
                <w:color w:val="000000"/>
                <w:sz w:val="24"/>
                <w:szCs w:val="24"/>
                <w:highlight w:val="none"/>
              </w:rPr>
              <w:t>本项目</w:t>
            </w:r>
            <w:r>
              <w:rPr>
                <w:rFonts w:hint="eastAsia" w:eastAsia="仿宋" w:cs="Times New Roman"/>
                <w:color w:val="000000"/>
                <w:sz w:val="24"/>
                <w:szCs w:val="24"/>
                <w:highlight w:val="none"/>
                <w:lang w:val="en-US" w:eastAsia="zh-CN"/>
              </w:rPr>
              <w:t>建成后全厂</w:t>
            </w:r>
            <w:r>
              <w:rPr>
                <w:rFonts w:hint="default" w:ascii="Times New Roman" w:hAnsi="Times New Roman" w:eastAsia="仿宋" w:cs="Times New Roman"/>
                <w:color w:val="000000"/>
                <w:sz w:val="24"/>
                <w:szCs w:val="24"/>
                <w:highlight w:val="none"/>
                <w:lang w:val="en-US" w:eastAsia="zh-CN"/>
              </w:rPr>
              <w:t>员工80</w:t>
            </w:r>
            <w:r>
              <w:rPr>
                <w:rFonts w:hint="default" w:ascii="Times New Roman" w:hAnsi="Times New Roman" w:eastAsia="仿宋" w:cs="Times New Roman"/>
                <w:color w:val="000000"/>
                <w:sz w:val="24"/>
                <w:szCs w:val="24"/>
                <w:highlight w:val="none"/>
              </w:rPr>
              <w:t>人，按每人每天产生生活垃圾0.</w:t>
            </w:r>
            <w:r>
              <w:rPr>
                <w:rFonts w:hint="default" w:ascii="Times New Roman" w:hAnsi="Times New Roman" w:eastAsia="仿宋" w:cs="Times New Roman"/>
                <w:color w:val="000000"/>
                <w:sz w:val="24"/>
                <w:szCs w:val="24"/>
                <w:highlight w:val="none"/>
                <w:lang w:val="en-US" w:eastAsia="zh-CN"/>
              </w:rPr>
              <w:t>5</w:t>
            </w:r>
            <w:r>
              <w:rPr>
                <w:rFonts w:hint="default" w:ascii="Times New Roman" w:hAnsi="Times New Roman" w:eastAsia="仿宋" w:cs="Times New Roman"/>
                <w:color w:val="000000"/>
                <w:sz w:val="24"/>
                <w:szCs w:val="24"/>
                <w:highlight w:val="none"/>
              </w:rPr>
              <w:t>kg计，生活垃圾产生量约为</w:t>
            </w:r>
            <w:r>
              <w:rPr>
                <w:rFonts w:hint="default" w:ascii="Times New Roman" w:hAnsi="Times New Roman" w:eastAsia="仿宋" w:cs="Times New Roman"/>
                <w:color w:val="000000"/>
                <w:sz w:val="24"/>
                <w:szCs w:val="24"/>
                <w:highlight w:val="none"/>
                <w:lang w:val="en-US" w:eastAsia="zh-CN"/>
              </w:rPr>
              <w:t>12</w:t>
            </w:r>
            <w:r>
              <w:rPr>
                <w:rFonts w:hint="default" w:ascii="Times New Roman" w:hAnsi="Times New Roman" w:eastAsia="仿宋" w:cs="Times New Roman"/>
                <w:color w:val="000000"/>
                <w:sz w:val="24"/>
                <w:szCs w:val="24"/>
                <w:highlight w:val="none"/>
              </w:rPr>
              <w:t>t/a，经收集后由环卫部门定期清运。</w:t>
            </w:r>
          </w:p>
          <w:p w14:paraId="462C7A28">
            <w:pPr>
              <w:keepNext w:val="0"/>
              <w:keepLines w:val="0"/>
              <w:pageBreakBefore w:val="0"/>
              <w:widowControl w:val="0"/>
              <w:tabs>
                <w:tab w:val="left" w:pos="1684"/>
              </w:tabs>
              <w:kinsoku/>
              <w:wordWrap/>
              <w:overflowPunct/>
              <w:topLinePunct w:val="0"/>
              <w:autoSpaceDE/>
              <w:autoSpaceDN/>
              <w:bidi w:val="0"/>
              <w:adjustRightInd/>
              <w:snapToGrid/>
              <w:spacing w:line="460" w:lineRule="exact"/>
              <w:textAlignment w:val="auto"/>
              <w:rPr>
                <w:rFonts w:hint="default" w:ascii="Times New Roman" w:hAnsi="Times New Roman" w:eastAsia="仿宋" w:cs="Times New Roman"/>
                <w:b/>
                <w:bCs/>
                <w:color w:val="auto"/>
                <w:sz w:val="24"/>
                <w:szCs w:val="24"/>
              </w:rPr>
            </w:pPr>
            <w:r>
              <w:rPr>
                <w:rFonts w:hint="default" w:ascii="Times New Roman" w:hAnsi="Times New Roman" w:eastAsia="仿宋" w:cs="Times New Roman"/>
                <w:b/>
                <w:bCs/>
                <w:color w:val="auto"/>
                <w:sz w:val="24"/>
                <w:szCs w:val="24"/>
                <w:lang w:val="en-US" w:eastAsia="zh-CN"/>
              </w:rPr>
              <w:t>4</w:t>
            </w:r>
            <w:r>
              <w:rPr>
                <w:rFonts w:hint="default" w:ascii="Times New Roman" w:hAnsi="Times New Roman" w:eastAsia="仿宋" w:cs="Times New Roman"/>
                <w:b/>
                <w:bCs/>
                <w:color w:val="auto"/>
                <w:sz w:val="24"/>
                <w:szCs w:val="24"/>
              </w:rPr>
              <w:t>.2固体废物属性判定</w:t>
            </w:r>
          </w:p>
          <w:p w14:paraId="58919EFD">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仿宋" w:cs="Times New Roman"/>
                <w:bCs/>
                <w:color w:val="auto"/>
                <w:sz w:val="24"/>
                <w:szCs w:val="24"/>
              </w:rPr>
            </w:pPr>
            <w:r>
              <w:rPr>
                <w:rFonts w:hint="default" w:ascii="Times New Roman" w:hAnsi="Times New Roman" w:eastAsia="仿宋" w:cs="Times New Roman"/>
                <w:bCs/>
                <w:color w:val="auto"/>
                <w:sz w:val="24"/>
                <w:szCs w:val="24"/>
              </w:rPr>
              <w:t>根据《中华人民共和国固体废物污染环境防治法》、《固体废物鉴别标准 通则》（GB34330-2017），依据产生来源固体废物鉴别结果见表4-</w:t>
            </w:r>
            <w:r>
              <w:rPr>
                <w:rFonts w:hint="default" w:ascii="Times New Roman" w:hAnsi="Times New Roman" w:eastAsia="仿宋" w:cs="Times New Roman"/>
                <w:bCs/>
                <w:color w:val="auto"/>
                <w:sz w:val="24"/>
                <w:szCs w:val="24"/>
                <w:lang w:val="en-US" w:eastAsia="zh-CN"/>
              </w:rPr>
              <w:t>16</w:t>
            </w:r>
            <w:r>
              <w:rPr>
                <w:rFonts w:hint="default" w:ascii="Times New Roman" w:hAnsi="Times New Roman" w:eastAsia="仿宋" w:cs="Times New Roman"/>
                <w:bCs/>
                <w:color w:val="auto"/>
                <w:sz w:val="24"/>
                <w:szCs w:val="24"/>
              </w:rPr>
              <w:t>。</w:t>
            </w:r>
          </w:p>
          <w:p w14:paraId="6C091C9C">
            <w:pPr>
              <w:spacing w:line="240" w:lineRule="auto"/>
              <w:jc w:val="center"/>
              <w:rPr>
                <w:rFonts w:hint="default" w:ascii="Times New Roman" w:hAnsi="Times New Roman" w:eastAsia="仿宋" w:cs="Times New Roman"/>
                <w:b/>
                <w:color w:val="auto"/>
                <w:szCs w:val="21"/>
                <w:highlight w:val="none"/>
              </w:rPr>
            </w:pPr>
            <w:r>
              <w:rPr>
                <w:rFonts w:hint="default" w:ascii="Times New Roman" w:hAnsi="Times New Roman" w:eastAsia="仿宋" w:cs="Times New Roman"/>
                <w:b/>
                <w:color w:val="auto"/>
                <w:szCs w:val="21"/>
                <w:highlight w:val="none"/>
              </w:rPr>
              <w:t>表4-</w:t>
            </w:r>
            <w:r>
              <w:rPr>
                <w:rFonts w:hint="default" w:ascii="Times New Roman" w:hAnsi="Times New Roman" w:eastAsia="仿宋" w:cs="Times New Roman"/>
                <w:b/>
                <w:color w:val="auto"/>
                <w:szCs w:val="21"/>
                <w:highlight w:val="none"/>
                <w:lang w:val="en-US" w:eastAsia="zh-CN"/>
              </w:rPr>
              <w:t>16</w:t>
            </w:r>
            <w:r>
              <w:rPr>
                <w:rFonts w:hint="default" w:ascii="Times New Roman" w:hAnsi="Times New Roman" w:eastAsia="仿宋" w:cs="Times New Roman"/>
                <w:b/>
                <w:color w:val="auto"/>
                <w:szCs w:val="21"/>
                <w:highlight w:val="none"/>
              </w:rPr>
              <w:t xml:space="preserve">  本项目固体废物鉴别情况汇总表（t/a）</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232"/>
              <w:gridCol w:w="1036"/>
              <w:gridCol w:w="771"/>
              <w:gridCol w:w="1553"/>
              <w:gridCol w:w="909"/>
              <w:gridCol w:w="656"/>
              <w:gridCol w:w="687"/>
              <w:gridCol w:w="768"/>
            </w:tblGrid>
            <w:tr w14:paraId="642AFD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vMerge w:val="restart"/>
                  <w:noWrap w:val="0"/>
                  <w:vAlign w:val="center"/>
                </w:tcPr>
                <w:p w14:paraId="0972323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序号</w:t>
                  </w:r>
                </w:p>
              </w:tc>
              <w:tc>
                <w:tcPr>
                  <w:tcW w:w="751" w:type="pct"/>
                  <w:vMerge w:val="restart"/>
                  <w:noWrap w:val="0"/>
                  <w:vAlign w:val="center"/>
                </w:tcPr>
                <w:p w14:paraId="237A51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固废名称</w:t>
                  </w:r>
                </w:p>
              </w:tc>
              <w:tc>
                <w:tcPr>
                  <w:tcW w:w="632" w:type="pct"/>
                  <w:vMerge w:val="restart"/>
                  <w:noWrap w:val="0"/>
                  <w:vAlign w:val="center"/>
                </w:tcPr>
                <w:p w14:paraId="217D575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产生工序</w:t>
                  </w:r>
                </w:p>
              </w:tc>
              <w:tc>
                <w:tcPr>
                  <w:tcW w:w="470" w:type="pct"/>
                  <w:vMerge w:val="restart"/>
                  <w:noWrap w:val="0"/>
                  <w:vAlign w:val="center"/>
                </w:tcPr>
                <w:p w14:paraId="3738BB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形态</w:t>
                  </w:r>
                </w:p>
              </w:tc>
              <w:tc>
                <w:tcPr>
                  <w:tcW w:w="947" w:type="pct"/>
                  <w:vMerge w:val="restart"/>
                  <w:noWrap w:val="0"/>
                  <w:vAlign w:val="center"/>
                </w:tcPr>
                <w:p w14:paraId="65343E3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主要成分</w:t>
                  </w:r>
                </w:p>
              </w:tc>
              <w:tc>
                <w:tcPr>
                  <w:tcW w:w="554" w:type="pct"/>
                  <w:vMerge w:val="restart"/>
                  <w:noWrap w:val="0"/>
                  <w:vAlign w:val="center"/>
                </w:tcPr>
                <w:p w14:paraId="2C16477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预测产生量（t/a）</w:t>
                  </w:r>
                </w:p>
              </w:tc>
              <w:tc>
                <w:tcPr>
                  <w:tcW w:w="1287" w:type="pct"/>
                  <w:gridSpan w:val="3"/>
                  <w:noWrap w:val="0"/>
                  <w:vAlign w:val="center"/>
                </w:tcPr>
                <w:p w14:paraId="018881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种类判断</w:t>
                  </w:r>
                </w:p>
              </w:tc>
            </w:tr>
            <w:tr w14:paraId="0E905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vMerge w:val="continue"/>
                  <w:noWrap w:val="0"/>
                  <w:vAlign w:val="center"/>
                </w:tcPr>
                <w:p w14:paraId="76FA9A2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751" w:type="pct"/>
                  <w:vMerge w:val="continue"/>
                  <w:noWrap w:val="0"/>
                  <w:vAlign w:val="center"/>
                </w:tcPr>
                <w:p w14:paraId="3C67178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632" w:type="pct"/>
                  <w:vMerge w:val="continue"/>
                  <w:noWrap w:val="0"/>
                  <w:vAlign w:val="center"/>
                </w:tcPr>
                <w:p w14:paraId="0CC30CF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470" w:type="pct"/>
                  <w:vMerge w:val="continue"/>
                  <w:noWrap w:val="0"/>
                  <w:vAlign w:val="center"/>
                </w:tcPr>
                <w:p w14:paraId="69E599F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947" w:type="pct"/>
                  <w:vMerge w:val="continue"/>
                  <w:noWrap w:val="0"/>
                  <w:vAlign w:val="center"/>
                </w:tcPr>
                <w:p w14:paraId="5017A9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554" w:type="pct"/>
                  <w:vMerge w:val="continue"/>
                  <w:noWrap w:val="0"/>
                  <w:vAlign w:val="center"/>
                </w:tcPr>
                <w:p w14:paraId="0C760E8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p>
              </w:tc>
              <w:tc>
                <w:tcPr>
                  <w:tcW w:w="400" w:type="pct"/>
                  <w:noWrap w:val="0"/>
                  <w:vAlign w:val="center"/>
                </w:tcPr>
                <w:p w14:paraId="12B648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固体废物</w:t>
                  </w:r>
                </w:p>
              </w:tc>
              <w:tc>
                <w:tcPr>
                  <w:tcW w:w="419" w:type="pct"/>
                  <w:noWrap w:val="0"/>
                  <w:vAlign w:val="center"/>
                </w:tcPr>
                <w:p w14:paraId="018ECA4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副产品</w:t>
                  </w:r>
                </w:p>
              </w:tc>
              <w:tc>
                <w:tcPr>
                  <w:tcW w:w="467" w:type="pct"/>
                  <w:noWrap w:val="0"/>
                  <w:vAlign w:val="center"/>
                </w:tcPr>
                <w:p w14:paraId="1F01D4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判定</w:t>
                  </w:r>
                </w:p>
                <w:p w14:paraId="2C17173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
                      <w:bCs/>
                      <w:color w:val="auto"/>
                      <w:sz w:val="21"/>
                      <w:szCs w:val="21"/>
                      <w:highlight w:val="none"/>
                    </w:rPr>
                  </w:pPr>
                  <w:r>
                    <w:rPr>
                      <w:rFonts w:hint="default" w:ascii="Times New Roman" w:hAnsi="Times New Roman" w:eastAsia="仿宋" w:cs="Times New Roman"/>
                      <w:b/>
                      <w:bCs/>
                      <w:color w:val="auto"/>
                      <w:sz w:val="21"/>
                      <w:szCs w:val="21"/>
                      <w:highlight w:val="none"/>
                    </w:rPr>
                    <w:t>依据</w:t>
                  </w:r>
                </w:p>
              </w:tc>
            </w:tr>
            <w:tr w14:paraId="062E13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355" w:type="pct"/>
                  <w:noWrap w:val="0"/>
                  <w:vAlign w:val="center"/>
                </w:tcPr>
                <w:p w14:paraId="5A1AE0F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1</w:t>
                  </w:r>
                </w:p>
              </w:tc>
              <w:tc>
                <w:tcPr>
                  <w:tcW w:w="751" w:type="pct"/>
                  <w:noWrap w:val="0"/>
                  <w:vAlign w:val="center"/>
                </w:tcPr>
                <w:p w14:paraId="2881404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废金属边角料</w:t>
                  </w:r>
                </w:p>
              </w:tc>
              <w:tc>
                <w:tcPr>
                  <w:tcW w:w="632" w:type="pct"/>
                  <w:noWrap w:val="0"/>
                  <w:vAlign w:val="center"/>
                </w:tcPr>
                <w:p w14:paraId="0ADA787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内孔珩磨</w:t>
                  </w:r>
                </w:p>
              </w:tc>
              <w:tc>
                <w:tcPr>
                  <w:tcW w:w="470" w:type="pct"/>
                  <w:noWrap w:val="0"/>
                  <w:vAlign w:val="center"/>
                </w:tcPr>
                <w:p w14:paraId="7211B49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779EA8B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铁</w:t>
                  </w:r>
                </w:p>
              </w:tc>
              <w:tc>
                <w:tcPr>
                  <w:tcW w:w="554" w:type="pct"/>
                  <w:noWrap w:val="0"/>
                  <w:vAlign w:val="center"/>
                </w:tcPr>
                <w:p w14:paraId="164FFA2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100</w:t>
                  </w:r>
                </w:p>
              </w:tc>
              <w:tc>
                <w:tcPr>
                  <w:tcW w:w="400" w:type="pct"/>
                  <w:noWrap w:val="0"/>
                  <w:vAlign w:val="center"/>
                </w:tcPr>
                <w:p w14:paraId="6F56C1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1C14582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67" w:type="pct"/>
                  <w:vMerge w:val="restart"/>
                  <w:noWrap w:val="0"/>
                  <w:vAlign w:val="center"/>
                </w:tcPr>
                <w:p w14:paraId="16FDA89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《固体废物鉴别标准通则》</w:t>
                  </w:r>
                </w:p>
              </w:tc>
            </w:tr>
            <w:tr w14:paraId="07BAC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2DFE9DB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2</w:t>
                  </w:r>
                </w:p>
              </w:tc>
              <w:tc>
                <w:tcPr>
                  <w:tcW w:w="751" w:type="pct"/>
                  <w:noWrap w:val="0"/>
                  <w:vAlign w:val="center"/>
                </w:tcPr>
                <w:p w14:paraId="797D3F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废塑料边角料</w:t>
                  </w:r>
                </w:p>
              </w:tc>
              <w:tc>
                <w:tcPr>
                  <w:tcW w:w="632" w:type="pct"/>
                  <w:noWrap w:val="0"/>
                  <w:vAlign w:val="center"/>
                </w:tcPr>
                <w:p w14:paraId="1496533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sz w:val="21"/>
                      <w:szCs w:val="21"/>
                      <w:highlight w:val="none"/>
                      <w:lang w:val="en-US" w:eastAsia="zh-CN"/>
                    </w:rPr>
                  </w:pPr>
                  <w:r>
                    <w:rPr>
                      <w:rFonts w:hint="default" w:ascii="Times New Roman" w:hAnsi="Times New Roman" w:eastAsia="仿宋" w:cs="Times New Roman"/>
                      <w:bCs/>
                      <w:color w:val="auto"/>
                      <w:sz w:val="21"/>
                      <w:szCs w:val="21"/>
                      <w:highlight w:val="none"/>
                      <w:lang w:val="en-US" w:eastAsia="zh-CN"/>
                    </w:rPr>
                    <w:t>脱漆皮</w:t>
                  </w:r>
                </w:p>
              </w:tc>
              <w:tc>
                <w:tcPr>
                  <w:tcW w:w="470" w:type="pct"/>
                  <w:noWrap w:val="0"/>
                  <w:vAlign w:val="center"/>
                </w:tcPr>
                <w:p w14:paraId="3B7C499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47661D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塑料护套</w:t>
                  </w:r>
                </w:p>
              </w:tc>
              <w:tc>
                <w:tcPr>
                  <w:tcW w:w="554" w:type="pct"/>
                  <w:noWrap w:val="0"/>
                  <w:vAlign w:val="center"/>
                </w:tcPr>
                <w:p w14:paraId="3A71E25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0.0</w:t>
                  </w:r>
                  <w:r>
                    <w:rPr>
                      <w:rFonts w:hint="default" w:ascii="Times New Roman" w:hAnsi="Times New Roman" w:eastAsia="仿宋" w:cs="Times New Roman"/>
                      <w:color w:val="auto"/>
                      <w:sz w:val="21"/>
                      <w:szCs w:val="21"/>
                      <w:highlight w:val="none"/>
                      <w:lang w:val="en-US" w:eastAsia="zh-CN"/>
                    </w:rPr>
                    <w:t>1</w:t>
                  </w:r>
                </w:p>
              </w:tc>
              <w:tc>
                <w:tcPr>
                  <w:tcW w:w="400" w:type="pct"/>
                  <w:noWrap w:val="0"/>
                  <w:vAlign w:val="center"/>
                </w:tcPr>
                <w:p w14:paraId="5BAC68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2E738B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65D73A0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71742A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2A40659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3</w:t>
                  </w:r>
                </w:p>
              </w:tc>
              <w:tc>
                <w:tcPr>
                  <w:tcW w:w="751" w:type="pct"/>
                  <w:noWrap w:val="0"/>
                  <w:vAlign w:val="center"/>
                </w:tcPr>
                <w:p w14:paraId="2C2658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废切削液</w:t>
                  </w:r>
                </w:p>
              </w:tc>
              <w:tc>
                <w:tcPr>
                  <w:tcW w:w="632" w:type="pct"/>
                  <w:noWrap w:val="0"/>
                  <w:vAlign w:val="center"/>
                </w:tcPr>
                <w:p w14:paraId="40B939B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c>
                <w:tcPr>
                  <w:tcW w:w="470" w:type="pct"/>
                  <w:noWrap w:val="0"/>
                  <w:vAlign w:val="center"/>
                </w:tcPr>
                <w:p w14:paraId="4001BE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液态</w:t>
                  </w:r>
                </w:p>
              </w:tc>
              <w:tc>
                <w:tcPr>
                  <w:tcW w:w="947" w:type="pct"/>
                  <w:noWrap w:val="0"/>
                  <w:vAlign w:val="center"/>
                </w:tcPr>
                <w:p w14:paraId="7CC83B3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烃水混合物</w:t>
                  </w:r>
                </w:p>
              </w:tc>
              <w:tc>
                <w:tcPr>
                  <w:tcW w:w="554" w:type="pct"/>
                  <w:noWrap w:val="0"/>
                  <w:vAlign w:val="center"/>
                </w:tcPr>
                <w:p w14:paraId="4061AAA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4</w:t>
                  </w:r>
                </w:p>
              </w:tc>
              <w:tc>
                <w:tcPr>
                  <w:tcW w:w="400" w:type="pct"/>
                  <w:noWrap w:val="0"/>
                  <w:vAlign w:val="center"/>
                </w:tcPr>
                <w:p w14:paraId="006789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65038E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3C60B76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473E20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55" w:type="pct"/>
                  <w:noWrap w:val="0"/>
                  <w:vAlign w:val="center"/>
                </w:tcPr>
                <w:p w14:paraId="1C9B5B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eastAsia="仿宋" w:cs="Times New Roman"/>
                      <w:color w:val="auto"/>
                      <w:sz w:val="21"/>
                      <w:szCs w:val="21"/>
                      <w:highlight w:val="none"/>
                      <w:lang w:eastAsia="zh-CN"/>
                    </w:rPr>
                  </w:pPr>
                  <w:r>
                    <w:rPr>
                      <w:rFonts w:hint="eastAsia" w:ascii="Times New Roman" w:hAnsi="Times New Roman" w:eastAsia="仿宋" w:cs="Times New Roman"/>
                      <w:color w:val="auto"/>
                      <w:sz w:val="21"/>
                      <w:szCs w:val="21"/>
                      <w:highlight w:val="none"/>
                      <w:lang w:val="en-US" w:eastAsia="zh-CN"/>
                    </w:rPr>
                    <w:t>4</w:t>
                  </w:r>
                </w:p>
              </w:tc>
              <w:tc>
                <w:tcPr>
                  <w:tcW w:w="751" w:type="pct"/>
                  <w:noWrap w:val="0"/>
                  <w:vAlign w:val="center"/>
                </w:tcPr>
                <w:p w14:paraId="5BBD210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废液压油</w:t>
                  </w:r>
                </w:p>
              </w:tc>
              <w:tc>
                <w:tcPr>
                  <w:tcW w:w="632" w:type="pct"/>
                  <w:noWrap w:val="0"/>
                  <w:vAlign w:val="center"/>
                </w:tcPr>
                <w:p w14:paraId="58158A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维护保养</w:t>
                  </w:r>
                </w:p>
              </w:tc>
              <w:tc>
                <w:tcPr>
                  <w:tcW w:w="470" w:type="pct"/>
                  <w:noWrap w:val="0"/>
                  <w:vAlign w:val="center"/>
                </w:tcPr>
                <w:p w14:paraId="590CDDC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液态</w:t>
                  </w:r>
                </w:p>
              </w:tc>
              <w:tc>
                <w:tcPr>
                  <w:tcW w:w="947" w:type="pct"/>
                  <w:noWrap w:val="0"/>
                  <w:vAlign w:val="center"/>
                </w:tcPr>
                <w:p w14:paraId="57E9DA0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矿物油</w:t>
                  </w:r>
                </w:p>
              </w:tc>
              <w:tc>
                <w:tcPr>
                  <w:tcW w:w="554" w:type="pct"/>
                  <w:noWrap w:val="0"/>
                  <w:vAlign w:val="center"/>
                </w:tcPr>
                <w:p w14:paraId="0AC5B6F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0.05</w:t>
                  </w:r>
                </w:p>
              </w:tc>
              <w:tc>
                <w:tcPr>
                  <w:tcW w:w="400" w:type="pct"/>
                  <w:noWrap w:val="0"/>
                  <w:vAlign w:val="center"/>
                </w:tcPr>
                <w:p w14:paraId="19CE759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33BCD9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65A8E21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15921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12248BA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5</w:t>
                  </w:r>
                </w:p>
              </w:tc>
              <w:tc>
                <w:tcPr>
                  <w:tcW w:w="751" w:type="pct"/>
                  <w:noWrap w:val="0"/>
                  <w:vAlign w:val="center"/>
                </w:tcPr>
                <w:p w14:paraId="71480DC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废珩磨油</w:t>
                  </w:r>
                </w:p>
              </w:tc>
              <w:tc>
                <w:tcPr>
                  <w:tcW w:w="632" w:type="pct"/>
                  <w:noWrap w:val="0"/>
                  <w:vAlign w:val="center"/>
                </w:tcPr>
                <w:p w14:paraId="226AFF2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外圆珩磨</w:t>
                  </w:r>
                </w:p>
              </w:tc>
              <w:tc>
                <w:tcPr>
                  <w:tcW w:w="470" w:type="pct"/>
                  <w:noWrap w:val="0"/>
                  <w:vAlign w:val="center"/>
                </w:tcPr>
                <w:p w14:paraId="20C6222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液态</w:t>
                  </w:r>
                </w:p>
              </w:tc>
              <w:tc>
                <w:tcPr>
                  <w:tcW w:w="947" w:type="pct"/>
                  <w:noWrap w:val="0"/>
                  <w:vAlign w:val="center"/>
                </w:tcPr>
                <w:p w14:paraId="2BD4E00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矿物油</w:t>
                  </w:r>
                </w:p>
              </w:tc>
              <w:tc>
                <w:tcPr>
                  <w:tcW w:w="554" w:type="pct"/>
                  <w:noWrap w:val="0"/>
                  <w:vAlign w:val="center"/>
                </w:tcPr>
                <w:p w14:paraId="59FA556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0.1</w:t>
                  </w:r>
                </w:p>
              </w:tc>
              <w:tc>
                <w:tcPr>
                  <w:tcW w:w="400" w:type="pct"/>
                  <w:noWrap w:val="0"/>
                  <w:vAlign w:val="center"/>
                </w:tcPr>
                <w:p w14:paraId="2D90533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6E610F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0E0AA3B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6796B1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50765DD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6</w:t>
                  </w:r>
                </w:p>
              </w:tc>
              <w:tc>
                <w:tcPr>
                  <w:tcW w:w="751" w:type="pct"/>
                  <w:noWrap w:val="0"/>
                  <w:vAlign w:val="center"/>
                </w:tcPr>
                <w:p w14:paraId="6A37FE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废包装桶</w:t>
                  </w:r>
                </w:p>
              </w:tc>
              <w:tc>
                <w:tcPr>
                  <w:tcW w:w="632" w:type="pct"/>
                  <w:noWrap w:val="0"/>
                  <w:vAlign w:val="center"/>
                </w:tcPr>
                <w:p w14:paraId="0EF3297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原料使用</w:t>
                  </w:r>
                </w:p>
              </w:tc>
              <w:tc>
                <w:tcPr>
                  <w:tcW w:w="470" w:type="pct"/>
                  <w:noWrap w:val="0"/>
                  <w:vAlign w:val="center"/>
                </w:tcPr>
                <w:p w14:paraId="695528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5C3F595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液压油、珩磨油、</w:t>
                  </w:r>
                  <w:r>
                    <w:rPr>
                      <w:rFonts w:hint="default" w:ascii="Times New Roman" w:hAnsi="Times New Roman" w:eastAsia="仿宋" w:cs="Times New Roman"/>
                      <w:color w:val="auto"/>
                      <w:sz w:val="21"/>
                      <w:szCs w:val="21"/>
                      <w:highlight w:val="none"/>
                      <w:lang w:val="en-US" w:eastAsia="zh-CN"/>
                    </w:rPr>
                    <w:t>清洗剂、切削液</w:t>
                  </w:r>
                  <w:r>
                    <w:rPr>
                      <w:rFonts w:hint="eastAsia" w:eastAsia="仿宋" w:cs="Times New Roman"/>
                      <w:color w:val="auto"/>
                      <w:sz w:val="21"/>
                      <w:szCs w:val="21"/>
                      <w:highlight w:val="none"/>
                      <w:lang w:val="en-US" w:eastAsia="zh-CN"/>
                    </w:rPr>
                    <w:t>、胶水</w:t>
                  </w:r>
                </w:p>
              </w:tc>
              <w:tc>
                <w:tcPr>
                  <w:tcW w:w="554" w:type="pct"/>
                  <w:noWrap w:val="0"/>
                  <w:vAlign w:val="center"/>
                </w:tcPr>
                <w:p w14:paraId="3E5B898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2</w:t>
                  </w:r>
                </w:p>
              </w:tc>
              <w:tc>
                <w:tcPr>
                  <w:tcW w:w="400" w:type="pct"/>
                  <w:noWrap w:val="0"/>
                  <w:vAlign w:val="center"/>
                </w:tcPr>
                <w:p w14:paraId="2A50BA7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4781528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1C6E72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4F748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0878F68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7</w:t>
                  </w:r>
                </w:p>
              </w:tc>
              <w:tc>
                <w:tcPr>
                  <w:tcW w:w="751" w:type="pct"/>
                  <w:noWrap w:val="0"/>
                  <w:vAlign w:val="center"/>
                </w:tcPr>
                <w:p w14:paraId="5A9AA62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清洗废液</w:t>
                  </w:r>
                </w:p>
              </w:tc>
              <w:tc>
                <w:tcPr>
                  <w:tcW w:w="632" w:type="pct"/>
                  <w:noWrap w:val="0"/>
                  <w:vAlign w:val="center"/>
                </w:tcPr>
                <w:p w14:paraId="54018EB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w:t>
                  </w:r>
                </w:p>
              </w:tc>
              <w:tc>
                <w:tcPr>
                  <w:tcW w:w="470" w:type="pct"/>
                  <w:noWrap w:val="0"/>
                  <w:vAlign w:val="center"/>
                </w:tcPr>
                <w:p w14:paraId="3D858A3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液态</w:t>
                  </w:r>
                </w:p>
              </w:tc>
              <w:tc>
                <w:tcPr>
                  <w:tcW w:w="947" w:type="pct"/>
                  <w:noWrap w:val="0"/>
                  <w:vAlign w:val="center"/>
                </w:tcPr>
                <w:p w14:paraId="68D0C69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清洗剂</w:t>
                  </w:r>
                </w:p>
              </w:tc>
              <w:tc>
                <w:tcPr>
                  <w:tcW w:w="554" w:type="pct"/>
                  <w:noWrap w:val="0"/>
                  <w:vAlign w:val="center"/>
                </w:tcPr>
                <w:p w14:paraId="7FEAAC4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8.64</w:t>
                  </w:r>
                </w:p>
              </w:tc>
              <w:tc>
                <w:tcPr>
                  <w:tcW w:w="400" w:type="pct"/>
                  <w:noWrap w:val="0"/>
                  <w:vAlign w:val="center"/>
                </w:tcPr>
                <w:p w14:paraId="4D073C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109A049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5C62EA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3FC64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293095B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8</w:t>
                  </w:r>
                </w:p>
              </w:tc>
              <w:tc>
                <w:tcPr>
                  <w:tcW w:w="751" w:type="pct"/>
                  <w:noWrap w:val="0"/>
                  <w:vAlign w:val="center"/>
                </w:tcPr>
                <w:p w14:paraId="7722BD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沾染废液的废抹布、手套、拖把等</w:t>
                  </w:r>
                </w:p>
              </w:tc>
              <w:tc>
                <w:tcPr>
                  <w:tcW w:w="632" w:type="pct"/>
                  <w:noWrap w:val="0"/>
                  <w:vAlign w:val="center"/>
                </w:tcPr>
                <w:p w14:paraId="5F57D96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日常生产</w:t>
                  </w:r>
                </w:p>
              </w:tc>
              <w:tc>
                <w:tcPr>
                  <w:tcW w:w="470" w:type="pct"/>
                  <w:noWrap w:val="0"/>
                  <w:vAlign w:val="center"/>
                </w:tcPr>
                <w:p w14:paraId="56E1DA5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6CA96E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切削液</w:t>
                  </w:r>
                </w:p>
              </w:tc>
              <w:tc>
                <w:tcPr>
                  <w:tcW w:w="554" w:type="pct"/>
                  <w:noWrap w:val="0"/>
                  <w:vAlign w:val="center"/>
                </w:tcPr>
                <w:p w14:paraId="66830C5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0.</w:t>
                  </w:r>
                  <w:r>
                    <w:rPr>
                      <w:rFonts w:hint="eastAsia" w:eastAsia="仿宋" w:cs="Times New Roman"/>
                      <w:color w:val="auto"/>
                      <w:sz w:val="21"/>
                      <w:szCs w:val="21"/>
                      <w:highlight w:val="none"/>
                      <w:lang w:val="en-US" w:eastAsia="zh-CN"/>
                    </w:rPr>
                    <w:t>2</w:t>
                  </w:r>
                </w:p>
              </w:tc>
              <w:tc>
                <w:tcPr>
                  <w:tcW w:w="400" w:type="pct"/>
                  <w:noWrap w:val="0"/>
                  <w:vAlign w:val="center"/>
                </w:tcPr>
                <w:p w14:paraId="1AB403B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7C3179D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5A0F53C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532D1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56BA355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9</w:t>
                  </w:r>
                </w:p>
              </w:tc>
              <w:tc>
                <w:tcPr>
                  <w:tcW w:w="751" w:type="pct"/>
                  <w:noWrap w:val="0"/>
                  <w:vAlign w:val="center"/>
                </w:tcPr>
                <w:p w14:paraId="03F9982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废过滤纸</w:t>
                  </w:r>
                </w:p>
              </w:tc>
              <w:tc>
                <w:tcPr>
                  <w:tcW w:w="632" w:type="pct"/>
                  <w:noWrap w:val="0"/>
                  <w:vAlign w:val="center"/>
                </w:tcPr>
                <w:p w14:paraId="5CFC8B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c>
                <w:tcPr>
                  <w:tcW w:w="470" w:type="pct"/>
                  <w:noWrap w:val="0"/>
                  <w:vAlign w:val="center"/>
                </w:tcPr>
                <w:p w14:paraId="3116ABE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3FD6D01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切削液</w:t>
                  </w:r>
                </w:p>
              </w:tc>
              <w:tc>
                <w:tcPr>
                  <w:tcW w:w="554" w:type="pct"/>
                  <w:noWrap w:val="0"/>
                  <w:vAlign w:val="center"/>
                </w:tcPr>
                <w:p w14:paraId="6962FE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eastAsia" w:eastAsia="仿宋" w:cs="Times New Roman"/>
                      <w:color w:val="auto"/>
                      <w:sz w:val="21"/>
                      <w:szCs w:val="21"/>
                      <w:highlight w:val="none"/>
                      <w:lang w:val="en-US" w:eastAsia="zh-CN"/>
                    </w:rPr>
                    <w:t>0.</w:t>
                  </w:r>
                  <w:r>
                    <w:rPr>
                      <w:rFonts w:hint="default" w:ascii="Times New Roman" w:hAnsi="Times New Roman" w:eastAsia="仿宋" w:cs="Times New Roman"/>
                      <w:color w:val="auto"/>
                      <w:sz w:val="21"/>
                      <w:szCs w:val="21"/>
                      <w:highlight w:val="none"/>
                      <w:lang w:val="en-US" w:eastAsia="zh-CN"/>
                    </w:rPr>
                    <w:t>1</w:t>
                  </w:r>
                </w:p>
              </w:tc>
              <w:tc>
                <w:tcPr>
                  <w:tcW w:w="400" w:type="pct"/>
                  <w:noWrap w:val="0"/>
                  <w:vAlign w:val="center"/>
                </w:tcPr>
                <w:p w14:paraId="2C68F6E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0EA9DA9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4855CD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2D9F2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131CA50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10</w:t>
                  </w:r>
                </w:p>
              </w:tc>
              <w:tc>
                <w:tcPr>
                  <w:tcW w:w="751" w:type="pct"/>
                  <w:noWrap w:val="0"/>
                  <w:vAlign w:val="center"/>
                </w:tcPr>
                <w:p w14:paraId="3AF9CC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磨床灰</w:t>
                  </w:r>
                </w:p>
              </w:tc>
              <w:tc>
                <w:tcPr>
                  <w:tcW w:w="632" w:type="pct"/>
                  <w:noWrap w:val="0"/>
                  <w:vAlign w:val="center"/>
                </w:tcPr>
                <w:p w14:paraId="0D84AD2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外圆磨加工</w:t>
                  </w:r>
                </w:p>
              </w:tc>
              <w:tc>
                <w:tcPr>
                  <w:tcW w:w="470" w:type="pct"/>
                  <w:noWrap w:val="0"/>
                  <w:vAlign w:val="center"/>
                </w:tcPr>
                <w:p w14:paraId="559FC8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固态</w:t>
                  </w:r>
                </w:p>
              </w:tc>
              <w:tc>
                <w:tcPr>
                  <w:tcW w:w="947" w:type="pct"/>
                  <w:noWrap w:val="0"/>
                  <w:vAlign w:val="center"/>
                </w:tcPr>
                <w:p w14:paraId="225003D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铁</w:t>
                  </w:r>
                  <w:r>
                    <w:rPr>
                      <w:rFonts w:hint="eastAsia" w:eastAsia="仿宋" w:cs="Times New Roman"/>
                      <w:color w:val="auto"/>
                      <w:sz w:val="21"/>
                      <w:szCs w:val="21"/>
                      <w:highlight w:val="none"/>
                      <w:lang w:val="en-US" w:eastAsia="zh-CN"/>
                    </w:rPr>
                    <w:t>、</w:t>
                  </w:r>
                  <w:r>
                    <w:rPr>
                      <w:rFonts w:hint="default" w:ascii="Times New Roman" w:hAnsi="Times New Roman" w:eastAsia="仿宋" w:cs="Times New Roman"/>
                      <w:color w:val="auto"/>
                      <w:sz w:val="21"/>
                      <w:szCs w:val="21"/>
                      <w:highlight w:val="none"/>
                      <w:lang w:val="en-US" w:eastAsia="zh-CN"/>
                    </w:rPr>
                    <w:t>切削液</w:t>
                  </w:r>
                </w:p>
              </w:tc>
              <w:tc>
                <w:tcPr>
                  <w:tcW w:w="554" w:type="pct"/>
                  <w:noWrap w:val="0"/>
                  <w:vAlign w:val="center"/>
                </w:tcPr>
                <w:p w14:paraId="1902924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2</w:t>
                  </w:r>
                </w:p>
              </w:tc>
              <w:tc>
                <w:tcPr>
                  <w:tcW w:w="400" w:type="pct"/>
                  <w:noWrap w:val="0"/>
                  <w:vAlign w:val="center"/>
                </w:tcPr>
                <w:p w14:paraId="54B90A7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490319D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75D7C58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r w14:paraId="00D01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5" w:type="pct"/>
                  <w:noWrap w:val="0"/>
                  <w:vAlign w:val="center"/>
                </w:tcPr>
                <w:p w14:paraId="2A488E3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仿宋" w:cs="Times New Roman"/>
                      <w:color w:val="auto"/>
                      <w:sz w:val="21"/>
                      <w:szCs w:val="21"/>
                      <w:highlight w:val="none"/>
                      <w:lang w:val="en-US" w:eastAsia="zh-CN"/>
                    </w:rPr>
                  </w:pPr>
                  <w:r>
                    <w:rPr>
                      <w:rFonts w:hint="default" w:ascii="Times New Roman" w:hAnsi="Times New Roman" w:eastAsia="仿宋" w:cs="Times New Roman"/>
                      <w:color w:val="auto"/>
                      <w:sz w:val="21"/>
                      <w:szCs w:val="21"/>
                      <w:highlight w:val="none"/>
                      <w:lang w:val="en-US" w:eastAsia="zh-CN"/>
                    </w:rPr>
                    <w:t>11</w:t>
                  </w:r>
                </w:p>
              </w:tc>
              <w:tc>
                <w:tcPr>
                  <w:tcW w:w="751" w:type="pct"/>
                  <w:noWrap w:val="0"/>
                  <w:vAlign w:val="center"/>
                </w:tcPr>
                <w:p w14:paraId="0E10C3E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生活垃圾</w:t>
                  </w:r>
                </w:p>
              </w:tc>
              <w:tc>
                <w:tcPr>
                  <w:tcW w:w="632" w:type="pct"/>
                  <w:noWrap w:val="0"/>
                  <w:vAlign w:val="center"/>
                </w:tcPr>
                <w:p w14:paraId="1A03625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员工生活</w:t>
                  </w:r>
                </w:p>
              </w:tc>
              <w:tc>
                <w:tcPr>
                  <w:tcW w:w="470" w:type="pct"/>
                  <w:noWrap w:val="0"/>
                  <w:vAlign w:val="center"/>
                </w:tcPr>
                <w:p w14:paraId="749B4AE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固</w:t>
                  </w:r>
                  <w:r>
                    <w:rPr>
                      <w:rFonts w:hint="default" w:ascii="Times New Roman" w:hAnsi="Times New Roman" w:eastAsia="仿宋" w:cs="Times New Roman"/>
                      <w:color w:val="auto"/>
                      <w:sz w:val="21"/>
                      <w:szCs w:val="21"/>
                      <w:highlight w:val="none"/>
                      <w:lang w:val="en-US" w:eastAsia="zh-CN"/>
                    </w:rPr>
                    <w:t>态</w:t>
                  </w:r>
                </w:p>
              </w:tc>
              <w:tc>
                <w:tcPr>
                  <w:tcW w:w="947" w:type="pct"/>
                  <w:noWrap w:val="0"/>
                  <w:vAlign w:val="center"/>
                </w:tcPr>
                <w:p w14:paraId="2B10795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生活垃圾</w:t>
                  </w:r>
                </w:p>
              </w:tc>
              <w:tc>
                <w:tcPr>
                  <w:tcW w:w="554" w:type="pct"/>
                  <w:noWrap w:val="0"/>
                  <w:vAlign w:val="center"/>
                </w:tcPr>
                <w:p w14:paraId="1458E1F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lang w:val="en-US" w:eastAsia="zh-CN"/>
                    </w:rPr>
                    <w:t>12</w:t>
                  </w:r>
                </w:p>
              </w:tc>
              <w:tc>
                <w:tcPr>
                  <w:tcW w:w="400" w:type="pct"/>
                  <w:noWrap w:val="0"/>
                  <w:vAlign w:val="center"/>
                </w:tcPr>
                <w:p w14:paraId="44224FC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19" w:type="pct"/>
                  <w:noWrap w:val="0"/>
                  <w:vAlign w:val="center"/>
                </w:tcPr>
                <w:p w14:paraId="37CFAF6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highlight w:val="none"/>
                      <w:lang w:val="en-US" w:eastAsia="zh-CN" w:bidi="ar-SA"/>
                    </w:rPr>
                  </w:pPr>
                  <w:r>
                    <w:rPr>
                      <w:rFonts w:hint="default" w:ascii="Times New Roman" w:hAnsi="Times New Roman" w:eastAsia="仿宋" w:cs="Times New Roman"/>
                      <w:color w:val="auto"/>
                      <w:sz w:val="21"/>
                      <w:szCs w:val="21"/>
                      <w:highlight w:val="none"/>
                    </w:rPr>
                    <w:t>/</w:t>
                  </w:r>
                </w:p>
              </w:tc>
              <w:tc>
                <w:tcPr>
                  <w:tcW w:w="467" w:type="pct"/>
                  <w:vMerge w:val="continue"/>
                  <w:noWrap w:val="0"/>
                  <w:vAlign w:val="center"/>
                </w:tcPr>
                <w:p w14:paraId="448DD7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highlight w:val="none"/>
                    </w:rPr>
                  </w:pPr>
                </w:p>
              </w:tc>
            </w:tr>
          </w:tbl>
          <w:p w14:paraId="2FC11882">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b/>
                <w:bCs/>
                <w:color w:val="auto"/>
                <w:sz w:val="24"/>
                <w:szCs w:val="24"/>
                <w:lang w:val="en-US" w:eastAsia="zh-CN"/>
              </w:rPr>
              <w:t>4</w:t>
            </w:r>
            <w:r>
              <w:rPr>
                <w:rFonts w:hint="default" w:ascii="Times New Roman" w:hAnsi="Times New Roman" w:eastAsia="仿宋" w:cs="Times New Roman"/>
                <w:b/>
                <w:bCs/>
                <w:color w:val="auto"/>
                <w:sz w:val="24"/>
                <w:szCs w:val="24"/>
              </w:rPr>
              <w:t>.3固体废物产生情况汇总</w:t>
            </w:r>
          </w:p>
          <w:p w14:paraId="07B594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rPr>
            </w:pPr>
            <w:r>
              <w:rPr>
                <w:rFonts w:hint="default" w:ascii="Times New Roman" w:hAnsi="Times New Roman" w:eastAsia="仿宋" w:cs="Times New Roman"/>
                <w:color w:val="auto"/>
                <w:sz w:val="24"/>
                <w:szCs w:val="24"/>
              </w:rPr>
              <w:t>根据《国家危险废物名录（2021年版）》、《危险废物鉴别标准 通则》（GB5085.7）、《固体废物分类与代码目录</w:t>
            </w:r>
            <w:r>
              <w:rPr>
                <w:rFonts w:hint="default" w:ascii="Times New Roman" w:hAnsi="Times New Roman" w:eastAsia="仿宋" w:cs="Times New Roman"/>
                <w:color w:val="auto"/>
                <w:sz w:val="24"/>
                <w:szCs w:val="24"/>
              </w:rPr>
              <w:t>》（</w:t>
            </w:r>
            <w:r>
              <w:rPr>
                <w:rFonts w:hint="eastAsia" w:ascii="Times New Roman" w:hAnsi="Times New Roman" w:eastAsia="仿宋" w:cs="Times New Roman"/>
                <w:color w:val="auto"/>
                <w:sz w:val="24"/>
                <w:szCs w:val="24"/>
              </w:rPr>
              <w:t>生态环境部</w:t>
            </w:r>
            <w:r>
              <w:rPr>
                <w:rFonts w:hint="eastAsia" w:eastAsia="仿宋" w:cs="Times New Roman"/>
                <w:color w:val="auto"/>
                <w:sz w:val="24"/>
                <w:szCs w:val="24"/>
                <w:lang w:eastAsia="zh-CN"/>
              </w:rPr>
              <w:t>，</w:t>
            </w:r>
            <w:r>
              <w:rPr>
                <w:rFonts w:hint="eastAsia" w:ascii="Times New Roman" w:hAnsi="Times New Roman" w:eastAsia="仿宋" w:cs="Times New Roman"/>
                <w:color w:val="auto"/>
                <w:sz w:val="24"/>
                <w:szCs w:val="24"/>
                <w:lang w:val="en-US" w:eastAsia="zh-CN"/>
              </w:rPr>
              <w:t>202</w:t>
            </w:r>
            <w:r>
              <w:rPr>
                <w:rFonts w:hint="eastAsia" w:eastAsia="仿宋" w:cs="Times New Roman"/>
                <w:color w:val="auto"/>
                <w:sz w:val="24"/>
                <w:szCs w:val="24"/>
                <w:lang w:val="en-US" w:eastAsia="zh-CN"/>
              </w:rPr>
              <w:t>4年第4号</w:t>
            </w:r>
            <w:r>
              <w:rPr>
                <w:rFonts w:hint="default" w:ascii="Times New Roman" w:hAnsi="Times New Roman" w:eastAsia="仿宋" w:cs="Times New Roman"/>
                <w:color w:val="auto"/>
                <w:sz w:val="24"/>
                <w:szCs w:val="24"/>
              </w:rPr>
              <w:t>）对以上固废进行属性判定。</w:t>
            </w:r>
          </w:p>
          <w:p w14:paraId="555AD3E0">
            <w:pPr>
              <w:spacing w:line="240" w:lineRule="auto"/>
              <w:jc w:val="center"/>
              <w:rPr>
                <w:rFonts w:hint="default" w:ascii="Times New Roman" w:hAnsi="Times New Roman" w:eastAsia="仿宋" w:cs="Times New Roman"/>
                <w:b/>
                <w:color w:val="auto"/>
                <w:sz w:val="21"/>
                <w:szCs w:val="21"/>
              </w:rPr>
            </w:pPr>
          </w:p>
          <w:p w14:paraId="05C10755">
            <w:pPr>
              <w:spacing w:line="240" w:lineRule="auto"/>
              <w:jc w:val="center"/>
              <w:rPr>
                <w:rFonts w:hint="default" w:ascii="Times New Roman" w:hAnsi="Times New Roman" w:eastAsia="仿宋" w:cs="Times New Roman"/>
                <w:b/>
                <w:color w:val="auto"/>
                <w:sz w:val="21"/>
                <w:szCs w:val="21"/>
              </w:rPr>
            </w:pPr>
          </w:p>
          <w:p w14:paraId="484EE270">
            <w:pPr>
              <w:spacing w:line="240" w:lineRule="auto"/>
              <w:jc w:val="center"/>
              <w:rPr>
                <w:rFonts w:hint="default" w:ascii="Times New Roman" w:hAnsi="Times New Roman" w:eastAsia="仿宋" w:cs="Times New Roman"/>
                <w:b/>
                <w:color w:val="auto"/>
                <w:sz w:val="21"/>
                <w:szCs w:val="21"/>
              </w:rPr>
            </w:pPr>
          </w:p>
          <w:p w14:paraId="49F35D48">
            <w:pPr>
              <w:spacing w:line="240" w:lineRule="auto"/>
              <w:jc w:val="center"/>
              <w:rPr>
                <w:rFonts w:hint="default" w:ascii="Times New Roman" w:hAnsi="Times New Roman" w:eastAsia="仿宋" w:cs="Times New Roman"/>
                <w:b/>
                <w:color w:val="auto"/>
                <w:sz w:val="21"/>
                <w:szCs w:val="21"/>
              </w:rPr>
            </w:pPr>
          </w:p>
          <w:p w14:paraId="1E37966A">
            <w:pPr>
              <w:spacing w:line="240" w:lineRule="auto"/>
              <w:jc w:val="center"/>
              <w:rPr>
                <w:rFonts w:hint="default" w:ascii="Times New Roman" w:hAnsi="Times New Roman" w:eastAsia="仿宋" w:cs="Times New Roman"/>
                <w:b/>
                <w:color w:val="auto"/>
                <w:sz w:val="21"/>
                <w:szCs w:val="21"/>
              </w:rPr>
            </w:pPr>
          </w:p>
          <w:p w14:paraId="6E506EB3">
            <w:pPr>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表4-</w:t>
            </w:r>
            <w:r>
              <w:rPr>
                <w:rFonts w:hint="default" w:ascii="Times New Roman" w:hAnsi="Times New Roman" w:eastAsia="仿宋" w:cs="Times New Roman"/>
                <w:b/>
                <w:color w:val="auto"/>
                <w:sz w:val="21"/>
                <w:szCs w:val="21"/>
                <w:lang w:val="en-US" w:eastAsia="zh-CN"/>
              </w:rPr>
              <w:t>17</w:t>
            </w:r>
            <w:r>
              <w:rPr>
                <w:rFonts w:hint="default" w:ascii="Times New Roman" w:hAnsi="Times New Roman" w:eastAsia="仿宋" w:cs="Times New Roman"/>
                <w:b/>
                <w:color w:val="auto"/>
                <w:sz w:val="21"/>
                <w:szCs w:val="21"/>
              </w:rPr>
              <w:t xml:space="preserve"> </w:t>
            </w:r>
            <w:r>
              <w:rPr>
                <w:rFonts w:hint="default" w:ascii="Times New Roman" w:hAnsi="Times New Roman" w:eastAsia="仿宋" w:cs="Times New Roman"/>
                <w:b/>
                <w:color w:val="auto"/>
                <w:sz w:val="21"/>
                <w:szCs w:val="21"/>
                <w:lang w:val="en-US" w:eastAsia="zh-CN"/>
              </w:rPr>
              <w:t xml:space="preserve"> </w:t>
            </w:r>
            <w:r>
              <w:rPr>
                <w:rFonts w:hint="default" w:ascii="Times New Roman" w:hAnsi="Times New Roman" w:eastAsia="仿宋" w:cs="Times New Roman"/>
                <w:b/>
                <w:color w:val="auto"/>
                <w:sz w:val="21"/>
                <w:szCs w:val="21"/>
              </w:rPr>
              <w:t>本项目固体废物产生情况汇总表（t/a）</w:t>
            </w:r>
          </w:p>
          <w:tbl>
            <w:tblPr>
              <w:tblStyle w:val="24"/>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03"/>
              <w:gridCol w:w="375"/>
              <w:gridCol w:w="780"/>
              <w:gridCol w:w="480"/>
              <w:gridCol w:w="1230"/>
              <w:gridCol w:w="855"/>
              <w:gridCol w:w="630"/>
              <w:gridCol w:w="825"/>
              <w:gridCol w:w="1022"/>
              <w:gridCol w:w="778"/>
            </w:tblGrid>
            <w:tr w14:paraId="682392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noWrap w:val="0"/>
                  <w:vAlign w:val="center"/>
                </w:tcPr>
                <w:p w14:paraId="0DBE5187">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序号</w:t>
                  </w:r>
                </w:p>
              </w:tc>
              <w:tc>
                <w:tcPr>
                  <w:tcW w:w="490" w:type="pct"/>
                  <w:noWrap w:val="0"/>
                  <w:vAlign w:val="center"/>
                </w:tcPr>
                <w:p w14:paraId="2388500D">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固废名称</w:t>
                  </w:r>
                </w:p>
              </w:tc>
              <w:tc>
                <w:tcPr>
                  <w:tcW w:w="228" w:type="pct"/>
                  <w:noWrap w:val="0"/>
                  <w:vAlign w:val="center"/>
                </w:tcPr>
                <w:p w14:paraId="167F532C">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属性</w:t>
                  </w:r>
                </w:p>
              </w:tc>
              <w:tc>
                <w:tcPr>
                  <w:tcW w:w="476" w:type="pct"/>
                  <w:noWrap w:val="0"/>
                  <w:vAlign w:val="center"/>
                </w:tcPr>
                <w:p w14:paraId="5D9D6CC3">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产生工序</w:t>
                  </w:r>
                </w:p>
              </w:tc>
              <w:tc>
                <w:tcPr>
                  <w:tcW w:w="292" w:type="pct"/>
                  <w:noWrap w:val="0"/>
                  <w:vAlign w:val="center"/>
                </w:tcPr>
                <w:p w14:paraId="1AF03EEC">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形态</w:t>
                  </w:r>
                </w:p>
              </w:tc>
              <w:tc>
                <w:tcPr>
                  <w:tcW w:w="750" w:type="pct"/>
                  <w:noWrap w:val="0"/>
                  <w:vAlign w:val="center"/>
                </w:tcPr>
                <w:p w14:paraId="10E860E6">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主要成分</w:t>
                  </w:r>
                </w:p>
              </w:tc>
              <w:tc>
                <w:tcPr>
                  <w:tcW w:w="521" w:type="pct"/>
                  <w:noWrap w:val="0"/>
                  <w:vAlign w:val="center"/>
                </w:tcPr>
                <w:p w14:paraId="19996793">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危险特性鉴别方法</w:t>
                  </w:r>
                </w:p>
              </w:tc>
              <w:tc>
                <w:tcPr>
                  <w:tcW w:w="384" w:type="pct"/>
                  <w:noWrap w:val="0"/>
                  <w:vAlign w:val="center"/>
                </w:tcPr>
                <w:p w14:paraId="15675819">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危险特性</w:t>
                  </w:r>
                </w:p>
              </w:tc>
              <w:tc>
                <w:tcPr>
                  <w:tcW w:w="503" w:type="pct"/>
                  <w:noWrap w:val="0"/>
                  <w:vAlign w:val="center"/>
                </w:tcPr>
                <w:p w14:paraId="6D92E3DF">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废物类别</w:t>
                  </w:r>
                </w:p>
              </w:tc>
              <w:tc>
                <w:tcPr>
                  <w:tcW w:w="623" w:type="pct"/>
                  <w:noWrap w:val="0"/>
                  <w:vAlign w:val="center"/>
                </w:tcPr>
                <w:p w14:paraId="5C5E5D75">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废物代码</w:t>
                  </w:r>
                </w:p>
              </w:tc>
              <w:tc>
                <w:tcPr>
                  <w:tcW w:w="474" w:type="pct"/>
                  <w:noWrap w:val="0"/>
                  <w:vAlign w:val="center"/>
                </w:tcPr>
                <w:p w14:paraId="4B7DF8F4">
                  <w:pPr>
                    <w:snapToGrid w:val="0"/>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产生量（t/a）</w:t>
                  </w:r>
                </w:p>
              </w:tc>
            </w:tr>
            <w:tr w14:paraId="4424C5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3" w:type="pct"/>
                  <w:noWrap w:val="0"/>
                  <w:vAlign w:val="center"/>
                </w:tcPr>
                <w:p w14:paraId="7E4A0093">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490" w:type="pct"/>
                  <w:tcBorders>
                    <w:bottom w:val="single" w:color="auto" w:sz="2" w:space="0"/>
                  </w:tcBorders>
                  <w:noWrap w:val="0"/>
                  <w:vAlign w:val="center"/>
                </w:tcPr>
                <w:p w14:paraId="791CFF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废金属边角料</w:t>
                  </w:r>
                </w:p>
              </w:tc>
              <w:tc>
                <w:tcPr>
                  <w:tcW w:w="228" w:type="pct"/>
                  <w:vMerge w:val="restart"/>
                  <w:noWrap w:val="0"/>
                  <w:vAlign w:val="center"/>
                </w:tcPr>
                <w:p w14:paraId="51DDD7F0">
                  <w:pPr>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一般固废</w:t>
                  </w:r>
                </w:p>
              </w:tc>
              <w:tc>
                <w:tcPr>
                  <w:tcW w:w="476" w:type="pct"/>
                  <w:noWrap w:val="0"/>
                  <w:vAlign w:val="center"/>
                </w:tcPr>
                <w:p w14:paraId="70A91E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内孔珩磨</w:t>
                  </w:r>
                </w:p>
              </w:tc>
              <w:tc>
                <w:tcPr>
                  <w:tcW w:w="292" w:type="pct"/>
                  <w:noWrap w:val="0"/>
                  <w:vAlign w:val="center"/>
                </w:tcPr>
                <w:p w14:paraId="454E13D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77488B8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铁</w:t>
                  </w:r>
                </w:p>
              </w:tc>
              <w:tc>
                <w:tcPr>
                  <w:tcW w:w="521" w:type="pct"/>
                  <w:vMerge w:val="restart"/>
                  <w:noWrap w:val="0"/>
                  <w:vAlign w:val="center"/>
                </w:tcPr>
                <w:p w14:paraId="0CC1B124">
                  <w:pPr>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根据《国家危险废物名录（2021年版）》进行鉴别，不需要进一步开展危险废物特性鉴别</w:t>
                  </w:r>
                </w:p>
              </w:tc>
              <w:tc>
                <w:tcPr>
                  <w:tcW w:w="384" w:type="pct"/>
                  <w:noWrap w:val="0"/>
                  <w:vAlign w:val="center"/>
                </w:tcPr>
                <w:p w14:paraId="626E2B01">
                  <w:pPr>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503" w:type="pct"/>
                  <w:noWrap w:val="0"/>
                  <w:vAlign w:val="center"/>
                </w:tcPr>
                <w:p w14:paraId="7BB23461">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SW17</w:t>
                  </w:r>
                </w:p>
              </w:tc>
              <w:tc>
                <w:tcPr>
                  <w:tcW w:w="623" w:type="pct"/>
                  <w:noWrap w:val="0"/>
                  <w:vAlign w:val="center"/>
                </w:tcPr>
                <w:p w14:paraId="2B2297CD">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900-001-S17</w:t>
                  </w:r>
                </w:p>
              </w:tc>
              <w:tc>
                <w:tcPr>
                  <w:tcW w:w="474" w:type="pct"/>
                  <w:noWrap w:val="0"/>
                  <w:vAlign w:val="center"/>
                </w:tcPr>
                <w:p w14:paraId="5C30939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100</w:t>
                  </w:r>
                </w:p>
              </w:tc>
            </w:tr>
            <w:tr w14:paraId="5471F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3" w:type="pct"/>
                  <w:noWrap w:val="0"/>
                  <w:vAlign w:val="center"/>
                </w:tcPr>
                <w:p w14:paraId="2EEF6824">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490" w:type="pct"/>
                  <w:tcBorders>
                    <w:top w:val="single" w:color="auto" w:sz="2" w:space="0"/>
                  </w:tcBorders>
                  <w:noWrap w:val="0"/>
                  <w:vAlign w:val="center"/>
                </w:tcPr>
                <w:p w14:paraId="3321941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废塑料边角料</w:t>
                  </w:r>
                </w:p>
              </w:tc>
              <w:tc>
                <w:tcPr>
                  <w:tcW w:w="228" w:type="pct"/>
                  <w:vMerge w:val="continue"/>
                  <w:noWrap w:val="0"/>
                  <w:vAlign w:val="center"/>
                </w:tcPr>
                <w:p w14:paraId="39AB57A7">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6886963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脱漆皮</w:t>
                  </w:r>
                </w:p>
              </w:tc>
              <w:tc>
                <w:tcPr>
                  <w:tcW w:w="292" w:type="pct"/>
                  <w:noWrap w:val="0"/>
                  <w:vAlign w:val="center"/>
                </w:tcPr>
                <w:p w14:paraId="6FBE33E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569B431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塑料护套</w:t>
                  </w:r>
                </w:p>
              </w:tc>
              <w:tc>
                <w:tcPr>
                  <w:tcW w:w="521" w:type="pct"/>
                  <w:vMerge w:val="continue"/>
                  <w:noWrap w:val="0"/>
                  <w:vAlign w:val="center"/>
                </w:tcPr>
                <w:p w14:paraId="75E8B18A">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424C42F1">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503" w:type="pct"/>
                  <w:noWrap w:val="0"/>
                  <w:vAlign w:val="center"/>
                </w:tcPr>
                <w:p w14:paraId="77B8D962">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SW17</w:t>
                  </w:r>
                </w:p>
              </w:tc>
              <w:tc>
                <w:tcPr>
                  <w:tcW w:w="623" w:type="pct"/>
                  <w:noWrap w:val="0"/>
                  <w:vAlign w:val="center"/>
                </w:tcPr>
                <w:p w14:paraId="1D00B6C0">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900-003-S17</w:t>
                  </w:r>
                </w:p>
              </w:tc>
              <w:tc>
                <w:tcPr>
                  <w:tcW w:w="474" w:type="pct"/>
                  <w:noWrap w:val="0"/>
                  <w:vAlign w:val="center"/>
                </w:tcPr>
                <w:p w14:paraId="1D585F8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0.0</w:t>
                  </w:r>
                  <w:r>
                    <w:rPr>
                      <w:rFonts w:hint="default" w:ascii="Times New Roman" w:hAnsi="Times New Roman" w:eastAsia="仿宋" w:cs="Times New Roman"/>
                      <w:color w:val="auto"/>
                      <w:sz w:val="21"/>
                      <w:szCs w:val="21"/>
                      <w:lang w:val="en-US" w:eastAsia="zh-CN"/>
                    </w:rPr>
                    <w:t>1</w:t>
                  </w:r>
                </w:p>
              </w:tc>
            </w:tr>
            <w:tr w14:paraId="15037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3" w:type="pct"/>
                  <w:noWrap w:val="0"/>
                  <w:vAlign w:val="center"/>
                </w:tcPr>
                <w:p w14:paraId="759CC3A3">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3</w:t>
                  </w:r>
                </w:p>
              </w:tc>
              <w:tc>
                <w:tcPr>
                  <w:tcW w:w="490" w:type="pct"/>
                  <w:noWrap w:val="0"/>
                  <w:vAlign w:val="center"/>
                </w:tcPr>
                <w:p w14:paraId="4F7EEFA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废切削液</w:t>
                  </w:r>
                </w:p>
              </w:tc>
              <w:tc>
                <w:tcPr>
                  <w:tcW w:w="228" w:type="pct"/>
                  <w:vMerge w:val="restart"/>
                  <w:noWrap w:val="0"/>
                  <w:vAlign w:val="center"/>
                </w:tcPr>
                <w:p w14:paraId="22BF7EC9">
                  <w:pPr>
                    <w:snapToGrid w:val="0"/>
                    <w:spacing w:line="240" w:lineRule="auto"/>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w:t>
                  </w:r>
                </w:p>
              </w:tc>
              <w:tc>
                <w:tcPr>
                  <w:tcW w:w="476" w:type="pct"/>
                  <w:noWrap w:val="0"/>
                  <w:vAlign w:val="center"/>
                </w:tcPr>
                <w:p w14:paraId="271A40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外圆磨加工</w:t>
                  </w:r>
                </w:p>
              </w:tc>
              <w:tc>
                <w:tcPr>
                  <w:tcW w:w="292" w:type="pct"/>
                  <w:noWrap w:val="0"/>
                  <w:vAlign w:val="center"/>
                </w:tcPr>
                <w:p w14:paraId="40BF68F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液态</w:t>
                  </w:r>
                </w:p>
              </w:tc>
              <w:tc>
                <w:tcPr>
                  <w:tcW w:w="750" w:type="pct"/>
                  <w:noWrap w:val="0"/>
                  <w:vAlign w:val="center"/>
                </w:tcPr>
                <w:p w14:paraId="54AB1E9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烃水混合物</w:t>
                  </w:r>
                </w:p>
              </w:tc>
              <w:tc>
                <w:tcPr>
                  <w:tcW w:w="521" w:type="pct"/>
                  <w:vMerge w:val="continue"/>
                  <w:noWrap w:val="0"/>
                  <w:vAlign w:val="center"/>
                </w:tcPr>
                <w:p w14:paraId="20327B8F">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68D2374D">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503" w:type="pct"/>
                  <w:noWrap w:val="0"/>
                  <w:vAlign w:val="center"/>
                </w:tcPr>
                <w:p w14:paraId="5F8583AD">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HW09</w:t>
                  </w:r>
                </w:p>
              </w:tc>
              <w:tc>
                <w:tcPr>
                  <w:tcW w:w="623" w:type="pct"/>
                  <w:noWrap w:val="0"/>
                  <w:vAlign w:val="center"/>
                </w:tcPr>
                <w:p w14:paraId="223460D4">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900-006-09</w:t>
                  </w:r>
                </w:p>
              </w:tc>
              <w:tc>
                <w:tcPr>
                  <w:tcW w:w="474" w:type="pct"/>
                  <w:noWrap w:val="0"/>
                  <w:vAlign w:val="center"/>
                </w:tcPr>
                <w:p w14:paraId="0FF657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4</w:t>
                  </w:r>
                </w:p>
              </w:tc>
            </w:tr>
            <w:tr w14:paraId="7C525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3" w:type="pct"/>
                  <w:noWrap w:val="0"/>
                  <w:vAlign w:val="center"/>
                </w:tcPr>
                <w:p w14:paraId="35FF64EC">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4</w:t>
                  </w:r>
                </w:p>
              </w:tc>
              <w:tc>
                <w:tcPr>
                  <w:tcW w:w="490" w:type="pct"/>
                  <w:noWrap w:val="0"/>
                  <w:vAlign w:val="center"/>
                </w:tcPr>
                <w:p w14:paraId="5E9311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废液压油</w:t>
                  </w:r>
                </w:p>
              </w:tc>
              <w:tc>
                <w:tcPr>
                  <w:tcW w:w="228" w:type="pct"/>
                  <w:vMerge w:val="continue"/>
                  <w:noWrap w:val="0"/>
                  <w:vAlign w:val="center"/>
                </w:tcPr>
                <w:p w14:paraId="43CFBC7E">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03AB01D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维护保养</w:t>
                  </w:r>
                </w:p>
              </w:tc>
              <w:tc>
                <w:tcPr>
                  <w:tcW w:w="292" w:type="pct"/>
                  <w:noWrap w:val="0"/>
                  <w:vAlign w:val="center"/>
                </w:tcPr>
                <w:p w14:paraId="77A781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液态</w:t>
                  </w:r>
                </w:p>
              </w:tc>
              <w:tc>
                <w:tcPr>
                  <w:tcW w:w="750" w:type="pct"/>
                  <w:noWrap w:val="0"/>
                  <w:vAlign w:val="center"/>
                </w:tcPr>
                <w:p w14:paraId="1D806E1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矿物油</w:t>
                  </w:r>
                </w:p>
              </w:tc>
              <w:tc>
                <w:tcPr>
                  <w:tcW w:w="521" w:type="pct"/>
                  <w:vMerge w:val="continue"/>
                  <w:noWrap w:val="0"/>
                  <w:vAlign w:val="center"/>
                </w:tcPr>
                <w:p w14:paraId="7213F7D1">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2ABE828A">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503" w:type="pct"/>
                  <w:noWrap w:val="0"/>
                  <w:vAlign w:val="center"/>
                </w:tcPr>
                <w:p w14:paraId="64D79183">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HW08</w:t>
                  </w:r>
                </w:p>
              </w:tc>
              <w:tc>
                <w:tcPr>
                  <w:tcW w:w="623" w:type="pct"/>
                  <w:noWrap w:val="0"/>
                  <w:vAlign w:val="center"/>
                </w:tcPr>
                <w:p w14:paraId="48593E70">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900-218-08</w:t>
                  </w:r>
                </w:p>
              </w:tc>
              <w:tc>
                <w:tcPr>
                  <w:tcW w:w="474" w:type="pct"/>
                  <w:noWrap w:val="0"/>
                  <w:vAlign w:val="center"/>
                </w:tcPr>
                <w:p w14:paraId="45C683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0.05</w:t>
                  </w:r>
                </w:p>
              </w:tc>
            </w:tr>
            <w:tr w14:paraId="7A55F2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253" w:type="pct"/>
                  <w:noWrap w:val="0"/>
                  <w:vAlign w:val="center"/>
                </w:tcPr>
                <w:p w14:paraId="24A2A2E0">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490" w:type="pct"/>
                  <w:noWrap w:val="0"/>
                  <w:vAlign w:val="center"/>
                </w:tcPr>
                <w:p w14:paraId="39D26B8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废珩磨油</w:t>
                  </w:r>
                </w:p>
              </w:tc>
              <w:tc>
                <w:tcPr>
                  <w:tcW w:w="228" w:type="pct"/>
                  <w:vMerge w:val="continue"/>
                  <w:noWrap w:val="0"/>
                  <w:vAlign w:val="center"/>
                </w:tcPr>
                <w:p w14:paraId="584B2D7F">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665BC6B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外圆珩磨</w:t>
                  </w:r>
                </w:p>
              </w:tc>
              <w:tc>
                <w:tcPr>
                  <w:tcW w:w="292" w:type="pct"/>
                  <w:noWrap w:val="0"/>
                  <w:vAlign w:val="center"/>
                </w:tcPr>
                <w:p w14:paraId="6915FA0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液态</w:t>
                  </w:r>
                </w:p>
              </w:tc>
              <w:tc>
                <w:tcPr>
                  <w:tcW w:w="750" w:type="pct"/>
                  <w:noWrap w:val="0"/>
                  <w:vAlign w:val="center"/>
                </w:tcPr>
                <w:p w14:paraId="3DD5D75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矿物油</w:t>
                  </w:r>
                </w:p>
              </w:tc>
              <w:tc>
                <w:tcPr>
                  <w:tcW w:w="521" w:type="pct"/>
                  <w:vMerge w:val="continue"/>
                  <w:noWrap w:val="0"/>
                  <w:vAlign w:val="center"/>
                </w:tcPr>
                <w:p w14:paraId="10CDA4C7">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65FFF04A">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T，I</w:t>
                  </w:r>
                </w:p>
              </w:tc>
              <w:tc>
                <w:tcPr>
                  <w:tcW w:w="503" w:type="pct"/>
                  <w:noWrap w:val="0"/>
                  <w:vAlign w:val="center"/>
                </w:tcPr>
                <w:p w14:paraId="68214851">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HW08</w:t>
                  </w:r>
                </w:p>
              </w:tc>
              <w:tc>
                <w:tcPr>
                  <w:tcW w:w="623" w:type="pct"/>
                  <w:noWrap w:val="0"/>
                  <w:vAlign w:val="center"/>
                </w:tcPr>
                <w:p w14:paraId="02E5BA6E">
                  <w:pPr>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900-200-08</w:t>
                  </w:r>
                </w:p>
              </w:tc>
              <w:tc>
                <w:tcPr>
                  <w:tcW w:w="474" w:type="pct"/>
                  <w:noWrap w:val="0"/>
                  <w:vAlign w:val="center"/>
                </w:tcPr>
                <w:p w14:paraId="1864D6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0.1</w:t>
                  </w:r>
                </w:p>
              </w:tc>
            </w:tr>
            <w:tr w14:paraId="46EE20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18070482">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6</w:t>
                  </w:r>
                </w:p>
              </w:tc>
              <w:tc>
                <w:tcPr>
                  <w:tcW w:w="490" w:type="pct"/>
                  <w:noWrap w:val="0"/>
                  <w:vAlign w:val="center"/>
                </w:tcPr>
                <w:p w14:paraId="47F868C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废包装桶</w:t>
                  </w:r>
                </w:p>
              </w:tc>
              <w:tc>
                <w:tcPr>
                  <w:tcW w:w="228" w:type="pct"/>
                  <w:vMerge w:val="continue"/>
                  <w:noWrap w:val="0"/>
                  <w:vAlign w:val="center"/>
                </w:tcPr>
                <w:p w14:paraId="134445BD">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6DFB9FD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原料使用</w:t>
                  </w:r>
                </w:p>
              </w:tc>
              <w:tc>
                <w:tcPr>
                  <w:tcW w:w="292" w:type="pct"/>
                  <w:noWrap w:val="0"/>
                  <w:vAlign w:val="center"/>
                </w:tcPr>
                <w:p w14:paraId="37D017B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476D7A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液压油、珩磨油、</w:t>
                  </w:r>
                  <w:r>
                    <w:rPr>
                      <w:rFonts w:hint="default" w:ascii="Times New Roman" w:hAnsi="Times New Roman" w:eastAsia="仿宋" w:cs="Times New Roman"/>
                      <w:color w:val="auto"/>
                      <w:sz w:val="21"/>
                      <w:szCs w:val="21"/>
                      <w:lang w:val="en-US" w:eastAsia="zh-CN"/>
                    </w:rPr>
                    <w:t>清洗剂、切削液</w:t>
                  </w:r>
                  <w:r>
                    <w:rPr>
                      <w:rFonts w:hint="eastAsia" w:eastAsia="仿宋" w:cs="Times New Roman"/>
                      <w:color w:val="auto"/>
                      <w:sz w:val="21"/>
                      <w:szCs w:val="21"/>
                      <w:lang w:val="en-US" w:eastAsia="zh-CN"/>
                    </w:rPr>
                    <w:t>、胶水</w:t>
                  </w:r>
                </w:p>
              </w:tc>
              <w:tc>
                <w:tcPr>
                  <w:tcW w:w="521" w:type="pct"/>
                  <w:vMerge w:val="continue"/>
                  <w:noWrap w:val="0"/>
                  <w:vAlign w:val="center"/>
                </w:tcPr>
                <w:p w14:paraId="2D3C576E">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4F6AD3D8">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T/In</w:t>
                  </w:r>
                </w:p>
              </w:tc>
              <w:tc>
                <w:tcPr>
                  <w:tcW w:w="503" w:type="pct"/>
                  <w:noWrap w:val="0"/>
                  <w:vAlign w:val="center"/>
                </w:tcPr>
                <w:p w14:paraId="02187CA8">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w:t>
                  </w:r>
                </w:p>
              </w:tc>
              <w:tc>
                <w:tcPr>
                  <w:tcW w:w="623" w:type="pct"/>
                  <w:noWrap w:val="0"/>
                  <w:vAlign w:val="center"/>
                </w:tcPr>
                <w:p w14:paraId="52517716">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474" w:type="pct"/>
                  <w:noWrap w:val="0"/>
                  <w:vAlign w:val="center"/>
                </w:tcPr>
                <w:p w14:paraId="4A09DCE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2</w:t>
                  </w:r>
                </w:p>
              </w:tc>
            </w:tr>
            <w:tr w14:paraId="3A637D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2C5A2B98">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490" w:type="pct"/>
                  <w:noWrap w:val="0"/>
                  <w:vAlign w:val="center"/>
                </w:tcPr>
                <w:p w14:paraId="43F3D6B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清洗废液</w:t>
                  </w:r>
                </w:p>
              </w:tc>
              <w:tc>
                <w:tcPr>
                  <w:tcW w:w="228" w:type="pct"/>
                  <w:vMerge w:val="continue"/>
                  <w:noWrap w:val="0"/>
                  <w:vAlign w:val="center"/>
                </w:tcPr>
                <w:p w14:paraId="37A001A4">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5B5EEF3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清洗</w:t>
                  </w:r>
                </w:p>
              </w:tc>
              <w:tc>
                <w:tcPr>
                  <w:tcW w:w="292" w:type="pct"/>
                  <w:noWrap w:val="0"/>
                  <w:vAlign w:val="center"/>
                </w:tcPr>
                <w:p w14:paraId="4DF1B69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液态</w:t>
                  </w:r>
                </w:p>
              </w:tc>
              <w:tc>
                <w:tcPr>
                  <w:tcW w:w="750" w:type="pct"/>
                  <w:noWrap w:val="0"/>
                  <w:vAlign w:val="center"/>
                </w:tcPr>
                <w:p w14:paraId="0D2B6C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清洗剂</w:t>
                  </w:r>
                </w:p>
              </w:tc>
              <w:tc>
                <w:tcPr>
                  <w:tcW w:w="521" w:type="pct"/>
                  <w:vMerge w:val="continue"/>
                  <w:noWrap w:val="0"/>
                  <w:vAlign w:val="center"/>
                </w:tcPr>
                <w:p w14:paraId="7E1F8A28">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53D8B733">
                  <w:pPr>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T</w:t>
                  </w:r>
                </w:p>
              </w:tc>
              <w:tc>
                <w:tcPr>
                  <w:tcW w:w="503" w:type="pct"/>
                  <w:noWrap w:val="0"/>
                  <w:vAlign w:val="center"/>
                </w:tcPr>
                <w:p w14:paraId="1B5F8057">
                  <w:pPr>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HW17</w:t>
                  </w:r>
                </w:p>
              </w:tc>
              <w:tc>
                <w:tcPr>
                  <w:tcW w:w="623" w:type="pct"/>
                  <w:noWrap w:val="0"/>
                  <w:vAlign w:val="center"/>
                </w:tcPr>
                <w:p w14:paraId="00C0019D">
                  <w:pPr>
                    <w:spacing w:line="240" w:lineRule="auto"/>
                    <w:jc w:val="center"/>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900-007-09</w:t>
                  </w:r>
                </w:p>
              </w:tc>
              <w:tc>
                <w:tcPr>
                  <w:tcW w:w="474" w:type="pct"/>
                  <w:noWrap w:val="0"/>
                  <w:vAlign w:val="center"/>
                </w:tcPr>
                <w:p w14:paraId="4627016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8.64</w:t>
                  </w:r>
                </w:p>
              </w:tc>
            </w:tr>
            <w:tr w14:paraId="0A56E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624073A1">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8</w:t>
                  </w:r>
                </w:p>
              </w:tc>
              <w:tc>
                <w:tcPr>
                  <w:tcW w:w="490" w:type="pct"/>
                  <w:noWrap w:val="0"/>
                  <w:vAlign w:val="center"/>
                </w:tcPr>
                <w:p w14:paraId="6F020DC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沾染废液的废抹布、手套、拖把等</w:t>
                  </w:r>
                </w:p>
              </w:tc>
              <w:tc>
                <w:tcPr>
                  <w:tcW w:w="228" w:type="pct"/>
                  <w:vMerge w:val="continue"/>
                  <w:noWrap w:val="0"/>
                  <w:vAlign w:val="center"/>
                </w:tcPr>
                <w:p w14:paraId="524B9425">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0BCAAFB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日常生产</w:t>
                  </w:r>
                </w:p>
              </w:tc>
              <w:tc>
                <w:tcPr>
                  <w:tcW w:w="292" w:type="pct"/>
                  <w:noWrap w:val="0"/>
                  <w:vAlign w:val="center"/>
                </w:tcPr>
                <w:p w14:paraId="57A9749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17B6925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切削液</w:t>
                  </w:r>
                </w:p>
              </w:tc>
              <w:tc>
                <w:tcPr>
                  <w:tcW w:w="521" w:type="pct"/>
                  <w:vMerge w:val="continue"/>
                  <w:noWrap w:val="0"/>
                  <w:vAlign w:val="center"/>
                </w:tcPr>
                <w:p w14:paraId="330193B0">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67ED012C">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T/In</w:t>
                  </w:r>
                </w:p>
              </w:tc>
              <w:tc>
                <w:tcPr>
                  <w:tcW w:w="503" w:type="pct"/>
                  <w:noWrap w:val="0"/>
                  <w:vAlign w:val="center"/>
                </w:tcPr>
                <w:p w14:paraId="279EE8E8">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w:t>
                  </w:r>
                </w:p>
              </w:tc>
              <w:tc>
                <w:tcPr>
                  <w:tcW w:w="623" w:type="pct"/>
                  <w:noWrap w:val="0"/>
                  <w:vAlign w:val="center"/>
                </w:tcPr>
                <w:p w14:paraId="741BE592">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474" w:type="pct"/>
                  <w:noWrap w:val="0"/>
                  <w:vAlign w:val="center"/>
                </w:tcPr>
                <w:p w14:paraId="35AB525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0.</w:t>
                  </w:r>
                  <w:r>
                    <w:rPr>
                      <w:rFonts w:hint="eastAsia" w:eastAsia="仿宋" w:cs="Times New Roman"/>
                      <w:color w:val="auto"/>
                      <w:sz w:val="21"/>
                      <w:szCs w:val="21"/>
                      <w:lang w:val="en-US" w:eastAsia="zh-CN"/>
                    </w:rPr>
                    <w:t>2</w:t>
                  </w:r>
                </w:p>
              </w:tc>
            </w:tr>
            <w:tr w14:paraId="492E0D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67B1E520">
                  <w:pPr>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9</w:t>
                  </w:r>
                </w:p>
              </w:tc>
              <w:tc>
                <w:tcPr>
                  <w:tcW w:w="490" w:type="pct"/>
                  <w:noWrap w:val="0"/>
                  <w:vAlign w:val="center"/>
                </w:tcPr>
                <w:p w14:paraId="3189262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废过滤纸</w:t>
                  </w:r>
                </w:p>
              </w:tc>
              <w:tc>
                <w:tcPr>
                  <w:tcW w:w="228" w:type="pct"/>
                  <w:vMerge w:val="continue"/>
                  <w:noWrap w:val="0"/>
                  <w:vAlign w:val="center"/>
                </w:tcPr>
                <w:p w14:paraId="04F1537C">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073DB77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外圆磨加工</w:t>
                  </w:r>
                </w:p>
              </w:tc>
              <w:tc>
                <w:tcPr>
                  <w:tcW w:w="292" w:type="pct"/>
                  <w:noWrap w:val="0"/>
                  <w:vAlign w:val="center"/>
                </w:tcPr>
                <w:p w14:paraId="66B181B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7AE570F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切削液</w:t>
                  </w:r>
                </w:p>
              </w:tc>
              <w:tc>
                <w:tcPr>
                  <w:tcW w:w="521" w:type="pct"/>
                  <w:vMerge w:val="continue"/>
                  <w:noWrap w:val="0"/>
                  <w:vAlign w:val="center"/>
                </w:tcPr>
                <w:p w14:paraId="6787A949">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64D3B74E">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T/In</w:t>
                  </w:r>
                </w:p>
              </w:tc>
              <w:tc>
                <w:tcPr>
                  <w:tcW w:w="503" w:type="pct"/>
                  <w:noWrap w:val="0"/>
                  <w:vAlign w:val="center"/>
                </w:tcPr>
                <w:p w14:paraId="248A297F">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HW49</w:t>
                  </w:r>
                </w:p>
              </w:tc>
              <w:tc>
                <w:tcPr>
                  <w:tcW w:w="623" w:type="pct"/>
                  <w:noWrap w:val="0"/>
                  <w:vAlign w:val="center"/>
                </w:tcPr>
                <w:p w14:paraId="3A270F4D">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474" w:type="pct"/>
                  <w:noWrap w:val="0"/>
                  <w:vAlign w:val="center"/>
                </w:tcPr>
                <w:p w14:paraId="7642FC8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eastAsia" w:eastAsia="仿宋" w:cs="Times New Roman"/>
                      <w:color w:val="auto"/>
                      <w:sz w:val="21"/>
                      <w:szCs w:val="21"/>
                      <w:lang w:val="en-US" w:eastAsia="zh-CN"/>
                    </w:rPr>
                    <w:t>0.</w:t>
                  </w:r>
                  <w:r>
                    <w:rPr>
                      <w:rFonts w:hint="default" w:ascii="Times New Roman" w:hAnsi="Times New Roman" w:eastAsia="仿宋" w:cs="Times New Roman"/>
                      <w:color w:val="auto"/>
                      <w:sz w:val="21"/>
                      <w:szCs w:val="21"/>
                      <w:lang w:val="en-US" w:eastAsia="zh-CN"/>
                    </w:rPr>
                    <w:t>1</w:t>
                  </w:r>
                </w:p>
              </w:tc>
            </w:tr>
            <w:tr w14:paraId="73BE2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6CE388DE">
                  <w:pPr>
                    <w:snapToGrid w:val="0"/>
                    <w:spacing w:line="240" w:lineRule="auto"/>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w:t>
                  </w:r>
                </w:p>
              </w:tc>
              <w:tc>
                <w:tcPr>
                  <w:tcW w:w="490" w:type="pct"/>
                  <w:noWrap w:val="0"/>
                  <w:vAlign w:val="center"/>
                </w:tcPr>
                <w:p w14:paraId="77B1286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磨床灰</w:t>
                  </w:r>
                </w:p>
              </w:tc>
              <w:tc>
                <w:tcPr>
                  <w:tcW w:w="228" w:type="pct"/>
                  <w:vMerge w:val="continue"/>
                  <w:noWrap w:val="0"/>
                  <w:vAlign w:val="center"/>
                </w:tcPr>
                <w:p w14:paraId="4570348C">
                  <w:pPr>
                    <w:snapToGrid w:val="0"/>
                    <w:spacing w:line="240" w:lineRule="auto"/>
                    <w:jc w:val="center"/>
                    <w:rPr>
                      <w:rFonts w:hint="default" w:ascii="Times New Roman" w:hAnsi="Times New Roman" w:eastAsia="仿宋" w:cs="Times New Roman"/>
                      <w:color w:val="auto"/>
                      <w:sz w:val="21"/>
                      <w:szCs w:val="21"/>
                    </w:rPr>
                  </w:pPr>
                </w:p>
              </w:tc>
              <w:tc>
                <w:tcPr>
                  <w:tcW w:w="476" w:type="pct"/>
                  <w:noWrap w:val="0"/>
                  <w:vAlign w:val="center"/>
                </w:tcPr>
                <w:p w14:paraId="5C08AF9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外圆磨加工</w:t>
                  </w:r>
                </w:p>
              </w:tc>
              <w:tc>
                <w:tcPr>
                  <w:tcW w:w="292" w:type="pct"/>
                  <w:noWrap w:val="0"/>
                  <w:vAlign w:val="center"/>
                </w:tcPr>
                <w:p w14:paraId="7B29F660">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固态</w:t>
                  </w:r>
                </w:p>
              </w:tc>
              <w:tc>
                <w:tcPr>
                  <w:tcW w:w="750" w:type="pct"/>
                  <w:noWrap w:val="0"/>
                  <w:vAlign w:val="center"/>
                </w:tcPr>
                <w:p w14:paraId="3C49EF5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铁</w:t>
                  </w:r>
                  <w:r>
                    <w:rPr>
                      <w:rFonts w:hint="eastAsia" w:eastAsia="仿宋" w:cs="Times New Roman"/>
                      <w:color w:val="auto"/>
                      <w:sz w:val="21"/>
                      <w:szCs w:val="21"/>
                      <w:lang w:val="en-US" w:eastAsia="zh-CN"/>
                    </w:rPr>
                    <w:t>、</w:t>
                  </w:r>
                  <w:r>
                    <w:rPr>
                      <w:rFonts w:hint="default" w:ascii="Times New Roman" w:hAnsi="Times New Roman" w:eastAsia="仿宋" w:cs="Times New Roman"/>
                      <w:color w:val="auto"/>
                      <w:sz w:val="21"/>
                      <w:szCs w:val="21"/>
                      <w:highlight w:val="none"/>
                      <w:lang w:val="en-US" w:eastAsia="zh-CN"/>
                    </w:rPr>
                    <w:t>切削液</w:t>
                  </w:r>
                </w:p>
              </w:tc>
              <w:tc>
                <w:tcPr>
                  <w:tcW w:w="521" w:type="pct"/>
                  <w:vMerge w:val="continue"/>
                  <w:noWrap w:val="0"/>
                  <w:vAlign w:val="center"/>
                </w:tcPr>
                <w:p w14:paraId="410C56BB">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6864B9E4">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T，I</w:t>
                  </w:r>
                </w:p>
              </w:tc>
              <w:tc>
                <w:tcPr>
                  <w:tcW w:w="503" w:type="pct"/>
                  <w:noWrap w:val="0"/>
                  <w:vAlign w:val="center"/>
                </w:tcPr>
                <w:p w14:paraId="4822BD41">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HW08</w:t>
                  </w:r>
                </w:p>
              </w:tc>
              <w:tc>
                <w:tcPr>
                  <w:tcW w:w="623" w:type="pct"/>
                  <w:noWrap w:val="0"/>
                  <w:vAlign w:val="center"/>
                </w:tcPr>
                <w:p w14:paraId="1B0F4418">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900-200-08</w:t>
                  </w:r>
                </w:p>
              </w:tc>
              <w:tc>
                <w:tcPr>
                  <w:tcW w:w="474" w:type="pct"/>
                  <w:noWrap w:val="0"/>
                  <w:vAlign w:val="center"/>
                </w:tcPr>
                <w:p w14:paraId="575CEE1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2</w:t>
                  </w:r>
                </w:p>
              </w:tc>
            </w:tr>
            <w:tr w14:paraId="65F30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53" w:type="pct"/>
                  <w:noWrap w:val="0"/>
                  <w:vAlign w:val="center"/>
                </w:tcPr>
                <w:p w14:paraId="2F3F4854">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11</w:t>
                  </w:r>
                </w:p>
              </w:tc>
              <w:tc>
                <w:tcPr>
                  <w:tcW w:w="490" w:type="pct"/>
                  <w:noWrap w:val="0"/>
                  <w:vAlign w:val="center"/>
                </w:tcPr>
                <w:p w14:paraId="5DA4249F">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生活垃圾</w:t>
                  </w:r>
                </w:p>
              </w:tc>
              <w:tc>
                <w:tcPr>
                  <w:tcW w:w="228" w:type="pct"/>
                  <w:noWrap w:val="0"/>
                  <w:vAlign w:val="center"/>
                </w:tcPr>
                <w:p w14:paraId="10EEFFF1">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c>
                <w:tcPr>
                  <w:tcW w:w="476" w:type="pct"/>
                  <w:noWrap w:val="0"/>
                  <w:vAlign w:val="center"/>
                </w:tcPr>
                <w:p w14:paraId="2D9680C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员工生活</w:t>
                  </w:r>
                </w:p>
              </w:tc>
              <w:tc>
                <w:tcPr>
                  <w:tcW w:w="292" w:type="pct"/>
                  <w:noWrap w:val="0"/>
                  <w:vAlign w:val="center"/>
                </w:tcPr>
                <w:p w14:paraId="623A452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固</w:t>
                  </w:r>
                  <w:r>
                    <w:rPr>
                      <w:rFonts w:hint="default" w:ascii="Times New Roman" w:hAnsi="Times New Roman" w:eastAsia="仿宋" w:cs="Times New Roman"/>
                      <w:color w:val="auto"/>
                      <w:sz w:val="21"/>
                      <w:szCs w:val="21"/>
                      <w:lang w:val="en-US" w:eastAsia="zh-CN"/>
                    </w:rPr>
                    <w:t>态</w:t>
                  </w:r>
                </w:p>
              </w:tc>
              <w:tc>
                <w:tcPr>
                  <w:tcW w:w="750" w:type="pct"/>
                  <w:noWrap w:val="0"/>
                  <w:vAlign w:val="center"/>
                </w:tcPr>
                <w:p w14:paraId="1085D0BB">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生活垃圾</w:t>
                  </w:r>
                </w:p>
              </w:tc>
              <w:tc>
                <w:tcPr>
                  <w:tcW w:w="521" w:type="pct"/>
                  <w:vMerge w:val="continue"/>
                  <w:noWrap w:val="0"/>
                  <w:vAlign w:val="center"/>
                </w:tcPr>
                <w:p w14:paraId="7ED36186">
                  <w:pPr>
                    <w:snapToGrid w:val="0"/>
                    <w:spacing w:line="240" w:lineRule="auto"/>
                    <w:jc w:val="center"/>
                    <w:rPr>
                      <w:rFonts w:hint="default" w:ascii="Times New Roman" w:hAnsi="Times New Roman" w:eastAsia="仿宋" w:cs="Times New Roman"/>
                      <w:color w:val="auto"/>
                      <w:sz w:val="21"/>
                      <w:szCs w:val="21"/>
                    </w:rPr>
                  </w:pPr>
                </w:p>
              </w:tc>
              <w:tc>
                <w:tcPr>
                  <w:tcW w:w="384" w:type="pct"/>
                  <w:noWrap w:val="0"/>
                  <w:vAlign w:val="center"/>
                </w:tcPr>
                <w:p w14:paraId="5C4BA4A5">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c>
                <w:tcPr>
                  <w:tcW w:w="503" w:type="pct"/>
                  <w:noWrap w:val="0"/>
                  <w:vAlign w:val="center"/>
                </w:tcPr>
                <w:p w14:paraId="50FD7D5C">
                  <w:pPr>
                    <w:snapToGrid w:val="0"/>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c>
                <w:tcPr>
                  <w:tcW w:w="623" w:type="pct"/>
                  <w:noWrap w:val="0"/>
                  <w:vAlign w:val="center"/>
                </w:tcPr>
                <w:p w14:paraId="52C99C78">
                  <w:pPr>
                    <w:spacing w:line="240" w:lineRule="auto"/>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c>
                <w:tcPr>
                  <w:tcW w:w="474" w:type="pct"/>
                  <w:noWrap w:val="0"/>
                  <w:vAlign w:val="center"/>
                </w:tcPr>
                <w:p w14:paraId="395F31E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12</w:t>
                  </w:r>
                </w:p>
              </w:tc>
            </w:tr>
          </w:tbl>
          <w:p w14:paraId="12EED24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本项目固体废物利用处置方式评价表4-18。</w:t>
            </w:r>
          </w:p>
          <w:p w14:paraId="3DCCCA52">
            <w:pPr>
              <w:spacing w:line="240" w:lineRule="auto"/>
              <w:jc w:val="center"/>
              <w:rPr>
                <w:rFonts w:hint="default" w:ascii="Times New Roman" w:hAnsi="Times New Roman" w:eastAsia="仿宋" w:cs="Times New Roman"/>
                <w:b/>
                <w:color w:val="auto"/>
                <w:sz w:val="21"/>
                <w:szCs w:val="21"/>
              </w:rPr>
            </w:pPr>
          </w:p>
          <w:p w14:paraId="48B6A889">
            <w:pPr>
              <w:pStyle w:val="2"/>
              <w:rPr>
                <w:rFonts w:hint="default" w:ascii="Times New Roman" w:hAnsi="Times New Roman" w:eastAsia="仿宋" w:cs="Times New Roman"/>
                <w:b/>
                <w:color w:val="auto"/>
                <w:sz w:val="21"/>
                <w:szCs w:val="21"/>
              </w:rPr>
            </w:pPr>
          </w:p>
          <w:p w14:paraId="1ED915FC">
            <w:pPr>
              <w:pStyle w:val="3"/>
              <w:widowControl w:val="0"/>
              <w:numPr>
                <w:numId w:val="0"/>
              </w:numPr>
              <w:jc w:val="both"/>
              <w:rPr>
                <w:rFonts w:hint="default" w:ascii="Times New Roman" w:hAnsi="Times New Roman" w:eastAsia="仿宋" w:cs="Times New Roman"/>
                <w:b/>
                <w:color w:val="auto"/>
                <w:sz w:val="21"/>
                <w:szCs w:val="21"/>
              </w:rPr>
            </w:pPr>
          </w:p>
          <w:p w14:paraId="33F1D9BC">
            <w:pPr>
              <w:pStyle w:val="3"/>
              <w:widowControl w:val="0"/>
              <w:numPr>
                <w:numId w:val="0"/>
              </w:numPr>
              <w:jc w:val="both"/>
              <w:rPr>
                <w:rFonts w:hint="default" w:ascii="Times New Roman" w:hAnsi="Times New Roman" w:eastAsia="仿宋" w:cs="Times New Roman"/>
                <w:b/>
                <w:color w:val="auto"/>
                <w:sz w:val="21"/>
                <w:szCs w:val="21"/>
              </w:rPr>
            </w:pPr>
          </w:p>
          <w:p w14:paraId="20E3DBA9">
            <w:pPr>
              <w:pStyle w:val="3"/>
              <w:widowControl w:val="0"/>
              <w:numPr>
                <w:numId w:val="0"/>
              </w:numPr>
              <w:jc w:val="both"/>
              <w:rPr>
                <w:rFonts w:hint="default" w:ascii="Times New Roman" w:hAnsi="Times New Roman" w:eastAsia="仿宋" w:cs="Times New Roman"/>
                <w:b/>
                <w:color w:val="auto"/>
                <w:sz w:val="21"/>
                <w:szCs w:val="21"/>
              </w:rPr>
            </w:pPr>
          </w:p>
          <w:p w14:paraId="40CC5040">
            <w:pPr>
              <w:pStyle w:val="3"/>
              <w:widowControl w:val="0"/>
              <w:numPr>
                <w:numId w:val="0"/>
              </w:numPr>
              <w:jc w:val="both"/>
              <w:rPr>
                <w:rFonts w:hint="default" w:ascii="Times New Roman" w:hAnsi="Times New Roman" w:eastAsia="仿宋" w:cs="Times New Roman"/>
                <w:b/>
                <w:color w:val="auto"/>
                <w:sz w:val="21"/>
                <w:szCs w:val="21"/>
              </w:rPr>
            </w:pPr>
          </w:p>
          <w:p w14:paraId="7CFA3B3C">
            <w:pPr>
              <w:spacing w:line="240" w:lineRule="auto"/>
              <w:jc w:val="center"/>
              <w:rPr>
                <w:rFonts w:hint="default" w:ascii="Times New Roman" w:hAnsi="Times New Roman" w:eastAsia="仿宋" w:cs="Times New Roman"/>
                <w:b/>
                <w:color w:val="auto"/>
                <w:sz w:val="21"/>
                <w:szCs w:val="21"/>
              </w:rPr>
            </w:pPr>
            <w:r>
              <w:rPr>
                <w:rFonts w:hint="default" w:ascii="Times New Roman" w:hAnsi="Times New Roman" w:eastAsia="仿宋" w:cs="Times New Roman"/>
                <w:b/>
                <w:color w:val="auto"/>
                <w:sz w:val="21"/>
                <w:szCs w:val="21"/>
              </w:rPr>
              <w:t>表4-</w:t>
            </w:r>
            <w:r>
              <w:rPr>
                <w:rFonts w:hint="default" w:ascii="Times New Roman" w:hAnsi="Times New Roman" w:eastAsia="仿宋" w:cs="Times New Roman"/>
                <w:b/>
                <w:color w:val="auto"/>
                <w:sz w:val="21"/>
                <w:szCs w:val="21"/>
                <w:lang w:val="en-US" w:eastAsia="zh-CN"/>
              </w:rPr>
              <w:t>18</w:t>
            </w:r>
            <w:r>
              <w:rPr>
                <w:rFonts w:hint="default" w:ascii="Times New Roman" w:hAnsi="Times New Roman" w:eastAsia="仿宋" w:cs="Times New Roman"/>
                <w:b/>
                <w:color w:val="auto"/>
                <w:sz w:val="21"/>
                <w:szCs w:val="21"/>
              </w:rPr>
              <w:t xml:space="preserve">  本项目固体废物利用处置方式评价表</w:t>
            </w:r>
          </w:p>
          <w:tbl>
            <w:tblPr>
              <w:tblStyle w:val="24"/>
              <w:tblW w:w="5000" w:type="pct"/>
              <w:jc w:val="center"/>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0"/>
              <w:gridCol w:w="1538"/>
              <w:gridCol w:w="1188"/>
              <w:gridCol w:w="716"/>
              <w:gridCol w:w="1467"/>
              <w:gridCol w:w="1210"/>
              <w:gridCol w:w="1402"/>
            </w:tblGrid>
            <w:tr w14:paraId="5C7C97CF">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tcBorders>
                    <w:top w:val="single" w:color="auto" w:sz="12" w:space="0"/>
                  </w:tcBorders>
                  <w:noWrap w:val="0"/>
                  <w:vAlign w:val="center"/>
                </w:tcPr>
                <w:p w14:paraId="5A753A47">
                  <w:pPr>
                    <w:widowControl/>
                    <w:spacing w:line="300" w:lineRule="exact"/>
                    <w:jc w:val="center"/>
                    <w:rPr>
                      <w:rFonts w:hint="default" w:ascii="Times New Roman" w:hAnsi="Times New Roman" w:eastAsia="仿宋" w:cs="Times New Roman"/>
                      <w:b/>
                      <w:color w:val="auto"/>
                      <w:spacing w:val="-8"/>
                      <w:kern w:val="0"/>
                      <w:sz w:val="21"/>
                      <w:szCs w:val="21"/>
                    </w:rPr>
                  </w:pPr>
                  <w:r>
                    <w:rPr>
                      <w:rFonts w:hint="default" w:ascii="Times New Roman" w:hAnsi="Times New Roman" w:eastAsia="仿宋" w:cs="Times New Roman"/>
                      <w:b/>
                      <w:color w:val="auto"/>
                      <w:spacing w:val="-8"/>
                      <w:kern w:val="0"/>
                      <w:sz w:val="21"/>
                      <w:szCs w:val="21"/>
                    </w:rPr>
                    <w:t>序号</w:t>
                  </w:r>
                </w:p>
              </w:tc>
              <w:tc>
                <w:tcPr>
                  <w:tcW w:w="937" w:type="pct"/>
                  <w:tcBorders>
                    <w:top w:val="single" w:color="auto" w:sz="12" w:space="0"/>
                  </w:tcBorders>
                  <w:noWrap w:val="0"/>
                  <w:vAlign w:val="center"/>
                </w:tcPr>
                <w:p w14:paraId="66153F77">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固体废物名称</w:t>
                  </w:r>
                </w:p>
              </w:tc>
              <w:tc>
                <w:tcPr>
                  <w:tcW w:w="724" w:type="pct"/>
                  <w:tcBorders>
                    <w:top w:val="single" w:color="auto" w:sz="12" w:space="0"/>
                  </w:tcBorders>
                  <w:noWrap w:val="0"/>
                  <w:vAlign w:val="center"/>
                </w:tcPr>
                <w:p w14:paraId="6A396A0E">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产生工序</w:t>
                  </w:r>
                </w:p>
              </w:tc>
              <w:tc>
                <w:tcPr>
                  <w:tcW w:w="436" w:type="pct"/>
                  <w:tcBorders>
                    <w:top w:val="single" w:color="auto" w:sz="12" w:space="0"/>
                  </w:tcBorders>
                  <w:noWrap w:val="0"/>
                  <w:vAlign w:val="center"/>
                </w:tcPr>
                <w:p w14:paraId="786ABC39">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属性</w:t>
                  </w:r>
                </w:p>
              </w:tc>
              <w:tc>
                <w:tcPr>
                  <w:tcW w:w="894" w:type="pct"/>
                  <w:tcBorders>
                    <w:top w:val="single" w:color="auto" w:sz="12" w:space="0"/>
                  </w:tcBorders>
                  <w:noWrap w:val="0"/>
                  <w:vAlign w:val="center"/>
                </w:tcPr>
                <w:p w14:paraId="7E3CEA45">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废物代码</w:t>
                  </w:r>
                </w:p>
              </w:tc>
              <w:tc>
                <w:tcPr>
                  <w:tcW w:w="737" w:type="pct"/>
                  <w:tcBorders>
                    <w:top w:val="single" w:color="auto" w:sz="12" w:space="0"/>
                  </w:tcBorders>
                  <w:noWrap w:val="0"/>
                  <w:vAlign w:val="center"/>
                </w:tcPr>
                <w:p w14:paraId="7B9B52C0">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产生量（t/a）</w:t>
                  </w:r>
                </w:p>
              </w:tc>
              <w:tc>
                <w:tcPr>
                  <w:tcW w:w="854" w:type="pct"/>
                  <w:tcBorders>
                    <w:top w:val="single" w:color="auto" w:sz="12" w:space="0"/>
                  </w:tcBorders>
                  <w:noWrap w:val="0"/>
                  <w:vAlign w:val="center"/>
                </w:tcPr>
                <w:p w14:paraId="7876DD7D">
                  <w:pPr>
                    <w:widowControl/>
                    <w:spacing w:line="300" w:lineRule="exact"/>
                    <w:jc w:val="center"/>
                    <w:rPr>
                      <w:rFonts w:hint="default" w:ascii="Times New Roman" w:hAnsi="Times New Roman" w:eastAsia="仿宋" w:cs="Times New Roman"/>
                      <w:b/>
                      <w:color w:val="auto"/>
                      <w:kern w:val="0"/>
                      <w:sz w:val="21"/>
                      <w:szCs w:val="21"/>
                    </w:rPr>
                  </w:pPr>
                  <w:r>
                    <w:rPr>
                      <w:rFonts w:hint="default" w:ascii="Times New Roman" w:hAnsi="Times New Roman" w:eastAsia="仿宋" w:cs="Times New Roman"/>
                      <w:b/>
                      <w:color w:val="auto"/>
                      <w:kern w:val="0"/>
                      <w:sz w:val="21"/>
                      <w:szCs w:val="21"/>
                    </w:rPr>
                    <w:t>利用处置方式</w:t>
                  </w:r>
                </w:p>
              </w:tc>
            </w:tr>
            <w:tr w14:paraId="7906F647">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14" w:type="pct"/>
                  <w:noWrap w:val="0"/>
                  <w:vAlign w:val="center"/>
                </w:tcPr>
                <w:p w14:paraId="58D85A58">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w:t>
                  </w:r>
                </w:p>
              </w:tc>
              <w:tc>
                <w:tcPr>
                  <w:tcW w:w="937" w:type="pct"/>
                  <w:noWrap w:val="0"/>
                  <w:vAlign w:val="center"/>
                </w:tcPr>
                <w:p w14:paraId="7010DE1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废金属边角料</w:t>
                  </w:r>
                </w:p>
              </w:tc>
              <w:tc>
                <w:tcPr>
                  <w:tcW w:w="724" w:type="pct"/>
                  <w:noWrap w:val="0"/>
                  <w:vAlign w:val="center"/>
                </w:tcPr>
                <w:p w14:paraId="67660F29">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内孔珩磨</w:t>
                  </w:r>
                </w:p>
              </w:tc>
              <w:tc>
                <w:tcPr>
                  <w:tcW w:w="436" w:type="pct"/>
                  <w:vMerge w:val="restart"/>
                  <w:noWrap w:val="0"/>
                  <w:vAlign w:val="center"/>
                </w:tcPr>
                <w:p w14:paraId="155BEA99">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一般固废</w:t>
                  </w:r>
                </w:p>
              </w:tc>
              <w:tc>
                <w:tcPr>
                  <w:tcW w:w="894" w:type="pct"/>
                  <w:noWrap w:val="0"/>
                  <w:vAlign w:val="center"/>
                </w:tcPr>
                <w:p w14:paraId="1955C574">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900-001-S17</w:t>
                  </w:r>
                </w:p>
              </w:tc>
              <w:tc>
                <w:tcPr>
                  <w:tcW w:w="737" w:type="pct"/>
                  <w:noWrap w:val="0"/>
                  <w:vAlign w:val="center"/>
                </w:tcPr>
                <w:p w14:paraId="5ADC9A1D">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100</w:t>
                  </w:r>
                </w:p>
              </w:tc>
              <w:tc>
                <w:tcPr>
                  <w:tcW w:w="854" w:type="pct"/>
                  <w:vMerge w:val="restart"/>
                  <w:noWrap w:val="0"/>
                  <w:vAlign w:val="center"/>
                </w:tcPr>
                <w:p w14:paraId="05ECE2BA">
                  <w:pPr>
                    <w:widowControl/>
                    <w:spacing w:line="300" w:lineRule="exact"/>
                    <w:jc w:val="center"/>
                    <w:rPr>
                      <w:rFonts w:hint="default" w:ascii="Times New Roman" w:hAnsi="Times New Roman" w:eastAsia="仿宋" w:cs="Times New Roman"/>
                      <w:color w:val="auto"/>
                      <w:kern w:val="0"/>
                      <w:sz w:val="21"/>
                      <w:szCs w:val="21"/>
                    </w:rPr>
                  </w:pPr>
                  <w:r>
                    <w:rPr>
                      <w:rFonts w:hint="default" w:ascii="Times New Roman" w:hAnsi="Times New Roman" w:eastAsia="仿宋" w:cs="Times New Roman"/>
                      <w:color w:val="auto"/>
                      <w:kern w:val="0"/>
                      <w:sz w:val="21"/>
                      <w:szCs w:val="21"/>
                    </w:rPr>
                    <w:t>外售综合利用</w:t>
                  </w:r>
                </w:p>
              </w:tc>
            </w:tr>
            <w:tr w14:paraId="66EF3C0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14" w:type="pct"/>
                  <w:noWrap w:val="0"/>
                  <w:vAlign w:val="center"/>
                </w:tcPr>
                <w:p w14:paraId="0C2178CB">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937" w:type="pct"/>
                  <w:noWrap w:val="0"/>
                  <w:vAlign w:val="center"/>
                </w:tcPr>
                <w:p w14:paraId="2327F46C">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废塑料边角料</w:t>
                  </w:r>
                </w:p>
              </w:tc>
              <w:tc>
                <w:tcPr>
                  <w:tcW w:w="724" w:type="pct"/>
                  <w:noWrap w:val="0"/>
                  <w:vAlign w:val="center"/>
                </w:tcPr>
                <w:p w14:paraId="3AC157EA">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bCs/>
                      <w:color w:val="auto"/>
                      <w:sz w:val="21"/>
                      <w:szCs w:val="21"/>
                      <w:lang w:val="en-US" w:eastAsia="zh-CN"/>
                    </w:rPr>
                    <w:t>脱漆皮</w:t>
                  </w:r>
                </w:p>
              </w:tc>
              <w:tc>
                <w:tcPr>
                  <w:tcW w:w="436" w:type="pct"/>
                  <w:vMerge w:val="continue"/>
                  <w:noWrap w:val="0"/>
                  <w:vAlign w:val="center"/>
                </w:tcPr>
                <w:p w14:paraId="74207D7F">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623351D2">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900-003-S17</w:t>
                  </w:r>
                </w:p>
              </w:tc>
              <w:tc>
                <w:tcPr>
                  <w:tcW w:w="737" w:type="pct"/>
                  <w:noWrap w:val="0"/>
                  <w:vAlign w:val="center"/>
                </w:tcPr>
                <w:p w14:paraId="47558448">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0.01</w:t>
                  </w:r>
                </w:p>
              </w:tc>
              <w:tc>
                <w:tcPr>
                  <w:tcW w:w="854" w:type="pct"/>
                  <w:vMerge w:val="continue"/>
                  <w:noWrap w:val="0"/>
                  <w:vAlign w:val="center"/>
                </w:tcPr>
                <w:p w14:paraId="207FD123">
                  <w:pPr>
                    <w:widowControl/>
                    <w:spacing w:line="300" w:lineRule="exact"/>
                    <w:jc w:val="center"/>
                    <w:rPr>
                      <w:rFonts w:hint="default" w:ascii="Times New Roman" w:hAnsi="Times New Roman" w:eastAsia="仿宋" w:cs="Times New Roman"/>
                      <w:color w:val="auto"/>
                      <w:kern w:val="0"/>
                      <w:sz w:val="21"/>
                      <w:szCs w:val="21"/>
                    </w:rPr>
                  </w:pPr>
                </w:p>
              </w:tc>
            </w:tr>
            <w:tr w14:paraId="17C52F50">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14" w:type="pct"/>
                  <w:noWrap w:val="0"/>
                  <w:vAlign w:val="center"/>
                </w:tcPr>
                <w:p w14:paraId="314E1CCB">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937" w:type="pct"/>
                  <w:noWrap w:val="0"/>
                  <w:vAlign w:val="center"/>
                </w:tcPr>
                <w:p w14:paraId="3C30550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废切削液</w:t>
                  </w:r>
                </w:p>
              </w:tc>
              <w:tc>
                <w:tcPr>
                  <w:tcW w:w="724" w:type="pct"/>
                  <w:noWrap w:val="0"/>
                  <w:vAlign w:val="center"/>
                </w:tcPr>
                <w:p w14:paraId="72CC850B">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bCs/>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外圆磨加工</w:t>
                  </w:r>
                </w:p>
              </w:tc>
              <w:tc>
                <w:tcPr>
                  <w:tcW w:w="436" w:type="pct"/>
                  <w:vMerge w:val="restart"/>
                  <w:noWrap w:val="0"/>
                  <w:vAlign w:val="center"/>
                </w:tcPr>
                <w:p w14:paraId="7E907CB1">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危险废物</w:t>
                  </w:r>
                </w:p>
              </w:tc>
              <w:tc>
                <w:tcPr>
                  <w:tcW w:w="894" w:type="pct"/>
                  <w:noWrap w:val="0"/>
                  <w:vAlign w:val="center"/>
                </w:tcPr>
                <w:p w14:paraId="354C552B">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900-006-09</w:t>
                  </w:r>
                </w:p>
              </w:tc>
              <w:tc>
                <w:tcPr>
                  <w:tcW w:w="737" w:type="pct"/>
                  <w:noWrap w:val="0"/>
                  <w:vAlign w:val="center"/>
                </w:tcPr>
                <w:p w14:paraId="0D218AAB">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w:t>
                  </w:r>
                </w:p>
              </w:tc>
              <w:tc>
                <w:tcPr>
                  <w:tcW w:w="854" w:type="pct"/>
                  <w:vMerge w:val="restart"/>
                  <w:noWrap w:val="0"/>
                  <w:vAlign w:val="center"/>
                </w:tcPr>
                <w:p w14:paraId="74B7A721">
                  <w:pPr>
                    <w:widowControl/>
                    <w:spacing w:line="300" w:lineRule="exact"/>
                    <w:jc w:val="center"/>
                    <w:rPr>
                      <w:rFonts w:hint="default" w:ascii="Times New Roman" w:hAnsi="Times New Roman" w:eastAsia="仿宋" w:cs="Times New Roman"/>
                      <w:color w:val="auto"/>
                      <w:kern w:val="0"/>
                      <w:sz w:val="21"/>
                      <w:szCs w:val="21"/>
                      <w:lang w:val="en-US" w:eastAsia="zh-CN"/>
                    </w:rPr>
                  </w:pPr>
                  <w:r>
                    <w:rPr>
                      <w:rFonts w:hint="default" w:ascii="Times New Roman" w:hAnsi="Times New Roman" w:eastAsia="仿宋" w:cs="Times New Roman"/>
                      <w:color w:val="auto"/>
                      <w:kern w:val="0"/>
                      <w:sz w:val="21"/>
                      <w:szCs w:val="21"/>
                    </w:rPr>
                    <w:t>分类暂存</w:t>
                  </w:r>
                  <w:r>
                    <w:rPr>
                      <w:rFonts w:hint="default" w:ascii="Times New Roman" w:hAnsi="Times New Roman" w:eastAsia="仿宋" w:cs="Times New Roman"/>
                      <w:color w:val="auto"/>
                      <w:kern w:val="0"/>
                      <w:sz w:val="21"/>
                      <w:szCs w:val="21"/>
                      <w:lang w:val="en-US" w:eastAsia="zh-CN"/>
                    </w:rPr>
                    <w:t>于</w:t>
                  </w:r>
                  <w:r>
                    <w:rPr>
                      <w:rFonts w:hint="default" w:ascii="Times New Roman" w:hAnsi="Times New Roman" w:eastAsia="仿宋" w:cs="Times New Roman"/>
                      <w:color w:val="auto"/>
                      <w:kern w:val="0"/>
                      <w:sz w:val="21"/>
                      <w:szCs w:val="21"/>
                    </w:rPr>
                    <w:t>危废</w:t>
                  </w:r>
                  <w:r>
                    <w:rPr>
                      <w:rFonts w:hint="default" w:ascii="Times New Roman" w:hAnsi="Times New Roman" w:eastAsia="仿宋" w:cs="Times New Roman"/>
                      <w:color w:val="auto"/>
                      <w:kern w:val="0"/>
                      <w:sz w:val="21"/>
                      <w:szCs w:val="21"/>
                      <w:lang w:val="en-US" w:eastAsia="zh-CN"/>
                    </w:rPr>
                    <w:t>仓</w:t>
                  </w:r>
                  <w:r>
                    <w:rPr>
                      <w:rFonts w:hint="default" w:ascii="Times New Roman" w:hAnsi="Times New Roman" w:eastAsia="仿宋" w:cs="Times New Roman"/>
                      <w:color w:val="auto"/>
                      <w:kern w:val="0"/>
                      <w:sz w:val="21"/>
                      <w:szCs w:val="21"/>
                    </w:rPr>
                    <w:t>库，</w:t>
                  </w:r>
                  <w:r>
                    <w:rPr>
                      <w:rFonts w:hint="default" w:ascii="Times New Roman" w:hAnsi="Times New Roman" w:eastAsia="仿宋" w:cs="Times New Roman"/>
                      <w:color w:val="auto"/>
                      <w:kern w:val="0"/>
                      <w:sz w:val="21"/>
                      <w:szCs w:val="21"/>
                      <w:lang w:val="en-US" w:eastAsia="zh-CN"/>
                    </w:rPr>
                    <w:t>定期</w:t>
                  </w:r>
                  <w:r>
                    <w:rPr>
                      <w:rFonts w:hint="default" w:ascii="Times New Roman" w:hAnsi="Times New Roman" w:eastAsia="仿宋" w:cs="Times New Roman"/>
                      <w:color w:val="auto"/>
                      <w:kern w:val="0"/>
                      <w:sz w:val="21"/>
                      <w:szCs w:val="21"/>
                    </w:rPr>
                    <w:t>委托有资质单位</w:t>
                  </w:r>
                  <w:r>
                    <w:rPr>
                      <w:rFonts w:hint="default" w:ascii="Times New Roman" w:hAnsi="Times New Roman" w:eastAsia="仿宋" w:cs="Times New Roman"/>
                      <w:color w:val="auto"/>
                      <w:kern w:val="0"/>
                      <w:sz w:val="21"/>
                      <w:szCs w:val="21"/>
                      <w:lang w:val="en-US" w:eastAsia="zh-CN"/>
                    </w:rPr>
                    <w:t>处置</w:t>
                  </w:r>
                </w:p>
              </w:tc>
            </w:tr>
            <w:tr w14:paraId="66F97BC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414" w:type="pct"/>
                  <w:noWrap w:val="0"/>
                  <w:vAlign w:val="center"/>
                </w:tcPr>
                <w:p w14:paraId="0C53140D">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w:t>
                  </w:r>
                </w:p>
              </w:tc>
              <w:tc>
                <w:tcPr>
                  <w:tcW w:w="937" w:type="pct"/>
                  <w:noWrap w:val="0"/>
                  <w:vAlign w:val="center"/>
                </w:tcPr>
                <w:p w14:paraId="7DDD2B7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废液压油</w:t>
                  </w:r>
                </w:p>
              </w:tc>
              <w:tc>
                <w:tcPr>
                  <w:tcW w:w="724" w:type="pct"/>
                  <w:noWrap w:val="0"/>
                  <w:vAlign w:val="center"/>
                </w:tcPr>
                <w:p w14:paraId="5EB5166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维护保养</w:t>
                  </w:r>
                </w:p>
              </w:tc>
              <w:tc>
                <w:tcPr>
                  <w:tcW w:w="436" w:type="pct"/>
                  <w:vMerge w:val="continue"/>
                  <w:noWrap w:val="0"/>
                  <w:vAlign w:val="center"/>
                </w:tcPr>
                <w:p w14:paraId="42E3E190">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0D2C1AC2">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900-218-08</w:t>
                  </w:r>
                </w:p>
              </w:tc>
              <w:tc>
                <w:tcPr>
                  <w:tcW w:w="737" w:type="pct"/>
                  <w:noWrap w:val="0"/>
                  <w:vAlign w:val="center"/>
                </w:tcPr>
                <w:p w14:paraId="72973E74">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0.05</w:t>
                  </w:r>
                </w:p>
              </w:tc>
              <w:tc>
                <w:tcPr>
                  <w:tcW w:w="854" w:type="pct"/>
                  <w:vMerge w:val="continue"/>
                  <w:noWrap w:val="0"/>
                  <w:vAlign w:val="center"/>
                </w:tcPr>
                <w:p w14:paraId="49509E8E">
                  <w:pPr>
                    <w:widowControl/>
                    <w:spacing w:line="300" w:lineRule="exact"/>
                    <w:jc w:val="center"/>
                    <w:rPr>
                      <w:rFonts w:hint="default" w:ascii="Times New Roman" w:hAnsi="Times New Roman" w:eastAsia="仿宋" w:cs="Times New Roman"/>
                      <w:color w:val="auto"/>
                      <w:kern w:val="0"/>
                      <w:sz w:val="21"/>
                      <w:szCs w:val="21"/>
                    </w:rPr>
                  </w:pPr>
                </w:p>
              </w:tc>
            </w:tr>
            <w:tr w14:paraId="3F321246">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58575C81">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5</w:t>
                  </w:r>
                </w:p>
              </w:tc>
              <w:tc>
                <w:tcPr>
                  <w:tcW w:w="937" w:type="pct"/>
                  <w:noWrap w:val="0"/>
                  <w:vAlign w:val="center"/>
                </w:tcPr>
                <w:p w14:paraId="0CA6997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废珩磨油</w:t>
                  </w:r>
                </w:p>
              </w:tc>
              <w:tc>
                <w:tcPr>
                  <w:tcW w:w="724" w:type="pct"/>
                  <w:noWrap w:val="0"/>
                  <w:vAlign w:val="center"/>
                </w:tcPr>
                <w:p w14:paraId="23BABC1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外圆珩磨</w:t>
                  </w:r>
                </w:p>
              </w:tc>
              <w:tc>
                <w:tcPr>
                  <w:tcW w:w="436" w:type="pct"/>
                  <w:vMerge w:val="continue"/>
                  <w:noWrap w:val="0"/>
                  <w:vAlign w:val="center"/>
                </w:tcPr>
                <w:p w14:paraId="12E01C78">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30443BFF">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900-200-08</w:t>
                  </w:r>
                </w:p>
              </w:tc>
              <w:tc>
                <w:tcPr>
                  <w:tcW w:w="737" w:type="pct"/>
                  <w:noWrap w:val="0"/>
                  <w:vAlign w:val="center"/>
                </w:tcPr>
                <w:p w14:paraId="2C3DF29E">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w:t>
                  </w:r>
                </w:p>
              </w:tc>
              <w:tc>
                <w:tcPr>
                  <w:tcW w:w="854" w:type="pct"/>
                  <w:vMerge w:val="continue"/>
                  <w:noWrap w:val="0"/>
                  <w:vAlign w:val="center"/>
                </w:tcPr>
                <w:p w14:paraId="56655B10">
                  <w:pPr>
                    <w:widowControl/>
                    <w:spacing w:line="300" w:lineRule="exact"/>
                    <w:jc w:val="center"/>
                    <w:rPr>
                      <w:rFonts w:hint="default" w:ascii="Times New Roman" w:hAnsi="Times New Roman" w:eastAsia="仿宋" w:cs="Times New Roman"/>
                      <w:color w:val="auto"/>
                      <w:kern w:val="0"/>
                      <w:sz w:val="21"/>
                      <w:szCs w:val="21"/>
                    </w:rPr>
                  </w:pPr>
                </w:p>
              </w:tc>
            </w:tr>
            <w:tr w14:paraId="4219AB63">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77A0ABF2">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6</w:t>
                  </w:r>
                </w:p>
              </w:tc>
              <w:tc>
                <w:tcPr>
                  <w:tcW w:w="937" w:type="pct"/>
                  <w:noWrap w:val="0"/>
                  <w:vAlign w:val="center"/>
                </w:tcPr>
                <w:p w14:paraId="71048F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废包装桶</w:t>
                  </w:r>
                </w:p>
              </w:tc>
              <w:tc>
                <w:tcPr>
                  <w:tcW w:w="724" w:type="pct"/>
                  <w:noWrap w:val="0"/>
                  <w:vAlign w:val="center"/>
                </w:tcPr>
                <w:p w14:paraId="135B322D">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原料使用</w:t>
                  </w:r>
                </w:p>
              </w:tc>
              <w:tc>
                <w:tcPr>
                  <w:tcW w:w="436" w:type="pct"/>
                  <w:vMerge w:val="continue"/>
                  <w:noWrap w:val="0"/>
                  <w:vAlign w:val="center"/>
                </w:tcPr>
                <w:p w14:paraId="65733D62">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4BF7C64E">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737" w:type="pct"/>
                  <w:noWrap w:val="0"/>
                  <w:vAlign w:val="center"/>
                </w:tcPr>
                <w:p w14:paraId="34389D86">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w:t>
                  </w:r>
                </w:p>
              </w:tc>
              <w:tc>
                <w:tcPr>
                  <w:tcW w:w="854" w:type="pct"/>
                  <w:vMerge w:val="continue"/>
                  <w:noWrap w:val="0"/>
                  <w:vAlign w:val="center"/>
                </w:tcPr>
                <w:p w14:paraId="436A5C6D">
                  <w:pPr>
                    <w:widowControl/>
                    <w:spacing w:line="300" w:lineRule="exact"/>
                    <w:jc w:val="center"/>
                    <w:rPr>
                      <w:rFonts w:hint="default" w:ascii="Times New Roman" w:hAnsi="Times New Roman" w:eastAsia="仿宋" w:cs="Times New Roman"/>
                      <w:color w:val="auto"/>
                      <w:kern w:val="0"/>
                      <w:sz w:val="21"/>
                      <w:szCs w:val="21"/>
                    </w:rPr>
                  </w:pPr>
                </w:p>
              </w:tc>
            </w:tr>
            <w:tr w14:paraId="358FA0CA">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7EE3B7F4">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7</w:t>
                  </w:r>
                </w:p>
              </w:tc>
              <w:tc>
                <w:tcPr>
                  <w:tcW w:w="937" w:type="pct"/>
                  <w:noWrap w:val="0"/>
                  <w:vAlign w:val="center"/>
                </w:tcPr>
                <w:p w14:paraId="12EAF5F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清洗废液</w:t>
                  </w:r>
                </w:p>
              </w:tc>
              <w:tc>
                <w:tcPr>
                  <w:tcW w:w="724" w:type="pct"/>
                  <w:noWrap w:val="0"/>
                  <w:vAlign w:val="center"/>
                </w:tcPr>
                <w:p w14:paraId="34EE41E7">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清洗</w:t>
                  </w:r>
                </w:p>
              </w:tc>
              <w:tc>
                <w:tcPr>
                  <w:tcW w:w="436" w:type="pct"/>
                  <w:vMerge w:val="continue"/>
                  <w:noWrap w:val="0"/>
                  <w:vAlign w:val="center"/>
                </w:tcPr>
                <w:p w14:paraId="18C203DA">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154E615D">
                  <w:pPr>
                    <w:spacing w:line="280" w:lineRule="exact"/>
                    <w:jc w:val="center"/>
                    <w:rPr>
                      <w:rFonts w:hint="default"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900-007-09</w:t>
                  </w:r>
                </w:p>
              </w:tc>
              <w:tc>
                <w:tcPr>
                  <w:tcW w:w="737" w:type="pct"/>
                  <w:noWrap w:val="0"/>
                  <w:vAlign w:val="center"/>
                </w:tcPr>
                <w:p w14:paraId="7E8EECF3">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8.64</w:t>
                  </w:r>
                </w:p>
              </w:tc>
              <w:tc>
                <w:tcPr>
                  <w:tcW w:w="854" w:type="pct"/>
                  <w:vMerge w:val="continue"/>
                  <w:noWrap w:val="0"/>
                  <w:vAlign w:val="center"/>
                </w:tcPr>
                <w:p w14:paraId="6DF548E8">
                  <w:pPr>
                    <w:widowControl/>
                    <w:spacing w:line="300" w:lineRule="exact"/>
                    <w:jc w:val="center"/>
                    <w:rPr>
                      <w:rFonts w:hint="default" w:ascii="Times New Roman" w:hAnsi="Times New Roman" w:eastAsia="仿宋" w:cs="Times New Roman"/>
                      <w:color w:val="auto"/>
                      <w:kern w:val="0"/>
                      <w:sz w:val="21"/>
                      <w:szCs w:val="21"/>
                    </w:rPr>
                  </w:pPr>
                </w:p>
              </w:tc>
            </w:tr>
            <w:tr w14:paraId="247487FD">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6B7DCC1A">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8</w:t>
                  </w:r>
                </w:p>
              </w:tc>
              <w:tc>
                <w:tcPr>
                  <w:tcW w:w="937" w:type="pct"/>
                  <w:noWrap w:val="0"/>
                  <w:vAlign w:val="center"/>
                </w:tcPr>
                <w:p w14:paraId="675760D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沾染废液的废抹布、手套、拖把等</w:t>
                  </w:r>
                </w:p>
              </w:tc>
              <w:tc>
                <w:tcPr>
                  <w:tcW w:w="724" w:type="pct"/>
                  <w:noWrap w:val="0"/>
                  <w:vAlign w:val="center"/>
                </w:tcPr>
                <w:p w14:paraId="1AF4E99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日常生产</w:t>
                  </w:r>
                </w:p>
              </w:tc>
              <w:tc>
                <w:tcPr>
                  <w:tcW w:w="436" w:type="pct"/>
                  <w:vMerge w:val="continue"/>
                  <w:noWrap w:val="0"/>
                  <w:vAlign w:val="center"/>
                </w:tcPr>
                <w:p w14:paraId="29FDAF44">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524A353E">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737" w:type="pct"/>
                  <w:noWrap w:val="0"/>
                  <w:vAlign w:val="center"/>
                </w:tcPr>
                <w:p w14:paraId="179A5ADE">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0.2</w:t>
                  </w:r>
                </w:p>
              </w:tc>
              <w:tc>
                <w:tcPr>
                  <w:tcW w:w="854" w:type="pct"/>
                  <w:vMerge w:val="continue"/>
                  <w:noWrap w:val="0"/>
                  <w:vAlign w:val="center"/>
                </w:tcPr>
                <w:p w14:paraId="77C9B973">
                  <w:pPr>
                    <w:widowControl/>
                    <w:spacing w:line="300" w:lineRule="exact"/>
                    <w:jc w:val="center"/>
                    <w:rPr>
                      <w:rFonts w:hint="default" w:ascii="Times New Roman" w:hAnsi="Times New Roman" w:eastAsia="仿宋" w:cs="Times New Roman"/>
                      <w:color w:val="auto"/>
                      <w:kern w:val="0"/>
                      <w:sz w:val="21"/>
                      <w:szCs w:val="21"/>
                    </w:rPr>
                  </w:pPr>
                </w:p>
              </w:tc>
            </w:tr>
            <w:tr w14:paraId="59498E88">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51259E4B">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w:t>
                  </w:r>
                </w:p>
              </w:tc>
              <w:tc>
                <w:tcPr>
                  <w:tcW w:w="937" w:type="pct"/>
                  <w:noWrap w:val="0"/>
                  <w:vAlign w:val="center"/>
                </w:tcPr>
                <w:p w14:paraId="52FD896E">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废过滤纸</w:t>
                  </w:r>
                </w:p>
              </w:tc>
              <w:tc>
                <w:tcPr>
                  <w:tcW w:w="724" w:type="pct"/>
                  <w:noWrap w:val="0"/>
                  <w:vAlign w:val="center"/>
                </w:tcPr>
                <w:p w14:paraId="6F18D5F3">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外圆磨加工</w:t>
                  </w:r>
                </w:p>
              </w:tc>
              <w:tc>
                <w:tcPr>
                  <w:tcW w:w="436" w:type="pct"/>
                  <w:vMerge w:val="continue"/>
                  <w:noWrap w:val="0"/>
                  <w:vAlign w:val="center"/>
                </w:tcPr>
                <w:p w14:paraId="78BDC10B">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04EEFC31">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900-041-49</w:t>
                  </w:r>
                </w:p>
              </w:tc>
              <w:tc>
                <w:tcPr>
                  <w:tcW w:w="737" w:type="pct"/>
                  <w:noWrap w:val="0"/>
                  <w:vAlign w:val="center"/>
                </w:tcPr>
                <w:p w14:paraId="56B60760">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0.1</w:t>
                  </w:r>
                </w:p>
              </w:tc>
              <w:tc>
                <w:tcPr>
                  <w:tcW w:w="854" w:type="pct"/>
                  <w:vMerge w:val="continue"/>
                  <w:noWrap w:val="0"/>
                  <w:vAlign w:val="center"/>
                </w:tcPr>
                <w:p w14:paraId="13AAA847">
                  <w:pPr>
                    <w:widowControl/>
                    <w:spacing w:line="300" w:lineRule="exact"/>
                    <w:jc w:val="center"/>
                    <w:rPr>
                      <w:rFonts w:hint="default" w:ascii="Times New Roman" w:hAnsi="Times New Roman" w:eastAsia="仿宋" w:cs="Times New Roman"/>
                      <w:color w:val="auto"/>
                      <w:kern w:val="0"/>
                      <w:sz w:val="21"/>
                      <w:szCs w:val="21"/>
                    </w:rPr>
                  </w:pPr>
                </w:p>
              </w:tc>
            </w:tr>
            <w:tr w14:paraId="7534D23E">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PrEx>
              <w:trPr>
                <w:jc w:val="center"/>
              </w:trPr>
              <w:tc>
                <w:tcPr>
                  <w:tcW w:w="414" w:type="pct"/>
                  <w:noWrap w:val="0"/>
                  <w:vAlign w:val="center"/>
                </w:tcPr>
                <w:p w14:paraId="448F12D5">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10</w:t>
                  </w:r>
                </w:p>
              </w:tc>
              <w:tc>
                <w:tcPr>
                  <w:tcW w:w="937" w:type="pct"/>
                  <w:noWrap w:val="0"/>
                  <w:vAlign w:val="center"/>
                </w:tcPr>
                <w:p w14:paraId="166AC8C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磨床灰</w:t>
                  </w:r>
                </w:p>
              </w:tc>
              <w:tc>
                <w:tcPr>
                  <w:tcW w:w="724" w:type="pct"/>
                  <w:noWrap w:val="0"/>
                  <w:vAlign w:val="center"/>
                </w:tcPr>
                <w:p w14:paraId="7E2F5D4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外圆磨加工</w:t>
                  </w:r>
                </w:p>
              </w:tc>
              <w:tc>
                <w:tcPr>
                  <w:tcW w:w="436" w:type="pct"/>
                  <w:vMerge w:val="continue"/>
                  <w:noWrap w:val="0"/>
                  <w:vAlign w:val="center"/>
                </w:tcPr>
                <w:p w14:paraId="3AEE00FC">
                  <w:pPr>
                    <w:spacing w:line="300" w:lineRule="exact"/>
                    <w:jc w:val="center"/>
                    <w:rPr>
                      <w:rFonts w:hint="default" w:ascii="Times New Roman" w:hAnsi="Times New Roman" w:eastAsia="仿宋" w:cs="Times New Roman"/>
                      <w:color w:val="auto"/>
                      <w:sz w:val="21"/>
                      <w:szCs w:val="21"/>
                    </w:rPr>
                  </w:pPr>
                </w:p>
              </w:tc>
              <w:tc>
                <w:tcPr>
                  <w:tcW w:w="894" w:type="pct"/>
                  <w:noWrap w:val="0"/>
                  <w:vAlign w:val="center"/>
                </w:tcPr>
                <w:p w14:paraId="2E70BF74">
                  <w:pPr>
                    <w:spacing w:line="24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900-200-08</w:t>
                  </w:r>
                </w:p>
              </w:tc>
              <w:tc>
                <w:tcPr>
                  <w:tcW w:w="737" w:type="pct"/>
                  <w:noWrap w:val="0"/>
                  <w:vAlign w:val="center"/>
                </w:tcPr>
                <w:p w14:paraId="5C6D3141">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w:t>
                  </w:r>
                </w:p>
              </w:tc>
              <w:tc>
                <w:tcPr>
                  <w:tcW w:w="854" w:type="pct"/>
                  <w:vMerge w:val="continue"/>
                  <w:noWrap w:val="0"/>
                  <w:vAlign w:val="center"/>
                </w:tcPr>
                <w:p w14:paraId="6778A941">
                  <w:pPr>
                    <w:widowControl/>
                    <w:spacing w:line="300" w:lineRule="exact"/>
                    <w:jc w:val="center"/>
                    <w:rPr>
                      <w:rFonts w:hint="default" w:ascii="Times New Roman" w:hAnsi="Times New Roman" w:eastAsia="仿宋" w:cs="Times New Roman"/>
                      <w:color w:val="auto"/>
                      <w:kern w:val="0"/>
                      <w:sz w:val="21"/>
                      <w:szCs w:val="21"/>
                    </w:rPr>
                  </w:pPr>
                </w:p>
              </w:tc>
            </w:tr>
            <w:tr w14:paraId="5443374B">
              <w:tblPrEx>
                <w:tblBorders>
                  <w:top w:val="single" w:color="auto" w:sz="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jc w:val="center"/>
              </w:trPr>
              <w:tc>
                <w:tcPr>
                  <w:tcW w:w="414" w:type="pct"/>
                  <w:noWrap w:val="0"/>
                  <w:vAlign w:val="center"/>
                </w:tcPr>
                <w:p w14:paraId="244E6BED">
                  <w:pPr>
                    <w:snapToGrid w:val="0"/>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11</w:t>
                  </w:r>
                </w:p>
              </w:tc>
              <w:tc>
                <w:tcPr>
                  <w:tcW w:w="937" w:type="pct"/>
                  <w:tcBorders>
                    <w:bottom w:val="single" w:color="auto" w:sz="12" w:space="0"/>
                  </w:tcBorders>
                  <w:noWrap w:val="0"/>
                  <w:vAlign w:val="center"/>
                </w:tcPr>
                <w:p w14:paraId="6B6CBBC8">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生活垃圾</w:t>
                  </w:r>
                </w:p>
              </w:tc>
              <w:tc>
                <w:tcPr>
                  <w:tcW w:w="724" w:type="pct"/>
                  <w:tcBorders>
                    <w:bottom w:val="single" w:color="auto" w:sz="12" w:space="0"/>
                  </w:tcBorders>
                  <w:noWrap w:val="0"/>
                  <w:vAlign w:val="center"/>
                </w:tcPr>
                <w:p w14:paraId="537DECA4">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员工生活</w:t>
                  </w:r>
                </w:p>
              </w:tc>
              <w:tc>
                <w:tcPr>
                  <w:tcW w:w="436" w:type="pct"/>
                  <w:noWrap w:val="0"/>
                  <w:vAlign w:val="center"/>
                </w:tcPr>
                <w:p w14:paraId="5A52F503">
                  <w:pPr>
                    <w:spacing w:line="300" w:lineRule="exact"/>
                    <w:jc w:val="center"/>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w:t>
                  </w:r>
                </w:p>
              </w:tc>
              <w:tc>
                <w:tcPr>
                  <w:tcW w:w="894" w:type="pct"/>
                  <w:tcBorders>
                    <w:bottom w:val="single" w:color="auto" w:sz="12" w:space="0"/>
                  </w:tcBorders>
                  <w:noWrap w:val="0"/>
                  <w:vAlign w:val="center"/>
                </w:tcPr>
                <w:p w14:paraId="34D7275F">
                  <w:pPr>
                    <w:spacing w:line="28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w:t>
                  </w:r>
                </w:p>
              </w:tc>
              <w:tc>
                <w:tcPr>
                  <w:tcW w:w="737" w:type="pct"/>
                  <w:tcBorders>
                    <w:bottom w:val="single" w:color="auto" w:sz="12" w:space="0"/>
                  </w:tcBorders>
                  <w:noWrap w:val="0"/>
                  <w:vAlign w:val="center"/>
                </w:tcPr>
                <w:p w14:paraId="100F74A1">
                  <w:pPr>
                    <w:spacing w:line="240" w:lineRule="exact"/>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12</w:t>
                  </w:r>
                </w:p>
              </w:tc>
              <w:tc>
                <w:tcPr>
                  <w:tcW w:w="854" w:type="pct"/>
                  <w:noWrap w:val="0"/>
                  <w:vAlign w:val="center"/>
                </w:tcPr>
                <w:p w14:paraId="2316ABF5">
                  <w:pPr>
                    <w:widowControl/>
                    <w:spacing w:line="300" w:lineRule="exact"/>
                    <w:jc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color w:val="auto"/>
                      <w:kern w:val="0"/>
                      <w:sz w:val="21"/>
                      <w:szCs w:val="21"/>
                      <w:lang w:val="en-US" w:eastAsia="zh-CN"/>
                    </w:rPr>
                    <w:t>由</w:t>
                  </w:r>
                  <w:r>
                    <w:rPr>
                      <w:rFonts w:hint="default" w:ascii="Times New Roman" w:hAnsi="Times New Roman" w:eastAsia="仿宋" w:cs="Times New Roman"/>
                      <w:color w:val="auto"/>
                      <w:kern w:val="0"/>
                      <w:sz w:val="21"/>
                      <w:szCs w:val="21"/>
                    </w:rPr>
                    <w:t>环卫清运</w:t>
                  </w:r>
                </w:p>
              </w:tc>
            </w:tr>
          </w:tbl>
          <w:p w14:paraId="34349F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产生的固体废弃物主要为一般固废、危险固废和生活垃圾，其中废金属边角料和废塑料边角料经收集后外售综合利用；废切削液、废液压油、废珩磨油、废包装桶、清洗废液、沾染废液的废抹布、手套、拖把等、废过滤纸、磨床灰经收集后委托有资质单位处置；液压油包装桶和珩磨油包装桶由厂家回收；生活垃圾经收集后由环卫部门统一清运。</w:t>
            </w:r>
          </w:p>
          <w:p w14:paraId="2B2841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w:t>
            </w:r>
            <w:r>
              <w:rPr>
                <w:rFonts w:hint="eastAsia" w:eastAsia="仿宋" w:cs="Times New Roman"/>
                <w:color w:val="auto"/>
                <w:sz w:val="24"/>
                <w:szCs w:val="24"/>
                <w:lang w:val="en-US" w:eastAsia="zh-CN"/>
              </w:rPr>
              <w:t>拟</w:t>
            </w:r>
            <w:r>
              <w:rPr>
                <w:rFonts w:hint="default" w:ascii="Times New Roman" w:hAnsi="Times New Roman" w:eastAsia="仿宋" w:cs="Times New Roman"/>
                <w:color w:val="auto"/>
                <w:sz w:val="24"/>
                <w:szCs w:val="24"/>
                <w:lang w:val="en-US" w:eastAsia="zh-CN"/>
              </w:rPr>
              <w:t>设置1个1</w:t>
            </w: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的危废仓库和1个1</w:t>
            </w:r>
            <w:r>
              <w:rPr>
                <w:rFonts w:hint="eastAsia" w:ascii="Times New Roman" w:hAnsi="Times New Roman" w:eastAsia="仿宋" w:cs="Times New Roman"/>
                <w:color w:val="auto"/>
                <w:sz w:val="24"/>
                <w:szCs w:val="24"/>
                <w:lang w:val="en-US" w:eastAsia="zh-CN"/>
              </w:rPr>
              <w:t>2</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的一般固废堆场。</w:t>
            </w:r>
          </w:p>
          <w:p w14:paraId="258EC71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废仓库位于1F东北角，按照《省生态环境厅关于印发&lt;江苏省固体废物全过程环境监管工作意见&gt;的通知》（苏环办[2024]16号）、《危险废物贮存污染控制标准》（GB18597-2023）、《危险废物识别标志设置技术规范》（HJ1276-2022）、《省生态环境厅关于印发江苏省危险废物贮存规范化管理专项整治行动方案的通知》（苏环办[2019]149号）要求进行设置，危废仓库具有固定的区域边界，均具有防风、防雨、防晒和防止危险废物流失、扬散的措施，各类危险废物均置于包装容器或包装袋中，各类危险废物及时清运。</w:t>
            </w:r>
          </w:p>
          <w:p w14:paraId="135CA44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危废仓库暂存可行性分析：考虑到进出口、过道等，有效存储面积按80%计算，则本公司危废仓库有效存储面积为</w:t>
            </w:r>
            <w:r>
              <w:rPr>
                <w:rFonts w:hint="eastAsia" w:ascii="Times New Roman" w:hAnsi="Times New Roman" w:eastAsia="仿宋" w:cs="Times New Roman"/>
                <w:color w:val="auto"/>
                <w:sz w:val="24"/>
                <w:szCs w:val="24"/>
                <w:lang w:val="en-US" w:eastAsia="zh-CN"/>
              </w:rPr>
              <w:t>9.6</w:t>
            </w:r>
            <w:r>
              <w:rPr>
                <w:rFonts w:hint="default" w:ascii="Times New Roman" w:hAnsi="Times New Roman" w:eastAsia="仿宋" w:cs="Times New Roman"/>
                <w:color w:val="auto"/>
                <w:sz w:val="24"/>
                <w:szCs w:val="24"/>
                <w:lang w:val="en-US" w:eastAsia="zh-CN"/>
              </w:rPr>
              <w:t>m</w:t>
            </w:r>
            <w:r>
              <w:rPr>
                <w:rFonts w:hint="default" w:ascii="Times New Roman" w:hAnsi="Times New Roman" w:eastAsia="仿宋" w:cs="Times New Roman"/>
                <w:color w:val="auto"/>
                <w:sz w:val="24"/>
                <w:szCs w:val="24"/>
                <w:vertAlign w:val="superscript"/>
                <w:lang w:val="en-US" w:eastAsia="zh-CN"/>
              </w:rPr>
              <w:t>2</w:t>
            </w:r>
            <w:r>
              <w:rPr>
                <w:rFonts w:hint="default" w:ascii="Times New Roman" w:hAnsi="Times New Roman" w:eastAsia="仿宋" w:cs="Times New Roman"/>
                <w:color w:val="auto"/>
                <w:sz w:val="24"/>
                <w:szCs w:val="24"/>
                <w:lang w:val="en-US" w:eastAsia="zh-CN"/>
              </w:rPr>
              <w:t>，每平方米危废储存量按1t计。本项目产生的固态危废采用袋装/桶装存放，建成后危废的产生量约为</w:t>
            </w:r>
            <w:r>
              <w:rPr>
                <w:rFonts w:hint="eastAsia" w:eastAsia="仿宋" w:cs="Times New Roman"/>
                <w:color w:val="auto"/>
                <w:sz w:val="24"/>
                <w:szCs w:val="24"/>
                <w:lang w:val="en-US" w:eastAsia="zh-CN"/>
              </w:rPr>
              <w:t>15.29</w:t>
            </w:r>
            <w:r>
              <w:rPr>
                <w:rFonts w:hint="default" w:ascii="Times New Roman" w:hAnsi="Times New Roman" w:eastAsia="仿宋" w:cs="Times New Roman"/>
                <w:color w:val="auto"/>
                <w:sz w:val="24"/>
                <w:szCs w:val="24"/>
                <w:lang w:val="en-US" w:eastAsia="zh-CN"/>
              </w:rPr>
              <w:t>t/a，危废每三个月转移一次，最大存储量为</w:t>
            </w:r>
            <w:r>
              <w:rPr>
                <w:rFonts w:hint="eastAsia" w:eastAsia="仿宋" w:cs="Times New Roman"/>
                <w:color w:val="auto"/>
                <w:sz w:val="24"/>
                <w:szCs w:val="24"/>
                <w:lang w:val="en-US" w:eastAsia="zh-CN"/>
              </w:rPr>
              <w:t>3.82</w:t>
            </w:r>
            <w:r>
              <w:rPr>
                <w:rFonts w:hint="default" w:ascii="Times New Roman" w:hAnsi="Times New Roman" w:eastAsia="仿宋" w:cs="Times New Roman"/>
                <w:color w:val="auto"/>
                <w:sz w:val="24"/>
                <w:szCs w:val="24"/>
                <w:lang w:val="en-US" w:eastAsia="zh-CN"/>
              </w:rPr>
              <w:t>t，仓库容积能够满足企业危险废物的暂存需求。</w:t>
            </w:r>
          </w:p>
          <w:p w14:paraId="6309C3E5">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4.4环境管理要求</w:t>
            </w:r>
          </w:p>
          <w:p w14:paraId="72DDD97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（1）一般固废贮存要求</w:t>
            </w:r>
          </w:p>
          <w:p w14:paraId="189BE74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一般工业固废的暂存场在贮存过程满足防渗漏、防雨淋、防扬尘等要求。</w:t>
            </w:r>
          </w:p>
          <w:p w14:paraId="3FD290B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（2）危险废物相关要求</w:t>
            </w:r>
          </w:p>
          <w:p w14:paraId="5171A32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①根据省生态环境厅关于印发《江苏省固体废物全过程环境监管工作意见》的通知（苏环办[2024]16号）要求：</w:t>
            </w:r>
          </w:p>
          <w:p w14:paraId="5C7EE39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规范贮存管理要求。根据《危险废物贮存污染控制标准》（GB18597-2023），采用危险废物贮存设施进行贮存，符合相应的污染控制标准；同时满足《江苏省危险废物集中收集体系建设工作方案（试行）》（苏环办[2021]290号）中关于贮存周期和贮存量的要求。</w:t>
            </w:r>
          </w:p>
          <w:p w14:paraId="293F6B1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4D3418C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对照省生态环境厅关于印发《江苏省固体废物全过程环境监管工作意见》的通知（苏环办[2024]16号）中要求建造，危废仓库应建有堵截泄漏的裙脚，地面与裙脚用坚固防渗的材料建造，有防风、防晒、防雨设施。硬化地面耐腐蚀，地面无裂隙；不相容的危险废物堆放区有隔离间隔断，装载液体、半固体危险废物的容器内留有足够空间，容器顶部与液体表面之间保留100毫米以上的空间。</w:t>
            </w:r>
          </w:p>
          <w:p w14:paraId="489A30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③根据《危险废物贮存污染控制标准》（GB18597-2023），危险废物贮存容器要求如下：</w:t>
            </w:r>
          </w:p>
          <w:p w14:paraId="00F0208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a. 应当使用符合标准的容器盛装危险废物；</w:t>
            </w:r>
          </w:p>
          <w:p w14:paraId="498C90D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b. 盛装危险废物的容器及材质要满足相应的强度要求；</w:t>
            </w:r>
          </w:p>
          <w:p w14:paraId="28D207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c. 盛装危险废物的容器必须完好无损；</w:t>
            </w:r>
          </w:p>
          <w:p w14:paraId="58097E9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d. 盛装危险废物的容器材质和衬里要与危险废物相容（不相互反应）；</w:t>
            </w:r>
          </w:p>
          <w:p w14:paraId="5C66D96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e. 液体危险废物可注入开孔直径不超过70 毫米并有放气孔的桶中。</w:t>
            </w:r>
          </w:p>
          <w:p w14:paraId="1C9B06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④根据《危险废物收集、贮存、运输技术规范》，本公司生产过程中产生的危险废物转移按照《危险废物转移管理办法》执行；危险废物应储存在适当的包装容器内并储存于危废仓库内，具体包装应符合如下要求：</w:t>
            </w:r>
          </w:p>
          <w:p w14:paraId="4BFA7E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包装材质要与危险废物相容，可根据废物特性选择钢、铝、塑料等材质；</w:t>
            </w:r>
          </w:p>
          <w:p w14:paraId="4C08CAC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性质类似的废物可收集到同一容器中，性质不相容的危险废物不应混合包装；</w:t>
            </w:r>
          </w:p>
          <w:p w14:paraId="465CF1A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危险废物包装应能有效隔断危险废物迁移扩散途径，并达到防渗、防漏要求；</w:t>
            </w:r>
          </w:p>
          <w:p w14:paraId="55F53D8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包装好的危险废物应设置相应的标签，标签信息应填写完整详实；</w:t>
            </w:r>
          </w:p>
          <w:p w14:paraId="2A3928E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盛装过危险废物的包装袋或包装容器破损后应按危险废物进行管理和处置；</w:t>
            </w:r>
          </w:p>
          <w:p w14:paraId="73A819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危险废物还应根据《危险货物运输包装通用技术条件》（GB12463-2009）的有关要求进行运输包装。</w:t>
            </w:r>
          </w:p>
          <w:p w14:paraId="093D0B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⑤根据《省生态环境厅关于印发江苏省危险废物贮存规范化管理专项整治行动方案的通知》（苏环办[2019]149号）：</w:t>
            </w:r>
          </w:p>
          <w:p w14:paraId="1AAD959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在贮存设施建设方面：在明显位置按照《环境保护图形标志固体废物贮存（处置）场》（GB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w:t>
            </w:r>
          </w:p>
          <w:p w14:paraId="68B7B41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在管理制度落实方面：建立规范的危险废物贮存台账，如实记录废物名称、种类、数量、来源、出入库时间、去向、交接人签字等内容。</w:t>
            </w:r>
          </w:p>
          <w:p w14:paraId="168B8D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⑥危险废物处理过程要求</w:t>
            </w:r>
          </w:p>
          <w:p w14:paraId="2922199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a.项目在危险废物的转移时，按有关规定签订危险废物转移单，并需得到有关环境行政主管部门的批准。同时，在危险固废转移前，要设立专门场地严格按要求保存，不得随意堆放，防止对周围环境造成影响。</w:t>
            </w:r>
          </w:p>
          <w:p w14:paraId="45C0F47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b.处置单位应严格按照有关处置规定对废物进行处置，不得产生二次污染。</w:t>
            </w:r>
          </w:p>
          <w:p w14:paraId="383B35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因此，采取以上措施后，本项目产生的各种固体废物均得到了有效处理，不会造成二次污染，从环保角度考虑，固体废物防治措施可行。</w:t>
            </w:r>
          </w:p>
          <w:p w14:paraId="7CC78AF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⑦危险废物运输时的中转、装卸过程应遵守以下技术要求：</w:t>
            </w:r>
          </w:p>
          <w:p w14:paraId="585CD8C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卸货区的工作人员应熟悉废物的危险特性，并配备适当的个人防护装备，装卸剧毒废物应配备特殊的防护装备。</w:t>
            </w:r>
          </w:p>
          <w:p w14:paraId="663DBA9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装卸区应配备必要的消防设备和设施，并设置明显的指示标志。</w:t>
            </w:r>
          </w:p>
          <w:p w14:paraId="44AC27A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危险废物装卸区应设置隔离设施，液态废物卸载区应设置收集槽和缓冲罐。</w:t>
            </w:r>
          </w:p>
          <w:p w14:paraId="2FEF1D6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115AD55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⑧根据《省生态环境厅关于做好江苏省危险废物全生命周期监控系统上线运行工作的通知》（苏环办[2020]401号）：</w:t>
            </w:r>
          </w:p>
          <w:p w14:paraId="095ECFD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设有1座危废仓库，建设单位需加强自身环境保护主体责任意识，建成后及时通过新系统实时申报危险废物产生、贮存、转移及利用处置等信息，建立包装识别信息化标识，形成组织构架清晰、责任主体明确的危险废物信息化管理体系。</w:t>
            </w:r>
          </w:p>
          <w:p w14:paraId="0CA474E9">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4.5危险废物委外处置可行性分析</w:t>
            </w:r>
          </w:p>
          <w:p w14:paraId="3F90ADF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本</w:t>
            </w:r>
            <w:r>
              <w:rPr>
                <w:rFonts w:hint="default" w:ascii="Times New Roman" w:hAnsi="Times New Roman" w:eastAsia="仿宋" w:cs="Times New Roman"/>
                <w:color w:val="auto"/>
                <w:sz w:val="24"/>
                <w:szCs w:val="24"/>
                <w:lang w:val="en-US" w:eastAsia="zh-CN"/>
              </w:rPr>
              <w:t>项目废切削液、废液压油、废珩磨油和清洗废液委托常州市风华环保有限公司处置，常州市风华环保有限公司位于常州市钟楼区星港路65号，危废经营许可证编号：JSCZ0404OOD020-5，有效期至2026年9月5日，在有效期内，许可内容为：D9物理化学处理（如蒸发、干燥、中和、沉淀等），不包括填埋或焚烧前的预处理，900-401-06（HW06废有机溶剂与含有机溶剂废物），900-402-06（HW06废有机溶剂与含有机溶剂废物），900-404-06（HW06废有机溶剂与含有机溶剂废物）15000吨；R9 废油再提炼或其他废油的再利用，251-001-08（HW08废矿物油与含矿物油废物），900-199-08（HW08废矿物油与含矿物油废物），900-200-08（HW08废矿物油与含矿物油废物），900-201-08（HW08废矿物油与含矿物油废物），900-203-08（HW08废矿物油与含矿物油废物），900-204-08（HW08废矿物油与含矿物油废物），900-209-08（HW08废矿物油与含矿物油废物），900-210-08（HW08废矿物油与含矿物油废物），900-214-08（HW08废矿物油与含矿物油废物），900-216-08（HW08废矿物油与含矿物油废物），900-217-08（HW08废矿物油与含矿物油废物），900-218-08（HW08废矿物油与含矿物油废物），900-219-08（HW08废矿物油与含矿物油废物），900-220-08（HW08废矿物油与含矿物油废物），900-249-08（HW08废矿物油与含矿物油废物）10000吨；D9 物理化学处理（如蒸发、干燥、中和、沉淀等），不包括填埋或焚烧前的预处理，900-005-09（HW09油/水、烃/水混合物或乳化液），900-006-09（HW09油/水、烃/水混合物或乳化液），900-007-09（HW09油/水、烃/水混合物或乳化液）30000吨，900-250-12（HW12染料、涂料废物），900-251-12（HW12染料、涂料废物），900-252-12（HW12染料、涂料废物），900-253-12（HW12染料、涂料废物）15000吨，336-052-17（HW17表面处理废物），336-053-17（HW17表面处理废物），336-054-17（HW17表面处理废物），336-055-17（HW17表面处理废物），336-056-17（HW17表面处理废物），336-057-17（HW17表面处理废物），336-058-17（HW17表面处理废物），336-060-17（HW17表面处理废物），336-062-17（HW17表面处理废物），336-063-17（HW17表面处理废物），336-06</w:t>
            </w:r>
            <w:r>
              <w:rPr>
                <w:rFonts w:hint="eastAsia" w:ascii="Times New Roman" w:hAnsi="Times New Roman" w:eastAsia="仿宋" w:cs="Times New Roman"/>
                <w:color w:val="auto"/>
                <w:sz w:val="24"/>
                <w:szCs w:val="24"/>
                <w:lang w:val="en-US" w:eastAsia="zh-CN"/>
              </w:rPr>
              <w:t>4</w:t>
            </w:r>
            <w:r>
              <w:rPr>
                <w:rFonts w:hint="default" w:ascii="Times New Roman" w:hAnsi="Times New Roman" w:eastAsia="仿宋" w:cs="Times New Roman"/>
                <w:color w:val="auto"/>
                <w:sz w:val="24"/>
                <w:szCs w:val="24"/>
                <w:lang w:val="en-US" w:eastAsia="zh-CN"/>
              </w:rPr>
              <w:t>-17（HW17表面处理废物），336-066-17（HW17表面处理废物），336-069-17（HW17表面处理废物），336-101-17（HW17表面处理废物）15000吨，313-001-34（HW34废酸），398-005-34（HW34废酸），398-006-34（HW34废酸），398-007-34（HW34废酸），900-026-32（HW32无机氟化物废物），900-300-34（HW34废酸），900-301-34（HW34废酸），900-302-34（HW34废酸），900-303-34（HW34废酸），900-304-34（HW34废酸），900-305-34（HW34废酸），900-306-34（HW34废酸），900-307-34（HW34废酸），900-308-34（HW34废酸），900-349-34（HW34废酸）40000吨，900-350-35（HW35废碱），900-351-35（HW35废碱），900-352-35（HW35废碱），900-353-35（HW35废碱），900-354-35（HW35废碱），900-355-35（HW35废碱），900-356-35（HW35废碱），900-399-35（HW35废碱）10000吨。</w:t>
            </w:r>
          </w:p>
          <w:p w14:paraId="161918C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eastAsia" w:eastAsia="仿宋" w:cs="Times New Roman"/>
                <w:color w:val="auto"/>
                <w:sz w:val="24"/>
                <w:szCs w:val="24"/>
                <w:lang w:val="en-US" w:eastAsia="zh-CN"/>
              </w:rPr>
              <w:t>本</w:t>
            </w:r>
            <w:r>
              <w:rPr>
                <w:rFonts w:hint="default" w:ascii="Times New Roman" w:hAnsi="Times New Roman" w:eastAsia="仿宋" w:cs="Times New Roman"/>
                <w:color w:val="auto"/>
                <w:sz w:val="24"/>
                <w:szCs w:val="24"/>
                <w:lang w:val="en-US" w:eastAsia="zh-CN"/>
              </w:rPr>
              <w:t>项目废包装桶、沾染废液的抹布、手套、拖把等、废过滤纸、磨床灰委托江苏苏铖洪曜环保科技有限公司处置，江苏苏铖洪曜环保科技有限公司位于常州市新北区正强路9号，危废经营许可证编号：JSCZ0411CSO090-2，有效期至2026年12月28日，在有效期内，许可内容为：C5收集废物，HW02医药废物，HW03废药物、药品，HW04农药废物，HW05木材防腐剂废物，HW06废有机溶剂与含有机溶剂废物，HW08废矿物油与含矿物油废物，HW09油/水、烃/水混合物或乳化液，HW11精（蒸）馏残渣，HW12染料、涂料废物，HW13有机树脂类废物，HW14新化学物质废物，HW16感光材料废物，HW17表面处理废物，HW18焚烧处置残渣，HW19含金属羰基化合物废物，HW20含铍废物，HW21含铬废物，HW22含铜废物，HW24含砷废物，HW25含硒废物，HW26含镉废物，HW27含锑废物，HW28含碲废物，HW29含汞废物，HW30含铊废物，HW34废酸，HW35废碱，HW36石棉废物，HW37有机磷化合物废物，HW39含酚废物，HW40含醚废物，HW46含镍废物，HW47含钡废物，HW50废催化剂，312-001-23（HW23含锌废物），321-024-48（HW48有色金属采选和冶炼废物），321-026-48（HW48有色金属采选和冶炼废物），321-034-48（HW48有色金属采选和冶炼废物），336-103-23（HW23含锌废物），900-021-23（HW23含锌废物），900-039-49（HW49其他废物），900-041-49（HW49其他废物），900-044-49（HW49其他废物），900-045-49（HW49其他废物），900-046-49（HW49其他废物），900-047-49（HW49其他废物），900-052-31（HW31含铅废物），900-999-49（HW49其他废物）5000吨。</w:t>
            </w:r>
          </w:p>
          <w:p w14:paraId="3E2B13B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本项目产生的危险废物可与常州市风华环保有限公司和江苏苏铖洪曜环保科技有限公司续签合同，目前该两家处置单位尚有较大的合同余量。因此，本项目从技术方面论证是可行的。</w:t>
            </w:r>
          </w:p>
          <w:p w14:paraId="78A5881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本项目危险废物年处理费用约6.7万元，经济上具有可行性。</w:t>
            </w:r>
          </w:p>
          <w:p w14:paraId="135D0B5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综上所述，本项目产生的固废委托有资质单位进行处理，技术上合理，经济上可行，不会造成固体废物的二次污染。</w:t>
            </w:r>
          </w:p>
          <w:p w14:paraId="275024F7">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5、地下水污染防治措施</w:t>
            </w:r>
          </w:p>
          <w:p w14:paraId="2BC86D9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地下水保护应以预防为主，减少污染物进入地下水含水层的几率和途径，并制定和实施地下水监测井长期监测计划，一旦发现地下水遭受污染，应及时采取补救措施。针对本项目可能发生的地下水污染，防治措施按照“源头控制、分区防护、污染监控、应急响应”相结合的原则，从污染物的产生、入渗、扩散、应急响应全方位进行控制。</w:t>
            </w:r>
          </w:p>
          <w:p w14:paraId="39D4CDC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（1）地下水污染分析</w:t>
            </w:r>
          </w:p>
          <w:p w14:paraId="629A058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①地下水污染源分析</w:t>
            </w:r>
          </w:p>
          <w:p w14:paraId="6882904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可能造成地下水污染影响的区域为危废仓库。可能的污染途径为：本项目危险废物贮存仓库发生火灾事故时，产生的消防废水亦有渗透污染地下水的风险。若不加强本项目固废贮存仓库的防渗处理和及时处置，存在污染地下水的可能。</w:t>
            </w:r>
          </w:p>
          <w:p w14:paraId="53B7B0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②地下水污染类型</w:t>
            </w:r>
          </w:p>
          <w:p w14:paraId="40B0073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事故情况下，若出现设施故障、管道破裂、防渗层损坏开裂等现象，物料将对地下水造成点源污染，污染物可能下渗至孔隙潜水及承压层中，从而在含水层中运移。</w:t>
            </w:r>
          </w:p>
          <w:p w14:paraId="1A7AC8A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③地下水污染途径分析</w:t>
            </w:r>
          </w:p>
          <w:p w14:paraId="5514BA5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本项目污染物泄漏后进入地下，首先在包气带中垂直向下迁移，并进入到含水层中。污染物进入地下水后，以对流作用和弥散作用为主。另外，污染物在含水层中的迁移行为还包括吸附解析、挥发和生物降解。</w:t>
            </w:r>
          </w:p>
          <w:p w14:paraId="2FB9FF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（2）地下水污染防控措施</w:t>
            </w:r>
          </w:p>
          <w:p w14:paraId="1D10133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①源头控制措施</w:t>
            </w:r>
          </w:p>
          <w:p w14:paraId="74621DB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废仓库应有防泄漏措施及应急处理设施，防止污染物的跑、冒、滴、漏，将污染物泄漏的可能性降到最低限度。对于危废仓库周边设地沟、导流槽，确保泄漏物料统一收集至事故池。事故池及其他可能有物料泄漏的区域应做好管线及水池的防渗漏、防腐蚀处理，并应做闭水试验。建立有效的事故废水收集系统，污水和雨水排放口设置雨水截止阀。尽快将地面上的废水收集进入废水收集系统，减少废水在地面上的停留时间并防止废水进入雨水系统进而污染地下水。</w:t>
            </w:r>
          </w:p>
          <w:p w14:paraId="107A30E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②分区防渗措施</w:t>
            </w:r>
          </w:p>
          <w:p w14:paraId="5B13645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根据《环境影响评价技术导则 地下水环境》（HJ610-2016），对已颁布污染控制国家标准或防渗技术规范的行业，防渗技术要求按照相应标准或规范执行，故危废仓库的防渗技术要求按照《危险废物贮存污染控制标准》（GB18597-2023）要求执行，具体防控措施及措施有效相符性见下表。</w:t>
            </w:r>
          </w:p>
          <w:p w14:paraId="30995218">
            <w:pPr>
              <w:spacing w:line="240" w:lineRule="auto"/>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表4-19  本项目分区防渗方案及防渗措施表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7"/>
              <w:gridCol w:w="1102"/>
              <w:gridCol w:w="1672"/>
              <w:gridCol w:w="4937"/>
            </w:tblGrid>
            <w:tr w14:paraId="204E6F2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261188F8">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序号</w:t>
                  </w:r>
                </w:p>
              </w:tc>
              <w:tc>
                <w:tcPr>
                  <w:tcW w:w="672" w:type="pct"/>
                  <w:noWrap w:val="0"/>
                  <w:vAlign w:val="center"/>
                </w:tcPr>
                <w:p w14:paraId="69FD778D">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防治分区</w:t>
                  </w:r>
                </w:p>
              </w:tc>
              <w:tc>
                <w:tcPr>
                  <w:tcW w:w="1019" w:type="pct"/>
                  <w:noWrap w:val="0"/>
                  <w:vAlign w:val="center"/>
                </w:tcPr>
                <w:p w14:paraId="1B90FCD0">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分区位置</w:t>
                  </w:r>
                </w:p>
              </w:tc>
              <w:tc>
                <w:tcPr>
                  <w:tcW w:w="3011" w:type="pct"/>
                  <w:noWrap w:val="0"/>
                  <w:vAlign w:val="center"/>
                </w:tcPr>
                <w:p w14:paraId="04E14B61">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防渗要求</w:t>
                  </w:r>
                </w:p>
              </w:tc>
            </w:tr>
            <w:tr w14:paraId="6CB93409">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5F44B976">
                  <w:pPr>
                    <w:keepNext w:val="0"/>
                    <w:keepLines w:val="0"/>
                    <w:pageBreakBefore w:val="0"/>
                    <w:widowControl w:val="0"/>
                    <w:wordWrap/>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1</w:t>
                  </w:r>
                </w:p>
              </w:tc>
              <w:tc>
                <w:tcPr>
                  <w:tcW w:w="672" w:type="pct"/>
                  <w:noWrap w:val="0"/>
                  <w:vAlign w:val="center"/>
                </w:tcPr>
                <w:p w14:paraId="777EC28D">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重点污染</w:t>
                  </w:r>
                </w:p>
                <w:p w14:paraId="035EA746">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防治区</w:t>
                  </w:r>
                </w:p>
              </w:tc>
              <w:tc>
                <w:tcPr>
                  <w:tcW w:w="1019" w:type="pct"/>
                  <w:noWrap w:val="0"/>
                  <w:vAlign w:val="center"/>
                </w:tcPr>
                <w:p w14:paraId="29225296">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lang w:val="en-US" w:eastAsia="zh-CN"/>
                    </w:rPr>
                  </w:pPr>
                  <w:r>
                    <w:rPr>
                      <w:rFonts w:hint="default" w:ascii="Times New Roman" w:hAnsi="Times New Roman" w:eastAsia="仿宋" w:cs="Times New Roman"/>
                      <w:color w:val="auto"/>
                      <w:kern w:val="0"/>
                      <w:szCs w:val="21"/>
                    </w:rPr>
                    <w:t>危废</w:t>
                  </w:r>
                  <w:r>
                    <w:rPr>
                      <w:rFonts w:hint="default" w:ascii="Times New Roman" w:hAnsi="Times New Roman" w:eastAsia="仿宋" w:cs="Times New Roman"/>
                      <w:color w:val="auto"/>
                      <w:kern w:val="0"/>
                      <w:szCs w:val="21"/>
                      <w:lang w:val="en-US" w:eastAsia="zh-CN"/>
                    </w:rPr>
                    <w:t>仓库</w:t>
                  </w:r>
                  <w:r>
                    <w:rPr>
                      <w:rFonts w:hint="default" w:ascii="Times New Roman" w:hAnsi="Times New Roman" w:eastAsia="仿宋" w:cs="Times New Roman"/>
                      <w:color w:val="auto"/>
                      <w:kern w:val="0"/>
                      <w:szCs w:val="21"/>
                      <w:lang w:eastAsia="zh-CN"/>
                    </w:rPr>
                    <w:t>、</w:t>
                  </w:r>
                  <w:r>
                    <w:rPr>
                      <w:rFonts w:hint="default" w:ascii="Times New Roman" w:hAnsi="Times New Roman" w:eastAsia="仿宋" w:cs="Times New Roman"/>
                      <w:color w:val="auto"/>
                      <w:kern w:val="0"/>
                      <w:szCs w:val="21"/>
                      <w:lang w:val="en-US" w:eastAsia="zh-CN"/>
                    </w:rPr>
                    <w:t>清洗区</w:t>
                  </w:r>
                  <w:r>
                    <w:rPr>
                      <w:rFonts w:hint="eastAsia" w:eastAsia="仿宋" w:cs="Times New Roman"/>
                      <w:color w:val="auto"/>
                      <w:kern w:val="0"/>
                      <w:szCs w:val="21"/>
                      <w:lang w:val="en-US" w:eastAsia="zh-CN"/>
                    </w:rPr>
                    <w:t>、涂胶、固化区</w:t>
                  </w:r>
                </w:p>
              </w:tc>
              <w:tc>
                <w:tcPr>
                  <w:tcW w:w="3011" w:type="pct"/>
                  <w:noWrap w:val="0"/>
                  <w:vAlign w:val="center"/>
                </w:tcPr>
                <w:p w14:paraId="5C27FA05">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spacing w:val="-11"/>
                      <w:kern w:val="0"/>
                      <w:szCs w:val="21"/>
                    </w:rPr>
                    <w:t>依</w:t>
                  </w:r>
                  <w:r>
                    <w:rPr>
                      <w:rFonts w:hint="default" w:ascii="Times New Roman" w:hAnsi="Times New Roman" w:eastAsia="仿宋" w:cs="Times New Roman"/>
                      <w:color w:val="auto"/>
                      <w:spacing w:val="-11"/>
                      <w:szCs w:val="21"/>
                    </w:rPr>
                    <w:t>据《危险废物贮存污染控制标准》</w:t>
                  </w:r>
                  <w:r>
                    <w:rPr>
                      <w:rFonts w:hint="default" w:ascii="Times New Roman" w:hAnsi="Times New Roman" w:eastAsia="仿宋" w:cs="Times New Roman"/>
                      <w:color w:val="auto"/>
                      <w:spacing w:val="-11"/>
                      <w:szCs w:val="21"/>
                      <w:lang w:eastAsia="zh-CN"/>
                    </w:rPr>
                    <w:t>（</w:t>
                  </w:r>
                  <w:r>
                    <w:rPr>
                      <w:rFonts w:hint="default" w:ascii="Times New Roman" w:hAnsi="Times New Roman" w:eastAsia="仿宋" w:cs="Times New Roman"/>
                      <w:color w:val="auto"/>
                      <w:spacing w:val="-11"/>
                      <w:szCs w:val="21"/>
                    </w:rPr>
                    <w:t>GB18597-2023）进行防腐、防渗处理</w:t>
                  </w:r>
                </w:p>
              </w:tc>
            </w:tr>
            <w:tr w14:paraId="723A622C">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297" w:type="pct"/>
                  <w:noWrap w:val="0"/>
                  <w:vAlign w:val="center"/>
                </w:tcPr>
                <w:p w14:paraId="0F1A06CD">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2</w:t>
                  </w:r>
                </w:p>
              </w:tc>
              <w:tc>
                <w:tcPr>
                  <w:tcW w:w="672" w:type="pct"/>
                  <w:noWrap w:val="0"/>
                  <w:vAlign w:val="center"/>
                </w:tcPr>
                <w:p w14:paraId="35201264">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一般污染</w:t>
                  </w:r>
                </w:p>
                <w:p w14:paraId="1DA6EFBD">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防治区</w:t>
                  </w:r>
                </w:p>
              </w:tc>
              <w:tc>
                <w:tcPr>
                  <w:tcW w:w="1019" w:type="pct"/>
                  <w:noWrap w:val="0"/>
                  <w:vAlign w:val="center"/>
                </w:tcPr>
                <w:p w14:paraId="0B536EFF">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其他生产区域</w:t>
                  </w:r>
                </w:p>
              </w:tc>
              <w:tc>
                <w:tcPr>
                  <w:tcW w:w="3011" w:type="pct"/>
                  <w:noWrap w:val="0"/>
                  <w:vAlign w:val="center"/>
                </w:tcPr>
                <w:p w14:paraId="6C0BCDBF">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地面基础防渗和构筑物防渗等级达到渗透系数≤1.0×10</w:t>
                  </w:r>
                  <w:r>
                    <w:rPr>
                      <w:rFonts w:hint="default" w:ascii="Times New Roman" w:hAnsi="Times New Roman" w:eastAsia="仿宋" w:cs="Times New Roman"/>
                      <w:color w:val="auto"/>
                      <w:kern w:val="0"/>
                      <w:szCs w:val="21"/>
                      <w:vertAlign w:val="superscript"/>
                    </w:rPr>
                    <w:t>-7</w:t>
                  </w:r>
                  <w:r>
                    <w:rPr>
                      <w:rFonts w:hint="default" w:ascii="Times New Roman" w:hAnsi="Times New Roman" w:eastAsia="仿宋" w:cs="Times New Roman"/>
                      <w:color w:val="auto"/>
                      <w:kern w:val="0"/>
                      <w:szCs w:val="21"/>
                    </w:rPr>
                    <w:t>cm/s，相当于不小于1.5m厚的粘土防护层</w:t>
                  </w:r>
                </w:p>
              </w:tc>
            </w:tr>
          </w:tbl>
          <w:p w14:paraId="0E594A1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③应急响应措施</w:t>
            </w:r>
          </w:p>
          <w:p w14:paraId="407EEB4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113C03D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（3）地下水环境影响分析</w:t>
            </w:r>
          </w:p>
          <w:p w14:paraId="6D580D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本项目可能对地下水产生影响的主要区域在危废仓库</w:t>
            </w:r>
            <w:r>
              <w:rPr>
                <w:rFonts w:hint="eastAsia" w:eastAsia="仿宋" w:cs="Times New Roman"/>
                <w:color w:val="auto"/>
                <w:sz w:val="24"/>
                <w:szCs w:val="24"/>
                <w:lang w:val="en-US" w:eastAsia="zh-CN"/>
              </w:rPr>
              <w:t>、</w:t>
            </w:r>
            <w:r>
              <w:rPr>
                <w:rFonts w:hint="default" w:ascii="Times New Roman" w:hAnsi="Times New Roman" w:eastAsia="仿宋" w:cs="Times New Roman"/>
                <w:color w:val="auto"/>
                <w:sz w:val="24"/>
                <w:szCs w:val="24"/>
                <w:lang w:val="en-US" w:eastAsia="zh-CN"/>
              </w:rPr>
              <w:t>清洗区</w:t>
            </w:r>
            <w:r>
              <w:rPr>
                <w:rFonts w:hint="eastAsia" w:eastAsia="仿宋" w:cs="Times New Roman"/>
                <w:color w:val="auto"/>
                <w:sz w:val="24"/>
                <w:szCs w:val="24"/>
                <w:lang w:val="en-US" w:eastAsia="zh-CN"/>
              </w:rPr>
              <w:t>和涂胶、固化区</w:t>
            </w:r>
            <w:r>
              <w:rPr>
                <w:rFonts w:hint="default" w:ascii="Times New Roman" w:hAnsi="Times New Roman" w:eastAsia="仿宋" w:cs="Times New Roman"/>
                <w:color w:val="auto"/>
                <w:sz w:val="24"/>
                <w:szCs w:val="24"/>
                <w:lang w:val="en-US" w:eastAsia="zh-CN"/>
              </w:rPr>
              <w:t>，需采取地下水防渗处理措施。正常生产时车间的跑冒滴漏不会下渗到地下水中。室外管道和阀门的跑冒滴漏水量较小。且本项目用地现状为工业用地，确保各项防渗措施得以落实、加强维护和厂区环境管理的前提下，正常工况下对地下水基本无渗漏，污染较小。</w:t>
            </w:r>
          </w:p>
          <w:p w14:paraId="10AA2E09">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6、土壤污染防治措施</w:t>
            </w:r>
          </w:p>
          <w:p w14:paraId="33A15467">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6.1土壤污染类型及途径</w:t>
            </w:r>
          </w:p>
          <w:p w14:paraId="3D437F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运营期土壤环境影响识别主要针对本项目清洗工艺及产生的液态危废，本项目土壤环境影响类型与影响途径见表4-20。</w:t>
            </w:r>
          </w:p>
          <w:p w14:paraId="52BEB43B">
            <w:pPr>
              <w:spacing w:line="240" w:lineRule="auto"/>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 xml:space="preserve">表4-20 </w:t>
            </w:r>
            <w:r>
              <w:rPr>
                <w:rFonts w:hint="eastAsia" w:eastAsia="仿宋" w:cs="Times New Roman"/>
                <w:b/>
                <w:color w:val="auto"/>
                <w:sz w:val="21"/>
                <w:szCs w:val="21"/>
                <w:lang w:val="en-US" w:eastAsia="zh-CN"/>
              </w:rPr>
              <w:t xml:space="preserve"> </w:t>
            </w:r>
            <w:r>
              <w:rPr>
                <w:rFonts w:hint="default" w:ascii="Times New Roman" w:hAnsi="Times New Roman" w:eastAsia="仿宋" w:cs="Times New Roman"/>
                <w:b/>
                <w:color w:val="auto"/>
                <w:sz w:val="21"/>
                <w:szCs w:val="21"/>
                <w:lang w:val="en-US" w:eastAsia="zh-CN"/>
              </w:rPr>
              <w:t>本项目土壤环境影响类型与影响途径表</w:t>
            </w:r>
          </w:p>
          <w:tbl>
            <w:tblPr>
              <w:tblStyle w:val="24"/>
              <w:tblW w:w="4999" w:type="pct"/>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90"/>
              <w:gridCol w:w="1675"/>
              <w:gridCol w:w="1675"/>
              <w:gridCol w:w="1675"/>
              <w:gridCol w:w="1684"/>
            </w:tblGrid>
            <w:tr w14:paraId="691D7A77">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09" w:type="pct"/>
                  <w:vMerge w:val="restart"/>
                  <w:noWrap w:val="0"/>
                  <w:vAlign w:val="center"/>
                </w:tcPr>
                <w:p w14:paraId="1CE95232">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不同时段</w:t>
                  </w:r>
                </w:p>
              </w:tc>
              <w:tc>
                <w:tcPr>
                  <w:tcW w:w="4090" w:type="pct"/>
                  <w:gridSpan w:val="4"/>
                  <w:noWrap w:val="0"/>
                  <w:vAlign w:val="center"/>
                </w:tcPr>
                <w:p w14:paraId="3E3CC671">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污染影响型</w:t>
                  </w:r>
                </w:p>
              </w:tc>
            </w:tr>
            <w:tr w14:paraId="146E381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09" w:type="pct"/>
                  <w:vMerge w:val="continue"/>
                  <w:noWrap w:val="0"/>
                  <w:vAlign w:val="center"/>
                </w:tcPr>
                <w:p w14:paraId="2A409394">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p>
              </w:tc>
              <w:tc>
                <w:tcPr>
                  <w:tcW w:w="1021" w:type="pct"/>
                  <w:noWrap w:val="0"/>
                  <w:vAlign w:val="center"/>
                </w:tcPr>
                <w:p w14:paraId="21F32506">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大气沉降</w:t>
                  </w:r>
                </w:p>
              </w:tc>
              <w:tc>
                <w:tcPr>
                  <w:tcW w:w="1021" w:type="pct"/>
                  <w:noWrap w:val="0"/>
                  <w:vAlign w:val="center"/>
                </w:tcPr>
                <w:p w14:paraId="22FE4F41">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地面漫流</w:t>
                  </w:r>
                </w:p>
              </w:tc>
              <w:tc>
                <w:tcPr>
                  <w:tcW w:w="1021" w:type="pct"/>
                  <w:tcBorders>
                    <w:right w:val="single" w:color="auto" w:sz="4" w:space="0"/>
                  </w:tcBorders>
                  <w:noWrap w:val="0"/>
                  <w:vAlign w:val="center"/>
                </w:tcPr>
                <w:p w14:paraId="71E9D89E">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垂直入渗</w:t>
                  </w:r>
                </w:p>
              </w:tc>
              <w:tc>
                <w:tcPr>
                  <w:tcW w:w="1024" w:type="pct"/>
                  <w:tcBorders>
                    <w:left w:val="single" w:color="auto" w:sz="4" w:space="0"/>
                  </w:tcBorders>
                  <w:noWrap w:val="0"/>
                  <w:vAlign w:val="center"/>
                </w:tcPr>
                <w:p w14:paraId="7F0A2F36">
                  <w:pPr>
                    <w:keepNext w:val="0"/>
                    <w:keepLines w:val="0"/>
                    <w:pageBreakBefore w:val="0"/>
                    <w:widowControl w:val="0"/>
                    <w:kinsoku w:val="0"/>
                    <w:wordWrap/>
                    <w:overflowPunct w:val="0"/>
                    <w:topLinePunct w:val="0"/>
                    <w:autoSpaceDE w:val="0"/>
                    <w:autoSpaceDN w:val="0"/>
                    <w:bidi w:val="0"/>
                    <w:adjustRightInd w:val="0"/>
                    <w:snapToGrid/>
                    <w:spacing w:line="240" w:lineRule="auto"/>
                    <w:ind w:left="0" w:right="0" w:firstLine="0"/>
                    <w:jc w:val="center"/>
                    <w:textAlignment w:val="auto"/>
                    <w:rPr>
                      <w:rFonts w:hint="default" w:ascii="Times New Roman" w:hAnsi="Times New Roman" w:eastAsia="仿宋" w:cs="Times New Roman"/>
                      <w:b/>
                      <w:bCs/>
                      <w:color w:val="auto"/>
                      <w:kern w:val="0"/>
                      <w:szCs w:val="21"/>
                    </w:rPr>
                  </w:pPr>
                  <w:r>
                    <w:rPr>
                      <w:rFonts w:hint="default" w:ascii="Times New Roman" w:hAnsi="Times New Roman" w:eastAsia="仿宋" w:cs="Times New Roman"/>
                      <w:b/>
                      <w:bCs/>
                      <w:color w:val="auto"/>
                      <w:kern w:val="0"/>
                      <w:szCs w:val="21"/>
                    </w:rPr>
                    <w:t>其他</w:t>
                  </w:r>
                </w:p>
              </w:tc>
            </w:tr>
            <w:tr w14:paraId="3FFE719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09" w:type="pct"/>
                  <w:noWrap w:val="0"/>
                  <w:vAlign w:val="center"/>
                </w:tcPr>
                <w:p w14:paraId="10C5D0C3">
                  <w:pPr>
                    <w:keepNext w:val="0"/>
                    <w:keepLines w:val="0"/>
                    <w:pageBreakBefore w:val="0"/>
                    <w:widowControl w:val="0"/>
                    <w:kinsoku w:val="0"/>
                    <w:wordWrap/>
                    <w:overflowPunct w:val="0"/>
                    <w:topLinePunct w:val="0"/>
                    <w:autoSpaceDE w:val="0"/>
                    <w:autoSpaceDN w:val="0"/>
                    <w:bidi w:val="0"/>
                    <w:adjustRightInd w:val="0"/>
                    <w:snapToGrid/>
                    <w:spacing w:line="280" w:lineRule="exact"/>
                    <w:ind w:left="3"/>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建设期</w:t>
                  </w:r>
                </w:p>
              </w:tc>
              <w:tc>
                <w:tcPr>
                  <w:tcW w:w="1021" w:type="pct"/>
                  <w:noWrap w:val="0"/>
                  <w:vAlign w:val="center"/>
                </w:tcPr>
                <w:p w14:paraId="243B3771">
                  <w:pPr>
                    <w:keepNext w:val="0"/>
                    <w:keepLines w:val="0"/>
                    <w:pageBreakBefore w:val="0"/>
                    <w:widowControl w:val="0"/>
                    <w:kinsoku w:val="0"/>
                    <w:wordWrap/>
                    <w:overflowPunct w:val="0"/>
                    <w:topLinePunct w:val="0"/>
                    <w:autoSpaceDE w:val="0"/>
                    <w:autoSpaceDN w:val="0"/>
                    <w:bidi w:val="0"/>
                    <w:adjustRightInd w:val="0"/>
                    <w:snapToGrid/>
                    <w:spacing w:line="280" w:lineRule="exact"/>
                    <w:ind w:left="166"/>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noWrap w:val="0"/>
                  <w:vAlign w:val="center"/>
                </w:tcPr>
                <w:p w14:paraId="3B6AE31E">
                  <w:pPr>
                    <w:keepNext w:val="0"/>
                    <w:keepLines w:val="0"/>
                    <w:pageBreakBefore w:val="0"/>
                    <w:widowControl w:val="0"/>
                    <w:kinsoku w:val="0"/>
                    <w:wordWrap/>
                    <w:overflowPunct w:val="0"/>
                    <w:topLinePunct w:val="0"/>
                    <w:autoSpaceDE w:val="0"/>
                    <w:autoSpaceDN w:val="0"/>
                    <w:bidi w:val="0"/>
                    <w:adjustRightInd w:val="0"/>
                    <w:snapToGrid/>
                    <w:spacing w:line="280" w:lineRule="exact"/>
                    <w:ind w:left="45"/>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tcBorders>
                    <w:right w:val="single" w:color="auto" w:sz="4" w:space="0"/>
                  </w:tcBorders>
                  <w:noWrap w:val="0"/>
                  <w:vAlign w:val="center"/>
                </w:tcPr>
                <w:p w14:paraId="1FF924F7">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4" w:type="pct"/>
                  <w:tcBorders>
                    <w:left w:val="single" w:color="auto" w:sz="4" w:space="0"/>
                  </w:tcBorders>
                  <w:noWrap w:val="0"/>
                  <w:vAlign w:val="center"/>
                </w:tcPr>
                <w:p w14:paraId="73ED4EEF">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14:paraId="4D9D5B5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09" w:type="pct"/>
                  <w:noWrap w:val="0"/>
                  <w:vAlign w:val="center"/>
                </w:tcPr>
                <w:p w14:paraId="73FFCE34">
                  <w:pPr>
                    <w:keepNext w:val="0"/>
                    <w:keepLines w:val="0"/>
                    <w:pageBreakBefore w:val="0"/>
                    <w:widowControl w:val="0"/>
                    <w:kinsoku w:val="0"/>
                    <w:wordWrap/>
                    <w:overflowPunct w:val="0"/>
                    <w:topLinePunct w:val="0"/>
                    <w:autoSpaceDE w:val="0"/>
                    <w:autoSpaceDN w:val="0"/>
                    <w:bidi w:val="0"/>
                    <w:adjustRightInd w:val="0"/>
                    <w:snapToGrid/>
                    <w:spacing w:line="280" w:lineRule="exact"/>
                    <w:ind w:left="3"/>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运营期</w:t>
                  </w:r>
                </w:p>
              </w:tc>
              <w:tc>
                <w:tcPr>
                  <w:tcW w:w="1021" w:type="pct"/>
                  <w:noWrap w:val="0"/>
                  <w:vAlign w:val="center"/>
                </w:tcPr>
                <w:p w14:paraId="31220F2C">
                  <w:pPr>
                    <w:keepNext w:val="0"/>
                    <w:keepLines w:val="0"/>
                    <w:pageBreakBefore w:val="0"/>
                    <w:widowControl w:val="0"/>
                    <w:kinsoku w:val="0"/>
                    <w:wordWrap/>
                    <w:overflowPunct w:val="0"/>
                    <w:topLinePunct w:val="0"/>
                    <w:autoSpaceDE w:val="0"/>
                    <w:autoSpaceDN w:val="0"/>
                    <w:bidi w:val="0"/>
                    <w:adjustRightInd w:val="0"/>
                    <w:snapToGrid/>
                    <w:spacing w:line="280" w:lineRule="exact"/>
                    <w:ind w:left="166"/>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noWrap w:val="0"/>
                  <w:vAlign w:val="center"/>
                </w:tcPr>
                <w:p w14:paraId="03759753">
                  <w:pPr>
                    <w:keepNext w:val="0"/>
                    <w:keepLines w:val="0"/>
                    <w:pageBreakBefore w:val="0"/>
                    <w:widowControl w:val="0"/>
                    <w:kinsoku w:val="0"/>
                    <w:wordWrap/>
                    <w:overflowPunct w:val="0"/>
                    <w:topLinePunct w:val="0"/>
                    <w:autoSpaceDE w:val="0"/>
                    <w:autoSpaceDN w:val="0"/>
                    <w:bidi w:val="0"/>
                    <w:adjustRightInd w:val="0"/>
                    <w:snapToGrid/>
                    <w:spacing w:line="280" w:lineRule="exact"/>
                    <w:ind w:left="45"/>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tcBorders>
                    <w:right w:val="single" w:color="auto" w:sz="4" w:space="0"/>
                  </w:tcBorders>
                  <w:noWrap w:val="0"/>
                  <w:vAlign w:val="center"/>
                </w:tcPr>
                <w:p w14:paraId="2281E2DF">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4" w:type="pct"/>
                  <w:tcBorders>
                    <w:left w:val="single" w:color="auto" w:sz="4" w:space="0"/>
                  </w:tcBorders>
                  <w:noWrap w:val="0"/>
                  <w:vAlign w:val="center"/>
                </w:tcPr>
                <w:p w14:paraId="589F5121">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r w14:paraId="0A89AE0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909" w:type="pct"/>
                  <w:noWrap w:val="0"/>
                  <w:vAlign w:val="center"/>
                </w:tcPr>
                <w:p w14:paraId="0D70462A">
                  <w:pPr>
                    <w:keepNext w:val="0"/>
                    <w:keepLines w:val="0"/>
                    <w:pageBreakBefore w:val="0"/>
                    <w:widowControl w:val="0"/>
                    <w:kinsoku w:val="0"/>
                    <w:wordWrap/>
                    <w:overflowPunct w:val="0"/>
                    <w:topLinePunct w:val="0"/>
                    <w:autoSpaceDE w:val="0"/>
                    <w:autoSpaceDN w:val="0"/>
                    <w:bidi w:val="0"/>
                    <w:adjustRightInd w:val="0"/>
                    <w:snapToGrid/>
                    <w:spacing w:line="280" w:lineRule="exact"/>
                    <w:ind w:left="3"/>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服务期满后</w:t>
                  </w:r>
                </w:p>
              </w:tc>
              <w:tc>
                <w:tcPr>
                  <w:tcW w:w="1021" w:type="pct"/>
                  <w:noWrap w:val="0"/>
                  <w:vAlign w:val="center"/>
                </w:tcPr>
                <w:p w14:paraId="01C11649">
                  <w:pPr>
                    <w:keepNext w:val="0"/>
                    <w:keepLines w:val="0"/>
                    <w:pageBreakBefore w:val="0"/>
                    <w:widowControl w:val="0"/>
                    <w:kinsoku w:val="0"/>
                    <w:wordWrap/>
                    <w:overflowPunct w:val="0"/>
                    <w:topLinePunct w:val="0"/>
                    <w:autoSpaceDE w:val="0"/>
                    <w:autoSpaceDN w:val="0"/>
                    <w:bidi w:val="0"/>
                    <w:adjustRightInd w:val="0"/>
                    <w:snapToGrid/>
                    <w:spacing w:line="280" w:lineRule="exact"/>
                    <w:ind w:left="166"/>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noWrap w:val="0"/>
                  <w:vAlign w:val="center"/>
                </w:tcPr>
                <w:p w14:paraId="6F1232F3">
                  <w:pPr>
                    <w:keepNext w:val="0"/>
                    <w:keepLines w:val="0"/>
                    <w:pageBreakBefore w:val="0"/>
                    <w:widowControl w:val="0"/>
                    <w:kinsoku w:val="0"/>
                    <w:wordWrap/>
                    <w:overflowPunct w:val="0"/>
                    <w:topLinePunct w:val="0"/>
                    <w:autoSpaceDE w:val="0"/>
                    <w:autoSpaceDN w:val="0"/>
                    <w:bidi w:val="0"/>
                    <w:adjustRightInd w:val="0"/>
                    <w:snapToGrid/>
                    <w:spacing w:line="280" w:lineRule="exact"/>
                    <w:ind w:left="45"/>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1" w:type="pct"/>
                  <w:tcBorders>
                    <w:right w:val="single" w:color="auto" w:sz="4" w:space="0"/>
                  </w:tcBorders>
                  <w:noWrap w:val="0"/>
                  <w:vAlign w:val="center"/>
                </w:tcPr>
                <w:p w14:paraId="0F3B8424">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c>
                <w:tcPr>
                  <w:tcW w:w="1024" w:type="pct"/>
                  <w:tcBorders>
                    <w:left w:val="single" w:color="auto" w:sz="4" w:space="0"/>
                  </w:tcBorders>
                  <w:noWrap w:val="0"/>
                  <w:vAlign w:val="center"/>
                </w:tcPr>
                <w:p w14:paraId="0DFCD4F9">
                  <w:pPr>
                    <w:keepNext w:val="0"/>
                    <w:keepLines w:val="0"/>
                    <w:pageBreakBefore w:val="0"/>
                    <w:widowControl w:val="0"/>
                    <w:kinsoku w:val="0"/>
                    <w:wordWrap/>
                    <w:overflowPunct w:val="0"/>
                    <w:topLinePunct w:val="0"/>
                    <w:autoSpaceDE w:val="0"/>
                    <w:autoSpaceDN w:val="0"/>
                    <w:bidi w:val="0"/>
                    <w:adjustRightInd w:val="0"/>
                    <w:snapToGrid/>
                    <w:spacing w:line="280" w:lineRule="exact"/>
                    <w:jc w:val="center"/>
                    <w:textAlignment w:val="auto"/>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w:t>
                  </w:r>
                </w:p>
              </w:tc>
            </w:tr>
          </w:tbl>
          <w:p w14:paraId="5C1C6A0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6.2污染防治措施</w:t>
            </w:r>
          </w:p>
          <w:p w14:paraId="44266D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①污染源及污染途径</w:t>
            </w:r>
          </w:p>
          <w:p w14:paraId="3272C7F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本项目对土壤环境的可能影响区域主要为：</w:t>
            </w:r>
            <w:r>
              <w:rPr>
                <w:rFonts w:hint="eastAsia" w:eastAsia="仿宋" w:cs="Times New Roman"/>
                <w:color w:val="auto"/>
                <w:sz w:val="24"/>
                <w:szCs w:val="24"/>
                <w:lang w:val="en-US" w:eastAsia="zh-CN"/>
              </w:rPr>
              <w:t>涂胶、固化区、</w:t>
            </w:r>
            <w:r>
              <w:rPr>
                <w:rFonts w:hint="default" w:ascii="Times New Roman" w:hAnsi="Times New Roman" w:eastAsia="仿宋" w:cs="Times New Roman"/>
                <w:color w:val="auto"/>
                <w:sz w:val="24"/>
                <w:szCs w:val="24"/>
                <w:lang w:val="en-US" w:eastAsia="zh-CN"/>
              </w:rPr>
              <w:t>清洗区、危废仓库</w:t>
            </w:r>
            <w:r>
              <w:rPr>
                <w:rFonts w:hint="eastAsia" w:ascii="Times New Roman" w:hAnsi="Times New Roman" w:eastAsia="仿宋" w:cs="Times New Roman"/>
                <w:color w:val="auto"/>
                <w:sz w:val="24"/>
                <w:szCs w:val="24"/>
                <w:lang w:val="en-US" w:eastAsia="zh-CN"/>
              </w:rPr>
              <w:t>和原料堆场</w:t>
            </w:r>
            <w:r>
              <w:rPr>
                <w:rFonts w:hint="default" w:ascii="Times New Roman" w:hAnsi="Times New Roman" w:eastAsia="仿宋" w:cs="Times New Roman"/>
                <w:color w:val="auto"/>
                <w:sz w:val="24"/>
                <w:szCs w:val="24"/>
                <w:lang w:val="en-US" w:eastAsia="zh-CN"/>
              </w:rPr>
              <w:t>。</w:t>
            </w:r>
          </w:p>
          <w:p w14:paraId="15855B0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②源头控制措施</w:t>
            </w:r>
          </w:p>
          <w:p w14:paraId="130AD3B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为保护土壤环境，采取防控措施从源头控制对土壤的污染。实施清洁生产和循环经济，减少污染物的排放量。从设计、管理各种工艺设备和物料运输管线上，防止和减少污染物的跑冒滴漏，合理布局，减少污染物的泄漏途径。</w:t>
            </w:r>
          </w:p>
          <w:p w14:paraId="47A200B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生产车间（包括危废仓库及清洗区）</w:t>
            </w:r>
            <w:r>
              <w:rPr>
                <w:rFonts w:hint="eastAsia" w:eastAsia="仿宋" w:cs="Times New Roman"/>
                <w:color w:val="auto"/>
                <w:sz w:val="24"/>
                <w:szCs w:val="24"/>
                <w:lang w:val="en-US" w:eastAsia="zh-CN"/>
              </w:rPr>
              <w:t>拟</w:t>
            </w:r>
            <w:r>
              <w:rPr>
                <w:rFonts w:hint="default" w:ascii="Times New Roman" w:hAnsi="Times New Roman" w:eastAsia="仿宋" w:cs="Times New Roman"/>
                <w:color w:val="auto"/>
                <w:sz w:val="24"/>
                <w:szCs w:val="24"/>
                <w:lang w:val="en-US" w:eastAsia="zh-CN"/>
              </w:rPr>
              <w:t>做防渗漏处理，以确保各物料的冒溢能被回收；固体废弃物在厂内暂存期间，如属有毒有害物质，用桶包装后储存。</w:t>
            </w:r>
          </w:p>
          <w:p w14:paraId="7C645EB3">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6.3土壤环境影响分析</w:t>
            </w:r>
          </w:p>
          <w:p w14:paraId="67CDA88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本项目正常工况下，在确保各项防渗措施得以落实、加强维护和厂区环境管理的前提下，可有效控制污染物泄漏、入渗现象，土壤累积影响很小，不会对周边土壤产生明显影响。</w:t>
            </w:r>
          </w:p>
          <w:p w14:paraId="27182341">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7、生态</w:t>
            </w:r>
          </w:p>
          <w:p w14:paraId="5DE7469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本项目利用已建成的车间进行建设，不会改变厂址内土地利用现状，对厂界外生态不产生影响。</w:t>
            </w:r>
          </w:p>
          <w:p w14:paraId="0220B3E9">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8、环境风险</w:t>
            </w:r>
          </w:p>
          <w:p w14:paraId="538F55E1">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参照《建设项目环境风险评价技术导则》（HJ169-2018）及《关于印发江苏省环境影响评价文件环境应急相关内容编制要点的通知》（苏环办[2022]338号）对本项目环境风险情况进行分析。</w:t>
            </w:r>
          </w:p>
          <w:p w14:paraId="3D9193FE">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zh-CN" w:eastAsia="zh-CN"/>
              </w:rPr>
            </w:pPr>
            <w:r>
              <w:rPr>
                <w:rFonts w:hint="default" w:ascii="Times New Roman" w:hAnsi="Times New Roman" w:eastAsia="仿宋" w:cs="Times New Roman"/>
                <w:b/>
                <w:bCs/>
                <w:color w:val="auto"/>
                <w:sz w:val="24"/>
                <w:szCs w:val="24"/>
                <w:lang w:val="en-US" w:eastAsia="zh-CN"/>
              </w:rPr>
              <w:t>8.1</w:t>
            </w:r>
            <w:r>
              <w:rPr>
                <w:rFonts w:hint="default" w:ascii="Times New Roman" w:hAnsi="Times New Roman" w:eastAsia="仿宋" w:cs="Times New Roman"/>
                <w:b/>
                <w:bCs/>
                <w:color w:val="auto"/>
                <w:sz w:val="24"/>
                <w:szCs w:val="24"/>
                <w:lang w:val="zh-CN" w:eastAsia="zh-CN"/>
              </w:rPr>
              <w:t>评价工作等级划分</w:t>
            </w:r>
          </w:p>
          <w:p w14:paraId="53184B0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本项目从事电机、驱动器制造，项目营运过程中涉及的液态原料以及危险废物具有一定的危险性。根据表2-5可知，公司涉及液态原料主要为油品，根据理化性质，对人体存在一定的危害。</w:t>
            </w:r>
          </w:p>
          <w:p w14:paraId="7F4D983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根据《建设项目环境风险评价技术 导则》（HJ169-2018）附录B表B.1突发环境事故风险物质及临界量表、表B.2其他危险物质临界量推荐值，结合对该项目危险化学品的毒理性质分析，对项目所涉及的化学品进行物质危险性判定：</w:t>
            </w:r>
          </w:p>
          <w:p w14:paraId="2D84FA9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当只涉及一种危险物质时，计算该物质的总量与其临界量比值，即为Q；</w:t>
            </w:r>
          </w:p>
          <w:p w14:paraId="4946E9A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drawing>
                <wp:anchor distT="0" distB="0" distL="114300" distR="114300" simplePos="0" relativeHeight="251659264" behindDoc="0" locked="0" layoutInCell="1" allowOverlap="1">
                  <wp:simplePos x="0" y="0"/>
                  <wp:positionH relativeFrom="column">
                    <wp:posOffset>1771650</wp:posOffset>
                  </wp:positionH>
                  <wp:positionV relativeFrom="paragraph">
                    <wp:posOffset>20955</wp:posOffset>
                  </wp:positionV>
                  <wp:extent cx="1567815" cy="452120"/>
                  <wp:effectExtent l="0" t="0" r="13335" b="5080"/>
                  <wp:wrapTopAndBottom/>
                  <wp:docPr id="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0"/>
                          <pic:cNvPicPr>
                            <a:picLocks noChangeAspect="1"/>
                          </pic:cNvPicPr>
                        </pic:nvPicPr>
                        <pic:blipFill>
                          <a:blip r:embed="rId30"/>
                          <a:stretch>
                            <a:fillRect/>
                          </a:stretch>
                        </pic:blipFill>
                        <pic:spPr>
                          <a:xfrm>
                            <a:off x="0" y="0"/>
                            <a:ext cx="1567815" cy="452120"/>
                          </a:xfrm>
                          <a:prstGeom prst="rect">
                            <a:avLst/>
                          </a:prstGeom>
                          <a:noFill/>
                          <a:ln>
                            <a:noFill/>
                          </a:ln>
                        </pic:spPr>
                      </pic:pic>
                    </a:graphicData>
                  </a:graphic>
                </wp:anchor>
              </w:drawing>
            </w:r>
            <w:r>
              <w:rPr>
                <w:rFonts w:hint="default" w:ascii="Times New Roman" w:hAnsi="Times New Roman" w:eastAsia="仿宋" w:cs="Times New Roman"/>
                <w:color w:val="auto"/>
                <w:sz w:val="24"/>
                <w:szCs w:val="24"/>
                <w:lang w:val="en-US" w:eastAsia="zh-CN"/>
              </w:rPr>
              <w:t>当存在多种危险物质时，则按下式计算物质总量与其临界量比值Q：</w:t>
            </w:r>
          </w:p>
          <w:p w14:paraId="5C2ABF4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式中：q1，q2，……qn──每种危险物质的最大存在总量，t；</w:t>
            </w:r>
          </w:p>
          <w:p w14:paraId="381D7AC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 xml:space="preserve">      Q1，Q2，……Qn──每种危险物质的临界量，t</w:t>
            </w:r>
          </w:p>
          <w:p w14:paraId="11FF382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当Q＜1时，项目环境风险潜势为Ⅰ；</w:t>
            </w:r>
          </w:p>
          <w:p w14:paraId="6928C73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当Q≧1时，将Q值划分为：（1）1≦Q&lt;10；（2）10≦Q&lt;100；（3）Q≧100。</w:t>
            </w:r>
          </w:p>
          <w:p w14:paraId="64B16909">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厂内所有危险物质与附录B对照情况见表4-21。</w:t>
            </w:r>
          </w:p>
          <w:p w14:paraId="51DD9A50">
            <w:pPr>
              <w:spacing w:line="240" w:lineRule="auto"/>
              <w:jc w:val="center"/>
              <w:rPr>
                <w:rFonts w:hint="default" w:ascii="Times New Roman" w:hAnsi="Times New Roman" w:eastAsia="仿宋" w:cs="Times New Roman"/>
                <w:b/>
                <w:color w:val="auto"/>
                <w:sz w:val="21"/>
                <w:szCs w:val="21"/>
                <w:lang w:val="en-US" w:eastAsia="zh-CN"/>
              </w:rPr>
            </w:pPr>
          </w:p>
          <w:p w14:paraId="4E10D7DC">
            <w:pPr>
              <w:spacing w:line="240" w:lineRule="auto"/>
              <w:jc w:val="center"/>
              <w:rPr>
                <w:rFonts w:hint="default" w:ascii="Times New Roman" w:hAnsi="Times New Roman" w:eastAsia="仿宋" w:cs="Times New Roman"/>
                <w:b/>
                <w:color w:val="auto"/>
                <w:sz w:val="21"/>
                <w:szCs w:val="21"/>
                <w:lang w:val="en-US" w:eastAsia="zh-CN"/>
              </w:rPr>
            </w:pPr>
          </w:p>
          <w:p w14:paraId="70300A87">
            <w:pPr>
              <w:spacing w:line="240" w:lineRule="auto"/>
              <w:jc w:val="center"/>
              <w:rPr>
                <w:rFonts w:hint="default" w:ascii="Times New Roman" w:hAnsi="Times New Roman" w:eastAsia="仿宋" w:cs="Times New Roman"/>
                <w:b/>
                <w:color w:val="auto"/>
                <w:sz w:val="21"/>
                <w:szCs w:val="21"/>
                <w:lang w:val="en-US" w:eastAsia="zh-CN"/>
              </w:rPr>
            </w:pPr>
          </w:p>
          <w:p w14:paraId="5FB96A1E">
            <w:pPr>
              <w:spacing w:line="240" w:lineRule="auto"/>
              <w:jc w:val="center"/>
              <w:rPr>
                <w:rFonts w:hint="default" w:ascii="Times New Roman" w:hAnsi="Times New Roman" w:eastAsia="仿宋" w:cs="Times New Roman"/>
                <w:b/>
                <w:color w:val="auto"/>
                <w:sz w:val="21"/>
                <w:szCs w:val="21"/>
                <w:lang w:val="en-US" w:eastAsia="zh-CN"/>
              </w:rPr>
            </w:pPr>
          </w:p>
          <w:p w14:paraId="0F8C7053">
            <w:pPr>
              <w:spacing w:line="240" w:lineRule="auto"/>
              <w:jc w:val="center"/>
              <w:rPr>
                <w:rFonts w:hint="default" w:ascii="Times New Roman" w:hAnsi="Times New Roman" w:eastAsia="仿宋" w:cs="Times New Roman"/>
                <w:b/>
                <w:color w:val="auto"/>
                <w:sz w:val="21"/>
                <w:szCs w:val="21"/>
                <w:lang w:val="en-US" w:eastAsia="zh-CN"/>
              </w:rPr>
            </w:pPr>
          </w:p>
          <w:p w14:paraId="555A1C93">
            <w:pPr>
              <w:spacing w:line="240" w:lineRule="auto"/>
              <w:jc w:val="center"/>
              <w:rPr>
                <w:rFonts w:hint="default" w:ascii="Times New Roman" w:hAnsi="Times New Roman" w:eastAsia="仿宋" w:cs="Times New Roman"/>
                <w:b/>
                <w:color w:val="auto"/>
                <w:sz w:val="21"/>
                <w:szCs w:val="21"/>
                <w:lang w:val="en-US" w:eastAsia="zh-CN"/>
              </w:rPr>
            </w:pPr>
          </w:p>
          <w:p w14:paraId="3BEBACAC">
            <w:pPr>
              <w:spacing w:line="240" w:lineRule="auto"/>
              <w:jc w:val="center"/>
              <w:rPr>
                <w:rFonts w:hint="default" w:ascii="Times New Roman" w:hAnsi="Times New Roman" w:eastAsia="仿宋" w:cs="Times New Roman"/>
                <w:b/>
                <w:color w:val="auto"/>
                <w:sz w:val="21"/>
                <w:szCs w:val="21"/>
                <w:lang w:val="en-US" w:eastAsia="zh-CN"/>
              </w:rPr>
            </w:pPr>
          </w:p>
          <w:p w14:paraId="2AAD4296">
            <w:pPr>
              <w:spacing w:line="240" w:lineRule="auto"/>
              <w:jc w:val="center"/>
              <w:rPr>
                <w:rFonts w:hint="default" w:ascii="Times New Roman" w:hAnsi="Times New Roman" w:eastAsia="仿宋" w:cs="Times New Roman"/>
                <w:b/>
                <w:color w:val="auto"/>
                <w:sz w:val="21"/>
                <w:szCs w:val="21"/>
                <w:lang w:val="en-US" w:eastAsia="zh-CN"/>
              </w:rPr>
            </w:pPr>
          </w:p>
          <w:p w14:paraId="62FC5E5E">
            <w:pPr>
              <w:spacing w:line="240" w:lineRule="auto"/>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表4-21  建设项目Q值确定表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623"/>
              <w:gridCol w:w="1371"/>
              <w:gridCol w:w="2086"/>
              <w:gridCol w:w="1476"/>
              <w:gridCol w:w="1929"/>
            </w:tblGrid>
            <w:tr w14:paraId="764DD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4E5AB353">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序号</w:t>
                  </w:r>
                </w:p>
              </w:tc>
              <w:tc>
                <w:tcPr>
                  <w:tcW w:w="1216" w:type="pct"/>
                  <w:gridSpan w:val="2"/>
                  <w:noWrap w:val="0"/>
                  <w:vAlign w:val="center"/>
                </w:tcPr>
                <w:p w14:paraId="3012E890">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危险物质名称</w:t>
                  </w:r>
                </w:p>
              </w:tc>
              <w:tc>
                <w:tcPr>
                  <w:tcW w:w="1272" w:type="pct"/>
                  <w:noWrap w:val="0"/>
                  <w:vAlign w:val="center"/>
                </w:tcPr>
                <w:p w14:paraId="50F562BC">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b/>
                      <w:bCs/>
                      <w:color w:val="auto"/>
                      <w:spacing w:val="-11"/>
                      <w:sz w:val="21"/>
                      <w:szCs w:val="21"/>
                    </w:rPr>
                  </w:pPr>
                  <w:r>
                    <w:rPr>
                      <w:rFonts w:hint="default" w:ascii="Times New Roman" w:hAnsi="Times New Roman" w:eastAsia="仿宋" w:cs="Times New Roman"/>
                      <w:b/>
                      <w:bCs/>
                      <w:color w:val="auto"/>
                      <w:spacing w:val="-11"/>
                      <w:sz w:val="21"/>
                      <w:szCs w:val="21"/>
                    </w:rPr>
                    <w:t>最大存在总量q</w:t>
                  </w:r>
                  <w:r>
                    <w:rPr>
                      <w:rFonts w:hint="default" w:ascii="Times New Roman" w:hAnsi="Times New Roman" w:eastAsia="仿宋" w:cs="Times New Roman"/>
                      <w:b/>
                      <w:bCs/>
                      <w:color w:val="auto"/>
                      <w:spacing w:val="-11"/>
                      <w:sz w:val="21"/>
                      <w:szCs w:val="21"/>
                      <w:vertAlign w:val="subscript"/>
                    </w:rPr>
                    <w:t>n</w:t>
                  </w:r>
                  <w:r>
                    <w:rPr>
                      <w:rFonts w:hint="default" w:ascii="Times New Roman" w:hAnsi="Times New Roman" w:eastAsia="仿宋" w:cs="Times New Roman"/>
                      <w:b/>
                      <w:bCs/>
                      <w:color w:val="auto"/>
                      <w:spacing w:val="-11"/>
                      <w:sz w:val="21"/>
                      <w:szCs w:val="21"/>
                    </w:rPr>
                    <w:t>/t</w:t>
                  </w:r>
                </w:p>
              </w:tc>
              <w:tc>
                <w:tcPr>
                  <w:tcW w:w="900" w:type="pct"/>
                  <w:noWrap w:val="0"/>
                  <w:vAlign w:val="center"/>
                </w:tcPr>
                <w:p w14:paraId="6BF48AE8">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临界量Q</w:t>
                  </w:r>
                  <w:r>
                    <w:rPr>
                      <w:rFonts w:hint="default" w:ascii="Times New Roman" w:hAnsi="Times New Roman" w:eastAsia="仿宋" w:cs="Times New Roman"/>
                      <w:b/>
                      <w:bCs/>
                      <w:color w:val="auto"/>
                      <w:sz w:val="21"/>
                      <w:szCs w:val="21"/>
                      <w:vertAlign w:val="subscript"/>
                    </w:rPr>
                    <w:t>n</w:t>
                  </w:r>
                  <w:r>
                    <w:rPr>
                      <w:rFonts w:hint="default" w:ascii="Times New Roman" w:hAnsi="Times New Roman" w:eastAsia="仿宋" w:cs="Times New Roman"/>
                      <w:b/>
                      <w:bCs/>
                      <w:color w:val="auto"/>
                      <w:sz w:val="21"/>
                      <w:szCs w:val="21"/>
                    </w:rPr>
                    <w:t>/t</w:t>
                  </w:r>
                </w:p>
              </w:tc>
              <w:tc>
                <w:tcPr>
                  <w:tcW w:w="1176" w:type="pct"/>
                  <w:noWrap w:val="0"/>
                  <w:vAlign w:val="center"/>
                </w:tcPr>
                <w:p w14:paraId="2FF581EF">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b/>
                      <w:bCs/>
                      <w:color w:val="auto"/>
                      <w:sz w:val="21"/>
                      <w:szCs w:val="21"/>
                    </w:rPr>
                  </w:pPr>
                  <w:r>
                    <w:rPr>
                      <w:rFonts w:hint="default" w:ascii="Times New Roman" w:hAnsi="Times New Roman" w:eastAsia="仿宋" w:cs="Times New Roman"/>
                      <w:b/>
                      <w:bCs/>
                      <w:color w:val="auto"/>
                      <w:sz w:val="21"/>
                      <w:szCs w:val="21"/>
                    </w:rPr>
                    <w:t>该种危险物质Q值</w:t>
                  </w:r>
                </w:p>
              </w:tc>
            </w:tr>
            <w:tr w14:paraId="51D395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34751E52">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p>
              </w:tc>
              <w:tc>
                <w:tcPr>
                  <w:tcW w:w="1216" w:type="pct"/>
                  <w:gridSpan w:val="2"/>
                  <w:noWrap w:val="0"/>
                  <w:vAlign w:val="center"/>
                </w:tcPr>
                <w:p w14:paraId="53DBCCF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清洗剂</w:t>
                  </w:r>
                </w:p>
              </w:tc>
              <w:tc>
                <w:tcPr>
                  <w:tcW w:w="1272" w:type="pct"/>
                  <w:noWrap w:val="0"/>
                  <w:vAlign w:val="center"/>
                </w:tcPr>
                <w:p w14:paraId="5CB6E4C8">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0.3</w:t>
                  </w:r>
                </w:p>
              </w:tc>
              <w:tc>
                <w:tcPr>
                  <w:tcW w:w="900" w:type="pct"/>
                  <w:noWrap w:val="0"/>
                  <w:vAlign w:val="center"/>
                </w:tcPr>
                <w:p w14:paraId="7467CA5A">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76ECE1D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0.0015</w:t>
                  </w:r>
                </w:p>
              </w:tc>
            </w:tr>
            <w:tr w14:paraId="3089A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3063033B">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p>
              </w:tc>
              <w:tc>
                <w:tcPr>
                  <w:tcW w:w="1216" w:type="pct"/>
                  <w:gridSpan w:val="2"/>
                  <w:noWrap w:val="0"/>
                  <w:vAlign w:val="center"/>
                </w:tcPr>
                <w:p w14:paraId="5457EE30">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切削液</w:t>
                  </w:r>
                </w:p>
              </w:tc>
              <w:tc>
                <w:tcPr>
                  <w:tcW w:w="1272" w:type="pct"/>
                  <w:noWrap w:val="0"/>
                  <w:vAlign w:val="center"/>
                </w:tcPr>
                <w:p w14:paraId="36FA89AF">
                  <w:pPr>
                    <w:keepNext w:val="0"/>
                    <w:keepLines w:val="0"/>
                    <w:widowControl/>
                    <w:suppressLineNumbers w:val="0"/>
                    <w:jc w:val="center"/>
                    <w:textAlignment w:val="center"/>
                    <w:rPr>
                      <w:rFonts w:hint="default" w:ascii="Times New Roman" w:hAnsi="Times New Roman" w:eastAsia="仿宋" w:cs="Times New Roman"/>
                      <w:bCs/>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0.1</w:t>
                  </w:r>
                </w:p>
              </w:tc>
              <w:tc>
                <w:tcPr>
                  <w:tcW w:w="900" w:type="pct"/>
                  <w:noWrap w:val="0"/>
                  <w:vAlign w:val="center"/>
                </w:tcPr>
                <w:p w14:paraId="40AA4C38">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13A4C7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0.0005</w:t>
                  </w:r>
                </w:p>
              </w:tc>
            </w:tr>
            <w:tr w14:paraId="52E7C9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73C913F4">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3</w:t>
                  </w:r>
                </w:p>
              </w:tc>
              <w:tc>
                <w:tcPr>
                  <w:tcW w:w="1216" w:type="pct"/>
                  <w:gridSpan w:val="2"/>
                  <w:noWrap w:val="0"/>
                  <w:vAlign w:val="center"/>
                </w:tcPr>
                <w:p w14:paraId="5F0769C6">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珩磨油</w:t>
                  </w:r>
                </w:p>
              </w:tc>
              <w:tc>
                <w:tcPr>
                  <w:tcW w:w="1272" w:type="pct"/>
                  <w:noWrap w:val="0"/>
                  <w:vAlign w:val="center"/>
                </w:tcPr>
                <w:p w14:paraId="547AC3D9">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0.17</w:t>
                  </w:r>
                </w:p>
              </w:tc>
              <w:tc>
                <w:tcPr>
                  <w:tcW w:w="900" w:type="pct"/>
                  <w:noWrap w:val="0"/>
                  <w:vAlign w:val="center"/>
                </w:tcPr>
                <w:p w14:paraId="552B7A9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2500</w:t>
                  </w:r>
                </w:p>
              </w:tc>
              <w:tc>
                <w:tcPr>
                  <w:tcW w:w="1929" w:type="dxa"/>
                  <w:noWrap w:val="0"/>
                  <w:vAlign w:val="center"/>
                </w:tcPr>
                <w:p w14:paraId="652EB0C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0.000068</w:t>
                  </w:r>
                </w:p>
              </w:tc>
            </w:tr>
            <w:tr w14:paraId="27EBAB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1E15A33E">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w:t>
                  </w:r>
                </w:p>
              </w:tc>
              <w:tc>
                <w:tcPr>
                  <w:tcW w:w="1216" w:type="pct"/>
                  <w:gridSpan w:val="2"/>
                  <w:noWrap w:val="0"/>
                  <w:vAlign w:val="center"/>
                </w:tcPr>
                <w:p w14:paraId="46F080B7">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液压油</w:t>
                  </w:r>
                </w:p>
              </w:tc>
              <w:tc>
                <w:tcPr>
                  <w:tcW w:w="1272" w:type="pct"/>
                  <w:noWrap w:val="0"/>
                  <w:vAlign w:val="center"/>
                </w:tcPr>
                <w:p w14:paraId="4A3DE51F">
                  <w:pPr>
                    <w:keepNext w:val="0"/>
                    <w:keepLines w:val="0"/>
                    <w:widowControl/>
                    <w:suppressLineNumbers w:val="0"/>
                    <w:jc w:val="center"/>
                    <w:textAlignment w:val="center"/>
                    <w:rPr>
                      <w:rFonts w:hint="default" w:ascii="Times New Roman" w:hAnsi="Times New Roman" w:eastAsia="仿宋" w:cs="Times New Roman"/>
                      <w:color w:val="auto"/>
                      <w:kern w:val="0"/>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0.17</w:t>
                  </w:r>
                </w:p>
              </w:tc>
              <w:tc>
                <w:tcPr>
                  <w:tcW w:w="900" w:type="pct"/>
                  <w:noWrap w:val="0"/>
                  <w:vAlign w:val="center"/>
                </w:tcPr>
                <w:p w14:paraId="05BD0AF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2500</w:t>
                  </w:r>
                </w:p>
              </w:tc>
              <w:tc>
                <w:tcPr>
                  <w:tcW w:w="1929" w:type="dxa"/>
                  <w:noWrap w:val="0"/>
                  <w:vAlign w:val="center"/>
                </w:tcPr>
                <w:p w14:paraId="49D1D9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0.000068</w:t>
                  </w:r>
                </w:p>
              </w:tc>
            </w:tr>
            <w:tr w14:paraId="67026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2BBADE4A">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5</w:t>
                  </w:r>
                </w:p>
              </w:tc>
              <w:tc>
                <w:tcPr>
                  <w:tcW w:w="1216" w:type="pct"/>
                  <w:gridSpan w:val="2"/>
                  <w:noWrap w:val="0"/>
                  <w:vAlign w:val="center"/>
                </w:tcPr>
                <w:p w14:paraId="76ACF8C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eastAsia="仿宋" w:cs="Times New Roman"/>
                      <w:i w:val="0"/>
                      <w:iCs w:val="0"/>
                      <w:color w:val="000000"/>
                      <w:kern w:val="0"/>
                      <w:sz w:val="21"/>
                      <w:szCs w:val="21"/>
                      <w:u w:val="none"/>
                      <w:lang w:val="en-US" w:eastAsia="zh-CN" w:bidi="ar"/>
                    </w:rPr>
                    <w:t>胶水</w:t>
                  </w:r>
                </w:p>
              </w:tc>
              <w:tc>
                <w:tcPr>
                  <w:tcW w:w="1272" w:type="pct"/>
                  <w:noWrap w:val="0"/>
                  <w:vAlign w:val="center"/>
                </w:tcPr>
                <w:p w14:paraId="1F85065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eastAsia" w:eastAsia="仿宋" w:cs="Times New Roman"/>
                      <w:i w:val="0"/>
                      <w:iCs w:val="0"/>
                      <w:color w:val="000000"/>
                      <w:kern w:val="0"/>
                      <w:sz w:val="21"/>
                      <w:szCs w:val="21"/>
                      <w:u w:val="none"/>
                      <w:lang w:val="en-US" w:eastAsia="zh-CN" w:bidi="ar"/>
                    </w:rPr>
                    <w:t>0.0534</w:t>
                  </w:r>
                </w:p>
              </w:tc>
              <w:tc>
                <w:tcPr>
                  <w:tcW w:w="900" w:type="pct"/>
                  <w:noWrap w:val="0"/>
                  <w:vAlign w:val="center"/>
                </w:tcPr>
                <w:p w14:paraId="72A2F6D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2067807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0.000267</w:t>
                  </w:r>
                </w:p>
              </w:tc>
            </w:tr>
            <w:tr w14:paraId="74D04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75371C85">
                  <w:pPr>
                    <w:keepNext w:val="0"/>
                    <w:keepLines w:val="0"/>
                    <w:pageBreakBefore w:val="0"/>
                    <w:kinsoku/>
                    <w:wordWrap/>
                    <w:overflowPunct/>
                    <w:topLinePunct w:val="0"/>
                    <w:autoSpaceDE/>
                    <w:autoSpaceDN/>
                    <w:bidi w:val="0"/>
                    <w:adjustRightInd/>
                    <w:spacing w:line="320" w:lineRule="exact"/>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6</w:t>
                  </w:r>
                </w:p>
              </w:tc>
              <w:tc>
                <w:tcPr>
                  <w:tcW w:w="379" w:type="pct"/>
                  <w:vMerge w:val="restart"/>
                  <w:noWrap w:val="0"/>
                  <w:vAlign w:val="center"/>
                </w:tcPr>
                <w:p w14:paraId="25BC9443">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危险废物</w:t>
                  </w:r>
                </w:p>
              </w:tc>
              <w:tc>
                <w:tcPr>
                  <w:tcW w:w="836" w:type="pct"/>
                  <w:noWrap w:val="0"/>
                  <w:vAlign w:val="center"/>
                </w:tcPr>
                <w:p w14:paraId="4DC666CC">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Style w:val="95"/>
                      <w:rFonts w:hint="default" w:ascii="Times New Roman" w:hAnsi="Times New Roman" w:eastAsia="仿宋" w:cs="Times New Roman"/>
                      <w:sz w:val="21"/>
                      <w:szCs w:val="21"/>
                      <w:lang w:val="en-US" w:eastAsia="zh-CN" w:bidi="ar"/>
                    </w:rPr>
                    <w:t>废切削液</w:t>
                  </w:r>
                </w:p>
              </w:tc>
              <w:tc>
                <w:tcPr>
                  <w:tcW w:w="2086" w:type="dxa"/>
                  <w:noWrap w:val="0"/>
                  <w:vAlign w:val="center"/>
                </w:tcPr>
                <w:p w14:paraId="447368B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4</w:t>
                  </w:r>
                </w:p>
              </w:tc>
              <w:tc>
                <w:tcPr>
                  <w:tcW w:w="900" w:type="pct"/>
                  <w:noWrap w:val="0"/>
                  <w:vAlign w:val="center"/>
                </w:tcPr>
                <w:p w14:paraId="487B26F9">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0640560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5FCC40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noWrap w:val="0"/>
                  <w:vAlign w:val="center"/>
                </w:tcPr>
                <w:p w14:paraId="194D3933">
                  <w:pPr>
                    <w:keepNext w:val="0"/>
                    <w:keepLines w:val="0"/>
                    <w:pageBreakBefore w:val="0"/>
                    <w:kinsoku/>
                    <w:wordWrap/>
                    <w:overflowPunct/>
                    <w:topLinePunct w:val="0"/>
                    <w:autoSpaceDE/>
                    <w:autoSpaceDN/>
                    <w:bidi w:val="0"/>
                    <w:adjustRightInd/>
                    <w:spacing w:line="320" w:lineRule="exact"/>
                    <w:jc w:val="center"/>
                    <w:textAlignment w:val="auto"/>
                    <w:rPr>
                      <w:rFonts w:hint="eastAsia" w:ascii="Times New Roman" w:hAnsi="Times New Roman" w:eastAsia="仿宋" w:cs="Times New Roman"/>
                      <w:color w:val="auto"/>
                      <w:kern w:val="2"/>
                      <w:sz w:val="21"/>
                      <w:szCs w:val="21"/>
                      <w:lang w:val="en-US" w:eastAsia="zh-CN" w:bidi="ar-SA"/>
                    </w:rPr>
                  </w:pPr>
                  <w:r>
                    <w:rPr>
                      <w:rFonts w:hint="eastAsia" w:eastAsia="仿宋" w:cs="Times New Roman"/>
                      <w:color w:val="auto"/>
                      <w:sz w:val="21"/>
                      <w:szCs w:val="21"/>
                      <w:lang w:val="en-US" w:eastAsia="zh-CN"/>
                    </w:rPr>
                    <w:t>7</w:t>
                  </w:r>
                </w:p>
              </w:tc>
              <w:tc>
                <w:tcPr>
                  <w:tcW w:w="379" w:type="pct"/>
                  <w:vMerge w:val="continue"/>
                  <w:noWrap w:val="0"/>
                  <w:vAlign w:val="center"/>
                </w:tcPr>
                <w:p w14:paraId="7512E130">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lang w:val="en-US" w:eastAsia="zh-CN"/>
                    </w:rPr>
                  </w:pPr>
                </w:p>
              </w:tc>
              <w:tc>
                <w:tcPr>
                  <w:tcW w:w="836" w:type="pct"/>
                  <w:noWrap w:val="0"/>
                  <w:vAlign w:val="center"/>
                </w:tcPr>
                <w:p w14:paraId="7547D3A1">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废液压油</w:t>
                  </w:r>
                </w:p>
              </w:tc>
              <w:tc>
                <w:tcPr>
                  <w:tcW w:w="2086" w:type="dxa"/>
                  <w:noWrap w:val="0"/>
                  <w:vAlign w:val="center"/>
                </w:tcPr>
                <w:p w14:paraId="1F7AB36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0.05</w:t>
                  </w:r>
                </w:p>
              </w:tc>
              <w:tc>
                <w:tcPr>
                  <w:tcW w:w="900" w:type="pct"/>
                  <w:noWrap w:val="0"/>
                  <w:vAlign w:val="center"/>
                </w:tcPr>
                <w:p w14:paraId="69A0F6B9">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2500</w:t>
                  </w:r>
                </w:p>
              </w:tc>
              <w:tc>
                <w:tcPr>
                  <w:tcW w:w="1929" w:type="dxa"/>
                  <w:noWrap w:val="0"/>
                  <w:vAlign w:val="center"/>
                </w:tcPr>
                <w:p w14:paraId="4409959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0.00002</w:t>
                  </w:r>
                </w:p>
              </w:tc>
            </w:tr>
            <w:tr w14:paraId="2E4D6D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6C9A0CE5">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8</w:t>
                  </w:r>
                </w:p>
              </w:tc>
              <w:tc>
                <w:tcPr>
                  <w:tcW w:w="379" w:type="pct"/>
                  <w:vMerge w:val="continue"/>
                  <w:noWrap w:val="0"/>
                  <w:vAlign w:val="center"/>
                </w:tcPr>
                <w:p w14:paraId="78798A56">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p>
              </w:tc>
              <w:tc>
                <w:tcPr>
                  <w:tcW w:w="836" w:type="pct"/>
                  <w:noWrap w:val="0"/>
                  <w:vAlign w:val="center"/>
                </w:tcPr>
                <w:p w14:paraId="0A1C072F">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Style w:val="95"/>
                      <w:rFonts w:hint="default" w:ascii="Times New Roman" w:hAnsi="Times New Roman" w:eastAsia="仿宋" w:cs="Times New Roman"/>
                      <w:sz w:val="21"/>
                      <w:szCs w:val="21"/>
                      <w:lang w:val="en-US" w:eastAsia="zh-CN" w:bidi="ar"/>
                    </w:rPr>
                    <w:t>废珩磨油</w:t>
                  </w:r>
                </w:p>
              </w:tc>
              <w:tc>
                <w:tcPr>
                  <w:tcW w:w="2086" w:type="dxa"/>
                  <w:noWrap w:val="0"/>
                  <w:vAlign w:val="center"/>
                </w:tcPr>
                <w:p w14:paraId="126D575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0.1</w:t>
                  </w:r>
                </w:p>
              </w:tc>
              <w:tc>
                <w:tcPr>
                  <w:tcW w:w="900" w:type="pct"/>
                  <w:noWrap w:val="0"/>
                  <w:vAlign w:val="center"/>
                </w:tcPr>
                <w:p w14:paraId="3594D852">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2500</w:t>
                  </w:r>
                </w:p>
              </w:tc>
              <w:tc>
                <w:tcPr>
                  <w:tcW w:w="1929" w:type="dxa"/>
                  <w:noWrap w:val="0"/>
                  <w:vAlign w:val="center"/>
                </w:tcPr>
                <w:p w14:paraId="4E05588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0.00004</w:t>
                  </w:r>
                </w:p>
              </w:tc>
            </w:tr>
            <w:tr w14:paraId="0DF8E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01070899">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9</w:t>
                  </w:r>
                </w:p>
              </w:tc>
              <w:tc>
                <w:tcPr>
                  <w:tcW w:w="379" w:type="pct"/>
                  <w:vMerge w:val="continue"/>
                  <w:noWrap w:val="0"/>
                  <w:vAlign w:val="center"/>
                </w:tcPr>
                <w:p w14:paraId="13CAA9D9">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p>
              </w:tc>
              <w:tc>
                <w:tcPr>
                  <w:tcW w:w="836" w:type="pct"/>
                  <w:noWrap w:val="0"/>
                  <w:vAlign w:val="center"/>
                </w:tcPr>
                <w:p w14:paraId="2189617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废包装桶</w:t>
                  </w:r>
                </w:p>
              </w:tc>
              <w:tc>
                <w:tcPr>
                  <w:tcW w:w="2086" w:type="dxa"/>
                  <w:noWrap w:val="0"/>
                  <w:vAlign w:val="center"/>
                </w:tcPr>
                <w:p w14:paraId="7E0A301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0.2</w:t>
                  </w:r>
                </w:p>
              </w:tc>
              <w:tc>
                <w:tcPr>
                  <w:tcW w:w="900" w:type="pct"/>
                  <w:noWrap w:val="0"/>
                  <w:vAlign w:val="center"/>
                </w:tcPr>
                <w:p w14:paraId="73CB9A6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13AE885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4E0E2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7AEC5733">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10</w:t>
                  </w:r>
                </w:p>
              </w:tc>
              <w:tc>
                <w:tcPr>
                  <w:tcW w:w="379" w:type="pct"/>
                  <w:vMerge w:val="continue"/>
                  <w:noWrap w:val="0"/>
                  <w:vAlign w:val="center"/>
                </w:tcPr>
                <w:p w14:paraId="5CF57F39">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p>
              </w:tc>
              <w:tc>
                <w:tcPr>
                  <w:tcW w:w="836" w:type="pct"/>
                  <w:noWrap w:val="0"/>
                  <w:vAlign w:val="center"/>
                </w:tcPr>
                <w:p w14:paraId="6AD8E4CB">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清洗废液</w:t>
                  </w:r>
                </w:p>
              </w:tc>
              <w:tc>
                <w:tcPr>
                  <w:tcW w:w="2086" w:type="dxa"/>
                  <w:noWrap w:val="0"/>
                  <w:vAlign w:val="center"/>
                </w:tcPr>
                <w:p w14:paraId="79C03EB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8.64</w:t>
                  </w:r>
                </w:p>
              </w:tc>
              <w:tc>
                <w:tcPr>
                  <w:tcW w:w="900" w:type="pct"/>
                  <w:noWrap w:val="0"/>
                  <w:vAlign w:val="center"/>
                </w:tcPr>
                <w:p w14:paraId="33A710AD">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6622E03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0.0432</w:t>
                  </w:r>
                </w:p>
              </w:tc>
            </w:tr>
            <w:tr w14:paraId="1A7FD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64EC16FD">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11</w:t>
                  </w:r>
                </w:p>
              </w:tc>
              <w:tc>
                <w:tcPr>
                  <w:tcW w:w="379" w:type="pct"/>
                  <w:vMerge w:val="continue"/>
                  <w:noWrap w:val="0"/>
                  <w:vAlign w:val="center"/>
                </w:tcPr>
                <w:p w14:paraId="7B94F074">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p>
              </w:tc>
              <w:tc>
                <w:tcPr>
                  <w:tcW w:w="836" w:type="pct"/>
                  <w:noWrap w:val="0"/>
                  <w:vAlign w:val="center"/>
                </w:tcPr>
                <w:p w14:paraId="5541317A">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沾染废液的废抹布、手套、拖把等</w:t>
                  </w:r>
                </w:p>
              </w:tc>
              <w:tc>
                <w:tcPr>
                  <w:tcW w:w="2086" w:type="dxa"/>
                  <w:noWrap w:val="0"/>
                  <w:vAlign w:val="center"/>
                </w:tcPr>
                <w:p w14:paraId="2C84C57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0.2</w:t>
                  </w:r>
                </w:p>
              </w:tc>
              <w:tc>
                <w:tcPr>
                  <w:tcW w:w="900" w:type="pct"/>
                  <w:noWrap w:val="0"/>
                  <w:vAlign w:val="center"/>
                </w:tcPr>
                <w:p w14:paraId="26C0EAD5">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566458E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0.001</w:t>
                  </w:r>
                </w:p>
              </w:tc>
            </w:tr>
            <w:tr w14:paraId="0B1EB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43AF785A">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12</w:t>
                  </w:r>
                </w:p>
              </w:tc>
              <w:tc>
                <w:tcPr>
                  <w:tcW w:w="379" w:type="pct"/>
                  <w:vMerge w:val="continue"/>
                  <w:noWrap w:val="0"/>
                  <w:vAlign w:val="center"/>
                </w:tcPr>
                <w:p w14:paraId="0B4F2A51">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lang w:val="en-US" w:eastAsia="zh-CN"/>
                    </w:rPr>
                  </w:pPr>
                </w:p>
              </w:tc>
              <w:tc>
                <w:tcPr>
                  <w:tcW w:w="836" w:type="pct"/>
                  <w:noWrap w:val="0"/>
                  <w:vAlign w:val="center"/>
                </w:tcPr>
                <w:p w14:paraId="62CD200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废过滤纸</w:t>
                  </w:r>
                </w:p>
              </w:tc>
              <w:tc>
                <w:tcPr>
                  <w:tcW w:w="2086" w:type="dxa"/>
                  <w:noWrap w:val="0"/>
                  <w:vAlign w:val="center"/>
                </w:tcPr>
                <w:p w14:paraId="1BBD73F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0.1</w:t>
                  </w:r>
                </w:p>
              </w:tc>
              <w:tc>
                <w:tcPr>
                  <w:tcW w:w="900" w:type="pct"/>
                  <w:noWrap w:val="0"/>
                  <w:vAlign w:val="center"/>
                </w:tcPr>
                <w:p w14:paraId="1E7EE314">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54FC349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0.0005</w:t>
                  </w:r>
                </w:p>
              </w:tc>
            </w:tr>
            <w:tr w14:paraId="782C8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pct"/>
                  <w:shd w:val="clear" w:color="auto" w:fill="auto"/>
                  <w:noWrap w:val="0"/>
                  <w:vAlign w:val="center"/>
                </w:tcPr>
                <w:p w14:paraId="46851521">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13</w:t>
                  </w:r>
                </w:p>
              </w:tc>
              <w:tc>
                <w:tcPr>
                  <w:tcW w:w="379" w:type="pct"/>
                  <w:vMerge w:val="continue"/>
                  <w:noWrap w:val="0"/>
                  <w:vAlign w:val="center"/>
                </w:tcPr>
                <w:p w14:paraId="6E836021">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lang w:val="en-US" w:eastAsia="zh-CN"/>
                    </w:rPr>
                  </w:pPr>
                </w:p>
              </w:tc>
              <w:tc>
                <w:tcPr>
                  <w:tcW w:w="836" w:type="pct"/>
                  <w:noWrap w:val="0"/>
                  <w:vAlign w:val="center"/>
                </w:tcPr>
                <w:p w14:paraId="496A2715">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i w:val="0"/>
                      <w:iCs w:val="0"/>
                      <w:color w:val="000000"/>
                      <w:kern w:val="0"/>
                      <w:sz w:val="21"/>
                      <w:szCs w:val="21"/>
                      <w:u w:val="none"/>
                      <w:lang w:val="en-US" w:eastAsia="zh-CN" w:bidi="ar"/>
                    </w:rPr>
                    <w:t>磨床灰</w:t>
                  </w:r>
                </w:p>
              </w:tc>
              <w:tc>
                <w:tcPr>
                  <w:tcW w:w="2086" w:type="dxa"/>
                  <w:noWrap w:val="0"/>
                  <w:vAlign w:val="center"/>
                </w:tcPr>
                <w:p w14:paraId="3168BA9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仿宋" w:cs="Times New Roman"/>
                      <w:i w:val="0"/>
                      <w:iCs w:val="0"/>
                      <w:color w:val="000000"/>
                      <w:kern w:val="0"/>
                      <w:sz w:val="21"/>
                      <w:szCs w:val="21"/>
                      <w:u w:val="none"/>
                      <w:lang w:val="en-US" w:eastAsia="zh-CN" w:bidi="ar"/>
                    </w:rPr>
                    <w:t>2</w:t>
                  </w:r>
                </w:p>
              </w:tc>
              <w:tc>
                <w:tcPr>
                  <w:tcW w:w="900" w:type="pct"/>
                  <w:noWrap w:val="0"/>
                  <w:vAlign w:val="center"/>
                </w:tcPr>
                <w:p w14:paraId="5FD0A6E1">
                  <w:pPr>
                    <w:keepNext w:val="0"/>
                    <w:keepLines w:val="0"/>
                    <w:widowControl/>
                    <w:suppressLineNumbers w:val="0"/>
                    <w:jc w:val="center"/>
                    <w:textAlignment w:val="center"/>
                    <w:rPr>
                      <w:rFonts w:hint="default" w:ascii="Times New Roman" w:hAnsi="Times New Roman" w:eastAsia="仿宋" w:cs="Times New Roman"/>
                      <w:color w:val="auto"/>
                      <w:sz w:val="21"/>
                      <w:szCs w:val="21"/>
                    </w:rPr>
                  </w:pPr>
                  <w:r>
                    <w:rPr>
                      <w:rFonts w:hint="default" w:ascii="Times New Roman" w:hAnsi="Times New Roman" w:eastAsia="仿宋" w:cs="Times New Roman"/>
                      <w:i w:val="0"/>
                      <w:iCs w:val="0"/>
                      <w:color w:val="000000"/>
                      <w:kern w:val="0"/>
                      <w:sz w:val="21"/>
                      <w:szCs w:val="21"/>
                      <w:u w:val="none"/>
                      <w:lang w:val="en-US" w:eastAsia="zh-CN" w:bidi="ar"/>
                    </w:rPr>
                    <w:t>200</w:t>
                  </w:r>
                </w:p>
              </w:tc>
              <w:tc>
                <w:tcPr>
                  <w:tcW w:w="1929" w:type="dxa"/>
                  <w:noWrap w:val="0"/>
                  <w:vAlign w:val="center"/>
                </w:tcPr>
                <w:p w14:paraId="1E4058E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389827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51" w:type="pct"/>
                  <w:gridSpan w:val="3"/>
                  <w:noWrap w:val="0"/>
                  <w:vAlign w:val="center"/>
                </w:tcPr>
                <w:p w14:paraId="127B6E9A">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合计</w:t>
                  </w:r>
                </w:p>
              </w:tc>
              <w:tc>
                <w:tcPr>
                  <w:tcW w:w="1272" w:type="pct"/>
                  <w:noWrap w:val="0"/>
                  <w:vAlign w:val="center"/>
                </w:tcPr>
                <w:p w14:paraId="01D8A555">
                  <w:pPr>
                    <w:keepNext w:val="0"/>
                    <w:keepLines w:val="0"/>
                    <w:pageBreakBefore w:val="0"/>
                    <w:kinsoku/>
                    <w:wordWrap/>
                    <w:overflowPunct/>
                    <w:topLinePunct w:val="0"/>
                    <w:autoSpaceDE/>
                    <w:autoSpaceDN/>
                    <w:bidi w:val="0"/>
                    <w:adjustRightInd/>
                    <w:spacing w:line="320" w:lineRule="exact"/>
                    <w:jc w:val="center"/>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900" w:type="pct"/>
                  <w:noWrap w:val="0"/>
                  <w:vAlign w:val="center"/>
                </w:tcPr>
                <w:p w14:paraId="08A408BE">
                  <w:pPr>
                    <w:keepNext w:val="0"/>
                    <w:keepLines w:val="0"/>
                    <w:widowControl/>
                    <w:suppressLineNumbers w:val="0"/>
                    <w:jc w:val="center"/>
                    <w:textAlignment w:val="center"/>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w:t>
                  </w:r>
                </w:p>
              </w:tc>
              <w:tc>
                <w:tcPr>
                  <w:tcW w:w="1929" w:type="dxa"/>
                  <w:noWrap w:val="0"/>
                  <w:vAlign w:val="center"/>
                </w:tcPr>
                <w:p w14:paraId="41C7BB2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0.078163</w:t>
                  </w:r>
                </w:p>
              </w:tc>
            </w:tr>
          </w:tbl>
          <w:p w14:paraId="222564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经分析可知，本项目Q＜1，环境风险势能直接判断为I等级，根据《建设项目环境风险评价技术导则》（HJ169-2018）相关要求，对本项目评价内容进行简单分析。</w:t>
            </w:r>
          </w:p>
          <w:p w14:paraId="02D315C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8.2风险评价</w:t>
            </w:r>
          </w:p>
          <w:p w14:paraId="2DF95A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①评价依据：根据评价工作等级划分，本项目环境风险势能直接判断为I等级。</w:t>
            </w:r>
          </w:p>
          <w:p w14:paraId="083E002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②环境敏感目标概况：本项目周边500m范围内无敏感目标。</w:t>
            </w:r>
          </w:p>
          <w:p w14:paraId="3E7B56D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③环境风险识别：危废仓库内有储存的废液压油、废珩磨油、清洗废液等，一旦泄漏或倾洒冲刷进入雨水管网，对水环境存在一定风险。</w:t>
            </w:r>
          </w:p>
          <w:p w14:paraId="7DE9FF2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④环境风险分析：若危废仓库中暂存的各类危废等泄漏液进入雨水管网，会对周围环境造成一定的影响。另外，车间内电路破损存在触电的危险，短路造成的火灾危险；机械设备还可能导致机械伤害、触电等事故。</w:t>
            </w:r>
          </w:p>
          <w:p w14:paraId="248A126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⑤环境风险防范措施及应急要求：</w:t>
            </w:r>
          </w:p>
          <w:p w14:paraId="2417820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a.建筑安全防范措施</w:t>
            </w:r>
          </w:p>
          <w:p w14:paraId="36CEECA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定期检查、维护生产中使用的设备、仓库，确保各设施、设备正常运行。</w:t>
            </w:r>
          </w:p>
          <w:p w14:paraId="0349CD15">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危废仓库均配备黄沙箱、应急桶等，用于对泄漏危废进行应急暂存。</w:t>
            </w:r>
          </w:p>
          <w:p w14:paraId="3353ED2D">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生产区和各仓库均严禁烟火，同时设置干粉灭火器和泡沫灭火器、消防砂；厂内采用电话报警，专人负责，发生火灾时，及时向有关负责人通报火警；根据实际情况设置感烟、感温探测器及手动报警按钮等。</w:t>
            </w:r>
          </w:p>
          <w:p w14:paraId="7B381B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生产现场设置各种安全标志。按照规范对凡需要迅速发现并引起注意以防发生事故的场所、部位均按要求涂安全色。</w:t>
            </w:r>
          </w:p>
          <w:p w14:paraId="3A8FE0F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一旦发生火灾，应立即停止生产，迅速使用厂内灭火器材，同时，通知镇、区消防支队；并迅速疏散厂内职工和周围群众撤离现场。</w:t>
            </w:r>
          </w:p>
          <w:p w14:paraId="10F83CE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加强工厂、车间的安全环保管理，对全厂职工进行安全环保的教育和培训，实行上岗证制度。</w:t>
            </w:r>
          </w:p>
          <w:p w14:paraId="73B9E6A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定期检查生产和原料贮存区，杜绝事故隐患，降低事故发生概率。</w:t>
            </w:r>
          </w:p>
          <w:p w14:paraId="2111AD07">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配备24小时有效的报警装置，建立有效的内部、外部通讯联络手段。</w:t>
            </w:r>
          </w:p>
          <w:p w14:paraId="4CD1B936">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b.原辅材料储存防范措施</w:t>
            </w:r>
          </w:p>
          <w:p w14:paraId="476B6F5E">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建立严格的出入库管理制度（如收发手续、装卸规定等），物品入库时，严格检查其数量、包装情况，发现包装破损泄漏的立即处理。</w:t>
            </w:r>
          </w:p>
          <w:p w14:paraId="79037B5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按物料理化特性，合理贮存，仓库内保持安全通道畅通。</w:t>
            </w:r>
          </w:p>
          <w:p w14:paraId="7CA39E88">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装卸、搬运做到轻装、轻卸。严禁摔、碰、撞、击、拖拉、倾斜和滚动，防止包装袋、容器破损致物品外泄。</w:t>
            </w:r>
          </w:p>
          <w:p w14:paraId="3AC75A2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c.火灾事故的防范措施</w:t>
            </w:r>
          </w:p>
          <w:p w14:paraId="233F111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定期对设备进行安全检测，检测内容、时间、人员应有记录保存，安全检测应根据设备的安全性、危险性设定检测频次。</w:t>
            </w:r>
          </w:p>
          <w:p w14:paraId="0F1971C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应加强火源的管理，严禁烟火带入，对设备需进行维修焊接，应经安全部门确认、准许，并有记录。</w:t>
            </w:r>
          </w:p>
          <w:p w14:paraId="1C22E724">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要有完善的安全消防措施。从平面布置上，本厂生产装置区等各功能区之间应按国家消防安全规定，设置足够的安全距离和道路，以便安全疏散和消防。各重点部位设备应设置完善的报警联锁系统、以及水消防系统和灭火器等。在必要的地方分别安装火灾报警仪、有毒气体探测器、感烟或感温探测器等，构成自动报警监测系统，并且对该系统作定期检查。</w:t>
            </w:r>
          </w:p>
          <w:p w14:paraId="2CEAEC5B">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d.固废风险防范措施</w:t>
            </w:r>
          </w:p>
          <w:p w14:paraId="741C237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危废仓库按照《危险废物贮存污染控制标准》（GB18597-2023）、省生态环境厅关于做好《危险废物贮存污染控制标准》等标准规范实施后危险废物环境管理衔接工作的通知（苏环办[2023]154号）等文件要求设置环境保护图形标志。</w:t>
            </w:r>
          </w:p>
          <w:p w14:paraId="3A9D5A80">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加强危废仓库防雨、防渗漏等风险防范措施，严格做到防火、防风、防雨、防晒、防扬散、防渗漏。</w:t>
            </w:r>
          </w:p>
          <w:p w14:paraId="6F60B82F">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危废仓库内部需设置视频监控设施以及各类消防应急设施；按危险废物的管理规定进行建档、转移登记。固体废物清运过程中，应严格按规范操作，严禁跑、冒、滴、漏，一旦发生泄漏，及时清理，妥善包装后送至指定的固废存放点。</w:t>
            </w:r>
          </w:p>
          <w:p w14:paraId="25DEB21C">
            <w:pPr>
              <w:spacing w:line="240" w:lineRule="auto"/>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表4-22  本项目环境风险简单分析内容表</w:t>
            </w:r>
          </w:p>
          <w:tbl>
            <w:tblPr>
              <w:tblStyle w:val="24"/>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5"/>
              <w:gridCol w:w="1383"/>
              <w:gridCol w:w="1764"/>
              <w:gridCol w:w="1503"/>
              <w:gridCol w:w="1521"/>
            </w:tblGrid>
            <w:tr w14:paraId="630E51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op w:val="single" w:color="auto" w:sz="12" w:space="0"/>
                    <w:left w:val="nil"/>
                    <w:bottom w:val="single" w:color="auto" w:sz="4" w:space="0"/>
                    <w:right w:val="single" w:color="auto" w:sz="4" w:space="0"/>
                  </w:tcBorders>
                  <w:noWrap w:val="0"/>
                  <w:vAlign w:val="center"/>
                </w:tcPr>
                <w:p w14:paraId="6F7DFD76">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建设项目名称</w:t>
                  </w:r>
                </w:p>
              </w:tc>
              <w:tc>
                <w:tcPr>
                  <w:tcW w:w="3801" w:type="pct"/>
                  <w:gridSpan w:val="4"/>
                  <w:tcBorders>
                    <w:top w:val="single" w:color="auto" w:sz="12" w:space="0"/>
                    <w:left w:val="single" w:color="auto" w:sz="4" w:space="0"/>
                    <w:bottom w:val="single" w:color="auto" w:sz="4" w:space="0"/>
                    <w:right w:val="nil"/>
                  </w:tcBorders>
                  <w:noWrap w:val="0"/>
                  <w:vAlign w:val="center"/>
                </w:tcPr>
                <w:p w14:paraId="5B4E0BFD">
                  <w:pPr>
                    <w:adjustRightInd w:val="0"/>
                    <w:snapToGrid w:val="0"/>
                    <w:spacing w:line="26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eastAsia="zh-CN"/>
                    </w:rPr>
                    <w:t>年产步进电机100万台、直流无刷电机20万台、驱动器30万台项目</w:t>
                  </w:r>
                </w:p>
              </w:tc>
            </w:tr>
            <w:tr w14:paraId="2DA738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op w:val="single" w:color="auto" w:sz="4" w:space="0"/>
                    <w:left w:val="nil"/>
                    <w:bottom w:val="single" w:color="auto" w:sz="4" w:space="0"/>
                    <w:right w:val="single" w:color="auto" w:sz="4" w:space="0"/>
                  </w:tcBorders>
                  <w:noWrap w:val="0"/>
                  <w:vAlign w:val="center"/>
                </w:tcPr>
                <w:p w14:paraId="7B745214">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建设地点</w:t>
                  </w:r>
                </w:p>
              </w:tc>
              <w:tc>
                <w:tcPr>
                  <w:tcW w:w="3801" w:type="pct"/>
                  <w:gridSpan w:val="4"/>
                  <w:tcBorders>
                    <w:top w:val="single" w:color="auto" w:sz="4" w:space="0"/>
                    <w:left w:val="single" w:color="auto" w:sz="4" w:space="0"/>
                    <w:bottom w:val="single" w:color="auto" w:sz="4" w:space="0"/>
                    <w:right w:val="nil"/>
                  </w:tcBorders>
                  <w:noWrap w:val="0"/>
                  <w:vAlign w:val="center"/>
                </w:tcPr>
                <w:p w14:paraId="6E62CD19">
                  <w:pPr>
                    <w:adjustRightInd w:val="0"/>
                    <w:snapToGrid w:val="0"/>
                    <w:spacing w:line="260" w:lineRule="exact"/>
                    <w:jc w:val="cente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江苏武进经济开发区</w:t>
                  </w:r>
                  <w:r>
                    <w:rPr>
                      <w:rFonts w:hint="default" w:ascii="Times New Roman" w:hAnsi="Times New Roman" w:eastAsia="仿宋" w:cs="Times New Roman"/>
                      <w:color w:val="auto"/>
                      <w:lang w:eastAsia="zh-CN"/>
                    </w:rPr>
                    <w:t>西湖街道长秀路8号</w:t>
                  </w:r>
                </w:p>
                <w:p w14:paraId="0C569934">
                  <w:pPr>
                    <w:adjustRightInd w:val="0"/>
                    <w:snapToGrid w:val="0"/>
                    <w:spacing w:line="26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lang w:eastAsia="zh-CN"/>
                    </w:rPr>
                    <w:t>（坤鼎常州创新产业基地9幢）</w:t>
                  </w:r>
                </w:p>
              </w:tc>
            </w:tr>
            <w:tr w14:paraId="56B3DA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op w:val="single" w:color="auto" w:sz="4" w:space="0"/>
                    <w:left w:val="nil"/>
                    <w:bottom w:val="single" w:color="auto" w:sz="4" w:space="0"/>
                    <w:right w:val="single" w:color="auto" w:sz="4" w:space="0"/>
                  </w:tcBorders>
                  <w:noWrap w:val="0"/>
                  <w:vAlign w:val="center"/>
                </w:tcPr>
                <w:p w14:paraId="485BFFE8">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地理坐标</w:t>
                  </w:r>
                </w:p>
              </w:tc>
              <w:tc>
                <w:tcPr>
                  <w:tcW w:w="852" w:type="pct"/>
                  <w:tcBorders>
                    <w:top w:val="single" w:color="auto" w:sz="4" w:space="0"/>
                    <w:left w:val="single" w:color="auto" w:sz="4" w:space="0"/>
                    <w:bottom w:val="single" w:color="auto" w:sz="4" w:space="0"/>
                    <w:right w:val="single" w:color="auto" w:sz="4" w:space="0"/>
                  </w:tcBorders>
                  <w:noWrap w:val="0"/>
                  <w:vAlign w:val="center"/>
                </w:tcPr>
                <w:p w14:paraId="45586886">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经度</w:t>
                  </w:r>
                </w:p>
              </w:tc>
              <w:tc>
                <w:tcPr>
                  <w:tcW w:w="1087" w:type="pct"/>
                  <w:tcBorders>
                    <w:top w:val="single" w:color="auto" w:sz="4" w:space="0"/>
                    <w:left w:val="single" w:color="auto" w:sz="4" w:space="0"/>
                    <w:bottom w:val="single" w:color="auto" w:sz="4" w:space="0"/>
                    <w:right w:val="single" w:color="auto" w:sz="4" w:space="0"/>
                  </w:tcBorders>
                  <w:noWrap w:val="0"/>
                  <w:vAlign w:val="center"/>
                </w:tcPr>
                <w:p w14:paraId="1F0EA990">
                  <w:pPr>
                    <w:adjustRightInd w:val="0"/>
                    <w:snapToGrid w:val="0"/>
                    <w:spacing w:line="260" w:lineRule="exact"/>
                    <w:jc w:val="center"/>
                    <w:rPr>
                      <w:rFonts w:hint="default" w:ascii="Times New Roman" w:hAnsi="Times New Roman" w:eastAsia="仿宋" w:cs="Times New Roman"/>
                      <w:color w:val="auto"/>
                      <w:lang w:eastAsia="zh-CN"/>
                    </w:rPr>
                  </w:pPr>
                  <w:r>
                    <w:rPr>
                      <w:rFonts w:hint="default" w:ascii="Times New Roman" w:hAnsi="Times New Roman" w:eastAsia="仿宋" w:cs="Times New Roman"/>
                      <w:color w:val="auto"/>
                    </w:rPr>
                    <w:t>119.812845</w:t>
                  </w:r>
                </w:p>
              </w:tc>
              <w:tc>
                <w:tcPr>
                  <w:tcW w:w="926" w:type="pct"/>
                  <w:tcBorders>
                    <w:top w:val="single" w:color="auto" w:sz="4" w:space="0"/>
                    <w:left w:val="single" w:color="auto" w:sz="4" w:space="0"/>
                    <w:bottom w:val="single" w:color="auto" w:sz="4" w:space="0"/>
                    <w:right w:val="single" w:color="auto" w:sz="4" w:space="0"/>
                  </w:tcBorders>
                  <w:noWrap w:val="0"/>
                  <w:vAlign w:val="center"/>
                </w:tcPr>
                <w:p w14:paraId="250A70E0">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纬度</w:t>
                  </w:r>
                </w:p>
              </w:tc>
              <w:tc>
                <w:tcPr>
                  <w:tcW w:w="933" w:type="pct"/>
                  <w:tcBorders>
                    <w:top w:val="single" w:color="auto" w:sz="4" w:space="0"/>
                    <w:left w:val="single" w:color="auto" w:sz="4" w:space="0"/>
                    <w:bottom w:val="single" w:color="auto" w:sz="4" w:space="0"/>
                    <w:right w:val="nil"/>
                  </w:tcBorders>
                  <w:noWrap w:val="0"/>
                  <w:vAlign w:val="center"/>
                </w:tcPr>
                <w:p w14:paraId="2C38F6E1">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31.731030</w:t>
                  </w:r>
                </w:p>
              </w:tc>
            </w:tr>
            <w:tr w14:paraId="13E14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op w:val="single" w:color="auto" w:sz="4" w:space="0"/>
                    <w:left w:val="nil"/>
                    <w:bottom w:val="single" w:color="auto" w:sz="4" w:space="0"/>
                    <w:right w:val="single" w:color="auto" w:sz="4" w:space="0"/>
                  </w:tcBorders>
                  <w:noWrap w:val="0"/>
                  <w:vAlign w:val="center"/>
                </w:tcPr>
                <w:p w14:paraId="5AA64503">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主要危险物</w:t>
                  </w:r>
                </w:p>
                <w:p w14:paraId="49FD2FC0">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质及分布</w:t>
                  </w:r>
                </w:p>
              </w:tc>
              <w:tc>
                <w:tcPr>
                  <w:tcW w:w="3801" w:type="pct"/>
                  <w:gridSpan w:val="4"/>
                  <w:tcBorders>
                    <w:top w:val="single" w:color="auto" w:sz="4" w:space="0"/>
                    <w:left w:val="single" w:color="auto" w:sz="4" w:space="0"/>
                    <w:bottom w:val="single" w:color="auto" w:sz="4" w:space="0"/>
                    <w:right w:val="nil"/>
                  </w:tcBorders>
                  <w:noWrap w:val="0"/>
                  <w:vAlign w:val="center"/>
                </w:tcPr>
                <w:p w14:paraId="32213915">
                  <w:pPr>
                    <w:rPr>
                      <w:rFonts w:hint="default" w:ascii="Times New Roman" w:hAnsi="Times New Roman" w:eastAsia="仿宋" w:cs="Times New Roman"/>
                      <w:color w:val="auto"/>
                      <w:spacing w:val="-6"/>
                      <w:szCs w:val="21"/>
                    </w:rPr>
                  </w:pPr>
                  <w:r>
                    <w:rPr>
                      <w:rFonts w:hint="default" w:ascii="Times New Roman" w:hAnsi="Times New Roman" w:eastAsia="仿宋" w:cs="Times New Roman"/>
                      <w:color w:val="auto"/>
                      <w:spacing w:val="-6"/>
                      <w:szCs w:val="21"/>
                    </w:rPr>
                    <w:t>主要危险物质：原辅材料（</w:t>
                  </w:r>
                  <w:r>
                    <w:rPr>
                      <w:rFonts w:hint="default" w:ascii="Times New Roman" w:hAnsi="Times New Roman" w:eastAsia="仿宋" w:cs="Times New Roman"/>
                      <w:color w:val="auto"/>
                      <w:spacing w:val="-6"/>
                      <w:szCs w:val="21"/>
                      <w:lang w:val="en-US" w:eastAsia="zh-CN"/>
                    </w:rPr>
                    <w:t>液压油、珩磨油、切削液、清洗剂</w:t>
                  </w:r>
                  <w:r>
                    <w:rPr>
                      <w:rFonts w:hint="eastAsia" w:eastAsia="仿宋" w:cs="Times New Roman"/>
                      <w:color w:val="auto"/>
                      <w:spacing w:val="-6"/>
                      <w:szCs w:val="21"/>
                      <w:lang w:val="en-US" w:eastAsia="zh-CN"/>
                    </w:rPr>
                    <w:t>、胶水</w:t>
                  </w:r>
                  <w:r>
                    <w:rPr>
                      <w:rFonts w:hint="default" w:ascii="Times New Roman" w:hAnsi="Times New Roman" w:eastAsia="仿宋" w:cs="Times New Roman"/>
                      <w:color w:val="auto"/>
                      <w:spacing w:val="-6"/>
                      <w:szCs w:val="21"/>
                      <w:lang w:val="en-US" w:eastAsia="zh-CN"/>
                    </w:rPr>
                    <w:t>等</w:t>
                  </w:r>
                  <w:r>
                    <w:rPr>
                      <w:rFonts w:hint="default" w:ascii="Times New Roman" w:hAnsi="Times New Roman" w:eastAsia="仿宋" w:cs="Times New Roman"/>
                      <w:color w:val="auto"/>
                      <w:spacing w:val="-6"/>
                      <w:szCs w:val="21"/>
                    </w:rPr>
                    <w:t>）、危险废物（</w:t>
                  </w:r>
                  <w:r>
                    <w:rPr>
                      <w:rFonts w:hint="default" w:ascii="Times New Roman" w:hAnsi="Times New Roman" w:eastAsia="仿宋" w:cs="Times New Roman"/>
                      <w:color w:val="auto"/>
                      <w:spacing w:val="-6"/>
                      <w:szCs w:val="21"/>
                      <w:lang w:val="en-US" w:eastAsia="zh-CN"/>
                    </w:rPr>
                    <w:t>废珩磨油、废切削液、磨床灰</w:t>
                  </w:r>
                  <w:r>
                    <w:rPr>
                      <w:rFonts w:hint="default" w:ascii="Times New Roman" w:hAnsi="Times New Roman" w:eastAsia="仿宋" w:cs="Times New Roman"/>
                      <w:color w:val="auto"/>
                      <w:spacing w:val="-6"/>
                      <w:szCs w:val="21"/>
                    </w:rPr>
                    <w:t>、清洗废液</w:t>
                  </w:r>
                  <w:r>
                    <w:rPr>
                      <w:rFonts w:hint="default" w:ascii="Times New Roman" w:hAnsi="Times New Roman" w:eastAsia="仿宋" w:cs="Times New Roman"/>
                      <w:color w:val="auto"/>
                      <w:spacing w:val="-6"/>
                      <w:szCs w:val="21"/>
                      <w:lang w:val="en-US" w:eastAsia="zh-CN"/>
                    </w:rPr>
                    <w:t>等</w:t>
                  </w:r>
                  <w:r>
                    <w:rPr>
                      <w:rFonts w:hint="default" w:ascii="Times New Roman" w:hAnsi="Times New Roman" w:eastAsia="仿宋" w:cs="Times New Roman"/>
                      <w:color w:val="auto"/>
                      <w:spacing w:val="-6"/>
                      <w:szCs w:val="21"/>
                    </w:rPr>
                    <w:t>）</w:t>
                  </w:r>
                </w:p>
                <w:p w14:paraId="7CE8F7A4">
                  <w:pPr>
                    <w:adjustRightInd w:val="0"/>
                    <w:snapToGrid w:val="0"/>
                    <w:spacing w:line="260" w:lineRule="exact"/>
                    <w:rPr>
                      <w:rFonts w:hint="default" w:ascii="Times New Roman" w:hAnsi="Times New Roman" w:eastAsia="仿宋" w:cs="Times New Roman"/>
                      <w:b/>
                      <w:bCs/>
                      <w:color w:val="auto"/>
                      <w:lang w:eastAsia="zh-CN"/>
                    </w:rPr>
                  </w:pPr>
                  <w:r>
                    <w:rPr>
                      <w:rFonts w:hint="default" w:ascii="Times New Roman" w:hAnsi="Times New Roman" w:eastAsia="仿宋" w:cs="Times New Roman"/>
                      <w:color w:val="auto"/>
                      <w:szCs w:val="21"/>
                    </w:rPr>
                    <w:t>分布情况：</w:t>
                  </w:r>
                  <w:r>
                    <w:rPr>
                      <w:rFonts w:hint="default" w:ascii="Times New Roman" w:hAnsi="Times New Roman" w:eastAsia="仿宋" w:cs="Times New Roman"/>
                      <w:color w:val="auto"/>
                      <w:szCs w:val="21"/>
                      <w:lang w:val="en-US" w:eastAsia="zh-CN"/>
                    </w:rPr>
                    <w:t>生产</w:t>
                  </w:r>
                  <w:r>
                    <w:rPr>
                      <w:rFonts w:hint="default" w:ascii="Times New Roman" w:hAnsi="Times New Roman" w:eastAsia="仿宋" w:cs="Times New Roman"/>
                      <w:color w:val="auto"/>
                      <w:szCs w:val="21"/>
                    </w:rPr>
                    <w:t>车间、</w:t>
                  </w:r>
                  <w:r>
                    <w:rPr>
                      <w:rFonts w:hint="default" w:ascii="Times New Roman" w:hAnsi="Times New Roman" w:eastAsia="仿宋" w:cs="Times New Roman"/>
                      <w:color w:val="auto"/>
                      <w:szCs w:val="21"/>
                      <w:lang w:eastAsia="zh-CN"/>
                    </w:rPr>
                    <w:t>危废仓库</w:t>
                  </w:r>
                </w:p>
              </w:tc>
            </w:tr>
            <w:tr w14:paraId="6D859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98" w:type="pct"/>
                  <w:tcBorders>
                    <w:top w:val="single" w:color="auto" w:sz="4" w:space="0"/>
                    <w:left w:val="nil"/>
                    <w:bottom w:val="single" w:color="auto" w:sz="4" w:space="0"/>
                    <w:right w:val="single" w:color="auto" w:sz="4" w:space="0"/>
                  </w:tcBorders>
                  <w:noWrap w:val="0"/>
                  <w:vAlign w:val="center"/>
                </w:tcPr>
                <w:p w14:paraId="0FE52C34">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环境影响途径及危害后果（大气、地表水、地下水等）</w:t>
                  </w:r>
                </w:p>
              </w:tc>
              <w:tc>
                <w:tcPr>
                  <w:tcW w:w="3801" w:type="pct"/>
                  <w:gridSpan w:val="4"/>
                  <w:tcBorders>
                    <w:top w:val="single" w:color="auto" w:sz="4" w:space="0"/>
                    <w:left w:val="single" w:color="auto" w:sz="4" w:space="0"/>
                    <w:bottom w:val="single" w:color="auto" w:sz="4" w:space="0"/>
                    <w:right w:val="nil"/>
                  </w:tcBorders>
                  <w:noWrap w:val="0"/>
                  <w:vAlign w:val="center"/>
                </w:tcPr>
                <w:p w14:paraId="4F77C45A">
                  <w:pPr>
                    <w:adjustRightInd w:val="0"/>
                    <w:snapToGrid w:val="0"/>
                    <w:spacing w:line="260" w:lineRule="exact"/>
                    <w:rPr>
                      <w:rFonts w:hint="default" w:ascii="Times New Roman" w:hAnsi="Times New Roman" w:eastAsia="仿宋" w:cs="Times New Roman"/>
                      <w:color w:val="auto"/>
                    </w:rPr>
                  </w:pPr>
                  <w:r>
                    <w:rPr>
                      <w:rFonts w:hint="default" w:ascii="Times New Roman" w:hAnsi="Times New Roman" w:eastAsia="仿宋" w:cs="Times New Roman"/>
                      <w:bCs/>
                      <w:color w:val="auto"/>
                      <w:spacing w:val="-6"/>
                      <w:szCs w:val="21"/>
                    </w:rPr>
                    <w:t>若</w:t>
                  </w:r>
                  <w:r>
                    <w:rPr>
                      <w:rFonts w:hint="default" w:ascii="Times New Roman" w:hAnsi="Times New Roman" w:eastAsia="仿宋" w:cs="Times New Roman"/>
                      <w:color w:val="auto"/>
                      <w:spacing w:val="-6"/>
                      <w:szCs w:val="21"/>
                      <w:lang w:val="en-US" w:eastAsia="zh-CN"/>
                    </w:rPr>
                    <w:t>原辅材料</w:t>
                  </w:r>
                  <w:r>
                    <w:rPr>
                      <w:rFonts w:hint="default" w:ascii="Times New Roman" w:hAnsi="Times New Roman" w:eastAsia="仿宋" w:cs="Times New Roman"/>
                      <w:bCs/>
                      <w:color w:val="auto"/>
                      <w:spacing w:val="-6"/>
                      <w:szCs w:val="21"/>
                    </w:rPr>
                    <w:t>或</w:t>
                  </w:r>
                  <w:r>
                    <w:rPr>
                      <w:rFonts w:hint="default" w:ascii="Times New Roman" w:hAnsi="Times New Roman" w:eastAsia="仿宋" w:cs="Times New Roman"/>
                      <w:bCs/>
                      <w:color w:val="auto"/>
                      <w:spacing w:val="-6"/>
                      <w:szCs w:val="21"/>
                      <w:lang w:eastAsia="zh-CN"/>
                    </w:rPr>
                    <w:t>危废仓库</w:t>
                  </w:r>
                  <w:r>
                    <w:rPr>
                      <w:rFonts w:hint="default" w:ascii="Times New Roman" w:hAnsi="Times New Roman" w:eastAsia="仿宋" w:cs="Times New Roman"/>
                      <w:bCs/>
                      <w:color w:val="auto"/>
                      <w:spacing w:val="-6"/>
                      <w:szCs w:val="21"/>
                    </w:rPr>
                    <w:t>中暂存的各类危废等泄漏液进入雨水管网，会对周围环境造成一定的影响</w:t>
                  </w:r>
                </w:p>
              </w:tc>
            </w:tr>
            <w:tr w14:paraId="295A0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198" w:type="pct"/>
                  <w:tcBorders>
                    <w:top w:val="single" w:color="auto" w:sz="4" w:space="0"/>
                    <w:left w:val="nil"/>
                    <w:bottom w:val="single" w:color="auto" w:sz="4" w:space="0"/>
                    <w:right w:val="single" w:color="auto" w:sz="4" w:space="0"/>
                  </w:tcBorders>
                  <w:noWrap w:val="0"/>
                  <w:vAlign w:val="center"/>
                </w:tcPr>
                <w:p w14:paraId="20F243DD">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风险防范措施要求</w:t>
                  </w:r>
                </w:p>
              </w:tc>
              <w:tc>
                <w:tcPr>
                  <w:tcW w:w="3801" w:type="pct"/>
                  <w:gridSpan w:val="4"/>
                  <w:tcBorders>
                    <w:top w:val="single" w:color="auto" w:sz="4" w:space="0"/>
                    <w:left w:val="single" w:color="auto" w:sz="4" w:space="0"/>
                    <w:bottom w:val="single" w:color="auto" w:sz="4" w:space="0"/>
                    <w:right w:val="nil"/>
                  </w:tcBorders>
                  <w:noWrap w:val="0"/>
                  <w:vAlign w:val="center"/>
                </w:tcPr>
                <w:p w14:paraId="67EF7C3D">
                  <w:pPr>
                    <w:adjustRightInd w:val="0"/>
                    <w:snapToGrid w:val="0"/>
                    <w:spacing w:line="260" w:lineRule="exact"/>
                    <w:rPr>
                      <w:rFonts w:hint="default" w:ascii="Times New Roman" w:hAnsi="Times New Roman" w:eastAsia="仿宋" w:cs="Times New Roman"/>
                      <w:color w:val="auto"/>
                    </w:rPr>
                  </w:pPr>
                  <w:r>
                    <w:rPr>
                      <w:rFonts w:hint="default" w:ascii="Times New Roman" w:hAnsi="Times New Roman" w:eastAsia="仿宋" w:cs="Times New Roman"/>
                      <w:color w:val="auto"/>
                      <w:szCs w:val="21"/>
                      <w:lang w:val="en-US" w:eastAsia="zh-CN"/>
                    </w:rPr>
                    <w:t>生产</w:t>
                  </w:r>
                  <w:r>
                    <w:rPr>
                      <w:rFonts w:hint="default" w:ascii="Times New Roman" w:hAnsi="Times New Roman" w:eastAsia="仿宋" w:cs="Times New Roman"/>
                      <w:color w:val="auto"/>
                      <w:szCs w:val="21"/>
                    </w:rPr>
                    <w:t>车间均严禁烟火，同时定期检查厂内各风险防范措施的完善情况，设置应急物资，建立健全应急防范机制</w:t>
                  </w:r>
                </w:p>
              </w:tc>
            </w:tr>
            <w:tr w14:paraId="4694D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000" w:type="pct"/>
                  <w:gridSpan w:val="5"/>
                  <w:tcBorders>
                    <w:top w:val="single" w:color="auto" w:sz="4" w:space="0"/>
                    <w:left w:val="nil"/>
                    <w:bottom w:val="single" w:color="auto" w:sz="12" w:space="0"/>
                    <w:right w:val="nil"/>
                  </w:tcBorders>
                  <w:noWrap w:val="0"/>
                  <w:vAlign w:val="center"/>
                </w:tcPr>
                <w:p w14:paraId="231B7949">
                  <w:pPr>
                    <w:adjustRightInd w:val="0"/>
                    <w:snapToGrid w:val="0"/>
                    <w:spacing w:line="260" w:lineRule="exact"/>
                    <w:rPr>
                      <w:rFonts w:hint="default" w:ascii="Times New Roman" w:hAnsi="Times New Roman" w:eastAsia="仿宋" w:cs="Times New Roman"/>
                      <w:color w:val="auto"/>
                    </w:rPr>
                  </w:pPr>
                  <w:r>
                    <w:rPr>
                      <w:rFonts w:hint="default" w:ascii="Times New Roman" w:hAnsi="Times New Roman" w:eastAsia="仿宋" w:cs="Times New Roman"/>
                      <w:color w:val="auto"/>
                    </w:rPr>
                    <w:t>填表说明（列出项目相关信息及评价说明）：</w:t>
                  </w:r>
                </w:p>
                <w:p w14:paraId="12910BC0">
                  <w:pPr>
                    <w:adjustRightInd w:val="0"/>
                    <w:snapToGrid w:val="0"/>
                    <w:spacing w:line="260" w:lineRule="exact"/>
                    <w:jc w:val="center"/>
                    <w:rPr>
                      <w:rFonts w:hint="default" w:ascii="Times New Roman" w:hAnsi="Times New Roman" w:eastAsia="仿宋" w:cs="Times New Roman"/>
                      <w:color w:val="auto"/>
                    </w:rPr>
                  </w:pPr>
                  <w:r>
                    <w:rPr>
                      <w:rFonts w:hint="default" w:ascii="Times New Roman" w:hAnsi="Times New Roman" w:eastAsia="仿宋" w:cs="Times New Roman"/>
                      <w:color w:val="auto"/>
                    </w:rPr>
                    <w:t>本项目Q＜1，环境风险势能直接判断为I等级</w:t>
                  </w:r>
                </w:p>
              </w:tc>
            </w:tr>
          </w:tbl>
          <w:p w14:paraId="2897102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上述措施可满足本项目风险防范及应急需求且具有可行性。在采取规范化环境风险防范措施和应急措施的前提下，本项目环境风险可控。</w:t>
            </w:r>
          </w:p>
          <w:p w14:paraId="12C11105">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default" w:ascii="Times New Roman" w:hAnsi="Times New Roman" w:eastAsia="仿宋" w:cs="Times New Roman"/>
                <w:b/>
                <w:bCs/>
                <w:color w:val="auto"/>
                <w:sz w:val="24"/>
                <w:szCs w:val="24"/>
                <w:lang w:val="en-US" w:eastAsia="zh-CN"/>
              </w:rPr>
              <w:t>8.3环境风险与应急部门联动</w:t>
            </w:r>
          </w:p>
          <w:p w14:paraId="2809744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对照《关于做好生态环境和应急管理部门联动的工作意见》（苏环办[2020]101号），本项目相符性分析见表4-23。</w:t>
            </w:r>
          </w:p>
          <w:p w14:paraId="2D9DB304">
            <w:pPr>
              <w:spacing w:line="240" w:lineRule="auto"/>
              <w:jc w:val="center"/>
              <w:rPr>
                <w:rFonts w:hint="default" w:ascii="Times New Roman" w:hAnsi="Times New Roman" w:eastAsia="仿宋" w:cs="Times New Roman"/>
                <w:b/>
                <w:color w:val="auto"/>
                <w:sz w:val="21"/>
                <w:szCs w:val="21"/>
                <w:lang w:val="en-US" w:eastAsia="zh-CN"/>
              </w:rPr>
            </w:pPr>
          </w:p>
          <w:p w14:paraId="50672724">
            <w:pPr>
              <w:spacing w:line="240" w:lineRule="auto"/>
              <w:jc w:val="center"/>
              <w:rPr>
                <w:rFonts w:hint="default" w:ascii="Times New Roman" w:hAnsi="Times New Roman" w:eastAsia="仿宋" w:cs="Times New Roman"/>
                <w:b/>
                <w:color w:val="auto"/>
                <w:sz w:val="21"/>
                <w:szCs w:val="21"/>
                <w:lang w:val="en-US" w:eastAsia="zh-CN"/>
              </w:rPr>
            </w:pPr>
            <w:r>
              <w:rPr>
                <w:rFonts w:hint="default" w:ascii="Times New Roman" w:hAnsi="Times New Roman" w:eastAsia="仿宋" w:cs="Times New Roman"/>
                <w:b/>
                <w:color w:val="auto"/>
                <w:sz w:val="21"/>
                <w:szCs w:val="21"/>
                <w:lang w:val="en-US" w:eastAsia="zh-CN"/>
              </w:rPr>
              <w:t>表4-23  本项目与苏环办[2020]101号文的对照分析</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681"/>
              <w:gridCol w:w="4508"/>
              <w:gridCol w:w="3012"/>
            </w:tblGrid>
            <w:tr w14:paraId="177C25E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PrEx>
              <w:trPr>
                <w:cantSplit/>
                <w:trHeight w:val="340" w:hRule="atLeast"/>
                <w:tblHeader/>
                <w:jc w:val="center"/>
              </w:trPr>
              <w:tc>
                <w:tcPr>
                  <w:tcW w:w="3163" w:type="pct"/>
                  <w:gridSpan w:val="2"/>
                  <w:noWrap w:val="0"/>
                  <w:vAlign w:val="center"/>
                </w:tcPr>
                <w:p w14:paraId="08D412E6">
                  <w:pPr>
                    <w:keepNext w:val="0"/>
                    <w:keepLines w:val="0"/>
                    <w:pageBreakBefore w:val="0"/>
                    <w:widowControl w:val="0"/>
                    <w:kinsoku/>
                    <w:wordWrap/>
                    <w:overflowPunct/>
                    <w:topLinePunct w:val="0"/>
                    <w:autoSpaceDE/>
                    <w:autoSpaceDN/>
                    <w:bidi w:val="0"/>
                    <w:adjustRightInd w:val="0"/>
                    <w:snapToGrid w:val="0"/>
                    <w:spacing w:line="270" w:lineRule="exact"/>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文件要求</w:t>
                  </w:r>
                </w:p>
              </w:tc>
              <w:tc>
                <w:tcPr>
                  <w:tcW w:w="1836" w:type="pct"/>
                  <w:noWrap w:val="0"/>
                  <w:vAlign w:val="center"/>
                </w:tcPr>
                <w:p w14:paraId="743E4144">
                  <w:pPr>
                    <w:pStyle w:val="15"/>
                    <w:keepNext w:val="0"/>
                    <w:keepLines w:val="0"/>
                    <w:pageBreakBefore w:val="0"/>
                    <w:widowControl w:val="0"/>
                    <w:kinsoku/>
                    <w:wordWrap/>
                    <w:overflowPunct/>
                    <w:topLinePunct w:val="0"/>
                    <w:autoSpaceDE/>
                    <w:autoSpaceDN/>
                    <w:bidi w:val="0"/>
                    <w:snapToGrid w:val="0"/>
                    <w:spacing w:after="0" w:line="270" w:lineRule="exact"/>
                    <w:ind w:left="0" w:leftChars="0"/>
                    <w:jc w:val="center"/>
                    <w:textAlignment w:val="auto"/>
                    <w:rPr>
                      <w:rFonts w:hint="default" w:ascii="Times New Roman" w:hAnsi="Times New Roman" w:eastAsia="仿宋" w:cs="Times New Roman"/>
                      <w:b/>
                      <w:color w:val="auto"/>
                      <w:szCs w:val="21"/>
                    </w:rPr>
                  </w:pPr>
                  <w:r>
                    <w:rPr>
                      <w:rFonts w:hint="default" w:ascii="Times New Roman" w:hAnsi="Times New Roman" w:eastAsia="仿宋" w:cs="Times New Roman"/>
                      <w:b/>
                      <w:color w:val="auto"/>
                      <w:szCs w:val="21"/>
                    </w:rPr>
                    <w:t>本项目对照分析</w:t>
                  </w:r>
                </w:p>
              </w:tc>
            </w:tr>
            <w:tr w14:paraId="6122A16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98" w:hRule="atLeast"/>
                <w:jc w:val="center"/>
              </w:trPr>
              <w:tc>
                <w:tcPr>
                  <w:tcW w:w="415" w:type="pct"/>
                  <w:noWrap w:val="0"/>
                  <w:vAlign w:val="center"/>
                </w:tcPr>
                <w:p w14:paraId="72466B8A">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建立危险废物监管联动机制</w:t>
                  </w:r>
                </w:p>
              </w:tc>
              <w:tc>
                <w:tcPr>
                  <w:tcW w:w="2748" w:type="pct"/>
                  <w:noWrap w:val="0"/>
                  <w:vAlign w:val="center"/>
                </w:tcPr>
                <w:p w14:paraId="51475BA1">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color w:val="auto"/>
                      <w:kern w:val="32"/>
                      <w:szCs w:val="21"/>
                    </w:rPr>
                  </w:pPr>
                  <w:r>
                    <w:rPr>
                      <w:rFonts w:hint="default" w:ascii="Times New Roman" w:hAnsi="Times New Roman" w:eastAsia="仿宋" w:cs="Times New Roman"/>
                      <w:color w:val="auto"/>
                      <w:kern w:val="32"/>
                      <w:szCs w:val="21"/>
                    </w:rPr>
                    <w:t>企业法定代表人和实际控制人是企业废弃危险化学品等危险废物安全环保全过程管理的第一责任人。企业要切实履行好从危险废物产生、收集、贮存、运输、利用、处置等环节各项环保和安全职责；要制定危险废物管理计划并报属地生态环境部门备案。申请备案时，对废弃危险化学品、物理危险性尚不确定、根据相关文件无法认定达到稳定化要求的，要提供有资质单位出具的化学品物理危险性报告及其他证明材料，认定达到稳定化要求。</w:t>
                  </w:r>
                </w:p>
              </w:tc>
              <w:tc>
                <w:tcPr>
                  <w:tcW w:w="1836" w:type="pct"/>
                  <w:noWrap w:val="0"/>
                  <w:vAlign w:val="center"/>
                </w:tcPr>
                <w:p w14:paraId="557C37B6">
                  <w:pPr>
                    <w:keepNext w:val="0"/>
                    <w:keepLines w:val="0"/>
                    <w:pageBreakBefore w:val="0"/>
                    <w:widowControl w:val="0"/>
                    <w:kinsoku/>
                    <w:wordWrap/>
                    <w:overflowPunct/>
                    <w:topLinePunct w:val="0"/>
                    <w:autoSpaceDE/>
                    <w:autoSpaceDN/>
                    <w:bidi w:val="0"/>
                    <w:adjustRightInd w:val="0"/>
                    <w:snapToGrid w:val="0"/>
                    <w:spacing w:line="27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6"/>
                      <w:szCs w:val="21"/>
                    </w:rPr>
                    <w:t>本项目涉及的危险废物为废</w:t>
                  </w:r>
                  <w:r>
                    <w:rPr>
                      <w:rFonts w:hint="default" w:ascii="Times New Roman" w:hAnsi="Times New Roman" w:eastAsia="仿宋" w:cs="Times New Roman"/>
                      <w:color w:val="auto"/>
                      <w:spacing w:val="-6"/>
                      <w:szCs w:val="21"/>
                      <w:lang w:val="en-US" w:eastAsia="zh-CN"/>
                    </w:rPr>
                    <w:t>液压</w:t>
                  </w:r>
                  <w:r>
                    <w:rPr>
                      <w:rFonts w:hint="default" w:ascii="Times New Roman" w:hAnsi="Times New Roman" w:eastAsia="仿宋" w:cs="Times New Roman"/>
                      <w:color w:val="auto"/>
                      <w:spacing w:val="-6"/>
                      <w:szCs w:val="21"/>
                    </w:rPr>
                    <w:t>油、废</w:t>
                  </w:r>
                  <w:r>
                    <w:rPr>
                      <w:rFonts w:hint="default" w:ascii="Times New Roman" w:hAnsi="Times New Roman" w:eastAsia="仿宋" w:cs="Times New Roman"/>
                      <w:color w:val="auto"/>
                      <w:spacing w:val="-6"/>
                      <w:szCs w:val="21"/>
                      <w:lang w:val="en-US" w:eastAsia="zh-CN"/>
                    </w:rPr>
                    <w:t>切削</w:t>
                  </w:r>
                  <w:r>
                    <w:rPr>
                      <w:rFonts w:hint="default" w:ascii="Times New Roman" w:hAnsi="Times New Roman" w:eastAsia="仿宋" w:cs="Times New Roman"/>
                      <w:color w:val="auto"/>
                      <w:spacing w:val="-6"/>
                      <w:szCs w:val="21"/>
                    </w:rPr>
                    <w:t>液、</w:t>
                  </w:r>
                  <w:r>
                    <w:rPr>
                      <w:rFonts w:hint="default" w:ascii="Times New Roman" w:hAnsi="Times New Roman" w:eastAsia="仿宋" w:cs="Times New Roman"/>
                      <w:color w:val="auto"/>
                      <w:spacing w:val="-6"/>
                      <w:szCs w:val="21"/>
                      <w:lang w:val="en-US" w:eastAsia="zh-CN"/>
                    </w:rPr>
                    <w:t>废珩磨油</w:t>
                  </w:r>
                  <w:r>
                    <w:rPr>
                      <w:rFonts w:hint="default" w:ascii="Times New Roman" w:hAnsi="Times New Roman" w:eastAsia="仿宋" w:cs="Times New Roman"/>
                      <w:color w:val="auto"/>
                      <w:spacing w:val="-6"/>
                      <w:szCs w:val="21"/>
                    </w:rPr>
                    <w:t>、清洗废液等，建成后将切实履行好危险废物产生、收集、贮存、运输、处置等环节各项环保和安全职责计划；制定危险废物管理计划并报武进生态环境局备案，与文件要求相符。</w:t>
                  </w:r>
                </w:p>
              </w:tc>
            </w:tr>
            <w:tr w14:paraId="1ED2AA3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415" w:type="pct"/>
                  <w:noWrap w:val="0"/>
                  <w:vAlign w:val="center"/>
                </w:tcPr>
                <w:p w14:paraId="518AC930">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建立环境治理设施监管联动机制</w:t>
                  </w:r>
                </w:p>
              </w:tc>
              <w:tc>
                <w:tcPr>
                  <w:tcW w:w="2748" w:type="pct"/>
                  <w:noWrap w:val="0"/>
                  <w:vAlign w:val="center"/>
                </w:tcPr>
                <w:p w14:paraId="5392CEFC">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color w:val="auto"/>
                      <w:kern w:val="32"/>
                      <w:szCs w:val="21"/>
                    </w:rPr>
                  </w:pPr>
                  <w:r>
                    <w:rPr>
                      <w:rFonts w:hint="default" w:ascii="Times New Roman" w:hAnsi="Times New Roman" w:eastAsia="仿宋" w:cs="Times New Roman"/>
                      <w:color w:val="auto"/>
                      <w:kern w:val="32"/>
                      <w:szCs w:val="21"/>
                    </w:rPr>
                    <w:t>企业是各类环境治理设施建设、运行、维护、拆除的责任主体。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w:t>
                  </w:r>
                </w:p>
              </w:tc>
              <w:tc>
                <w:tcPr>
                  <w:tcW w:w="1836" w:type="pct"/>
                  <w:noWrap w:val="0"/>
                  <w:vAlign w:val="center"/>
                </w:tcPr>
                <w:p w14:paraId="4B1C8DA2">
                  <w:pPr>
                    <w:keepNext w:val="0"/>
                    <w:keepLines w:val="0"/>
                    <w:pageBreakBefore w:val="0"/>
                    <w:widowControl w:val="0"/>
                    <w:kinsoku/>
                    <w:wordWrap/>
                    <w:overflowPunct/>
                    <w:topLinePunct w:val="0"/>
                    <w:autoSpaceDE/>
                    <w:autoSpaceDN/>
                    <w:bidi w:val="0"/>
                    <w:adjustRightInd w:val="0"/>
                    <w:snapToGrid w:val="0"/>
                    <w:spacing w:line="270" w:lineRule="exact"/>
                    <w:jc w:val="center"/>
                    <w:textAlignment w:val="auto"/>
                    <w:rPr>
                      <w:rFonts w:hint="default" w:ascii="Times New Roman" w:hAnsi="Times New Roman" w:eastAsia="仿宋" w:cs="Times New Roman"/>
                      <w:color w:val="auto"/>
                      <w:szCs w:val="21"/>
                      <w:lang w:val="en-US"/>
                    </w:rPr>
                  </w:pPr>
                  <w:r>
                    <w:rPr>
                      <w:rFonts w:hint="default" w:ascii="Times New Roman" w:hAnsi="Times New Roman" w:eastAsia="仿宋" w:cs="Times New Roman"/>
                      <w:color w:val="auto"/>
                      <w:szCs w:val="21"/>
                    </w:rPr>
                    <w:t>本项目</w:t>
                  </w:r>
                  <w:r>
                    <w:rPr>
                      <w:rFonts w:hint="default" w:ascii="Times New Roman" w:hAnsi="Times New Roman" w:eastAsia="仿宋" w:cs="Times New Roman"/>
                      <w:color w:val="auto"/>
                      <w:szCs w:val="21"/>
                      <w:lang w:val="en-US" w:eastAsia="zh-CN"/>
                    </w:rPr>
                    <w:t>焊接烟尘经移动式焊烟净化器收集处理后在车间无组织排放，不属于</w:t>
                  </w:r>
                  <w:r>
                    <w:rPr>
                      <w:rFonts w:hint="default" w:ascii="Times New Roman" w:hAnsi="Times New Roman" w:eastAsia="仿宋" w:cs="Times New Roman"/>
                      <w:color w:val="auto"/>
                      <w:kern w:val="32"/>
                      <w:szCs w:val="21"/>
                    </w:rPr>
                    <w:t>六类环境治理设施</w:t>
                  </w:r>
                  <w:r>
                    <w:rPr>
                      <w:rFonts w:hint="default" w:ascii="Times New Roman" w:hAnsi="Times New Roman" w:eastAsia="仿宋" w:cs="Times New Roman"/>
                      <w:color w:val="auto"/>
                      <w:szCs w:val="21"/>
                      <w:lang w:val="en-US" w:eastAsia="zh-CN"/>
                    </w:rPr>
                    <w:t>。</w:t>
                  </w:r>
                </w:p>
              </w:tc>
            </w:tr>
            <w:tr w14:paraId="1C5578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52" w:hRule="atLeast"/>
                <w:jc w:val="center"/>
              </w:trPr>
              <w:tc>
                <w:tcPr>
                  <w:tcW w:w="415" w:type="pct"/>
                  <w:noWrap w:val="0"/>
                  <w:vAlign w:val="center"/>
                </w:tcPr>
                <w:p w14:paraId="226BE99D">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结论</w:t>
                  </w:r>
                </w:p>
              </w:tc>
              <w:tc>
                <w:tcPr>
                  <w:tcW w:w="4584" w:type="pct"/>
                  <w:gridSpan w:val="2"/>
                  <w:noWrap w:val="0"/>
                  <w:vAlign w:val="center"/>
                </w:tcPr>
                <w:p w14:paraId="57FFB57B">
                  <w:pPr>
                    <w:keepNext w:val="0"/>
                    <w:keepLines w:val="0"/>
                    <w:pageBreakBefore w:val="0"/>
                    <w:widowControl w:val="0"/>
                    <w:kinsoku/>
                    <w:wordWrap/>
                    <w:overflowPunct/>
                    <w:topLinePunct w:val="0"/>
                    <w:autoSpaceDE/>
                    <w:autoSpaceDN/>
                    <w:bidi w:val="0"/>
                    <w:snapToGrid w:val="0"/>
                    <w:spacing w:line="270" w:lineRule="exact"/>
                    <w:jc w:val="center"/>
                    <w:textAlignment w:val="auto"/>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本项目符合《关于做好生态环境和应急管理部门联动的工作意见》（苏环办[2020]101号）的相应要求。</w:t>
                  </w:r>
                </w:p>
              </w:tc>
            </w:tr>
          </w:tbl>
          <w:p w14:paraId="55E412B9">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z w:val="24"/>
                <w:szCs w:val="24"/>
                <w:lang w:val="en-US" w:eastAsia="zh-CN"/>
              </w:rPr>
            </w:pPr>
            <w:r>
              <w:rPr>
                <w:rFonts w:hint="eastAsia" w:ascii="Times New Roman" w:hAnsi="Times New Roman" w:eastAsia="仿宋" w:cs="Times New Roman"/>
                <w:b/>
                <w:bCs/>
                <w:color w:val="auto"/>
                <w:sz w:val="24"/>
                <w:szCs w:val="24"/>
                <w:lang w:val="en-US" w:eastAsia="zh-CN"/>
              </w:rPr>
              <w:t>8.4</w:t>
            </w:r>
            <w:r>
              <w:rPr>
                <w:rFonts w:hint="default" w:ascii="Times New Roman" w:hAnsi="Times New Roman" w:eastAsia="仿宋" w:cs="Times New Roman"/>
                <w:b/>
                <w:bCs/>
                <w:color w:val="auto"/>
                <w:sz w:val="24"/>
                <w:szCs w:val="24"/>
                <w:lang w:val="en-US" w:eastAsia="zh-CN"/>
              </w:rPr>
              <w:t>可燃粉尘识别</w:t>
            </w:r>
          </w:p>
          <w:p w14:paraId="0EF4B072">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w:t>
            </w:r>
            <w:r>
              <w:rPr>
                <w:rFonts w:hint="eastAsia" w:ascii="Times New Roman" w:hAnsi="Times New Roman" w:eastAsia="仿宋" w:cs="Times New Roman"/>
                <w:color w:val="auto"/>
                <w:sz w:val="24"/>
                <w:szCs w:val="24"/>
                <w:lang w:val="en-US" w:eastAsia="zh-CN"/>
              </w:rPr>
              <w:t>焊接</w:t>
            </w:r>
            <w:r>
              <w:rPr>
                <w:rFonts w:hint="default" w:ascii="Times New Roman" w:hAnsi="Times New Roman" w:eastAsia="仿宋" w:cs="Times New Roman"/>
                <w:color w:val="auto"/>
                <w:sz w:val="24"/>
                <w:szCs w:val="24"/>
                <w:lang w:val="en-US" w:eastAsia="zh-CN"/>
              </w:rPr>
              <w:t>工序有</w:t>
            </w:r>
            <w:r>
              <w:rPr>
                <w:rFonts w:hint="eastAsia" w:ascii="Times New Roman" w:hAnsi="Times New Roman" w:eastAsia="仿宋" w:cs="Times New Roman"/>
                <w:color w:val="auto"/>
                <w:sz w:val="24"/>
                <w:szCs w:val="24"/>
                <w:lang w:val="en-US" w:eastAsia="zh-CN"/>
              </w:rPr>
              <w:t>锡及其化合物</w:t>
            </w:r>
            <w:r>
              <w:rPr>
                <w:rFonts w:hint="default" w:ascii="Times New Roman" w:hAnsi="Times New Roman" w:eastAsia="仿宋" w:cs="Times New Roman"/>
                <w:color w:val="auto"/>
                <w:sz w:val="24"/>
                <w:szCs w:val="24"/>
                <w:lang w:val="en-US" w:eastAsia="zh-CN"/>
              </w:rPr>
              <w:t>产生，经</w:t>
            </w:r>
            <w:r>
              <w:rPr>
                <w:rFonts w:hint="eastAsia" w:ascii="Times New Roman" w:hAnsi="Times New Roman" w:eastAsia="仿宋" w:cs="Times New Roman"/>
                <w:color w:val="auto"/>
                <w:sz w:val="24"/>
                <w:szCs w:val="24"/>
                <w:lang w:val="en-US" w:eastAsia="zh-CN"/>
              </w:rPr>
              <w:t>移动式焊烟净化装置收集处理后在车间无组织排放</w:t>
            </w:r>
            <w:r>
              <w:rPr>
                <w:rFonts w:hint="default" w:ascii="Times New Roman" w:hAnsi="Times New Roman" w:eastAsia="仿宋" w:cs="Times New Roman"/>
                <w:color w:val="auto"/>
                <w:sz w:val="24"/>
                <w:szCs w:val="24"/>
                <w:lang w:val="en-US" w:eastAsia="zh-CN"/>
              </w:rPr>
              <w:t>，使用的</w:t>
            </w:r>
            <w:r>
              <w:rPr>
                <w:rFonts w:hint="eastAsia" w:ascii="Times New Roman" w:hAnsi="Times New Roman" w:eastAsia="仿宋" w:cs="Times New Roman"/>
                <w:color w:val="auto"/>
                <w:sz w:val="24"/>
                <w:szCs w:val="24"/>
                <w:lang w:val="en-US" w:eastAsia="zh-CN"/>
              </w:rPr>
              <w:t>材料</w:t>
            </w:r>
            <w:r>
              <w:rPr>
                <w:rFonts w:hint="default" w:ascii="Times New Roman" w:hAnsi="Times New Roman" w:eastAsia="仿宋" w:cs="Times New Roman"/>
                <w:color w:val="auto"/>
                <w:sz w:val="24"/>
                <w:szCs w:val="24"/>
                <w:lang w:val="en-US" w:eastAsia="zh-CN"/>
              </w:rPr>
              <w:t>为</w:t>
            </w:r>
            <w:r>
              <w:rPr>
                <w:rFonts w:hint="eastAsia" w:ascii="Times New Roman" w:hAnsi="Times New Roman" w:eastAsia="仿宋" w:cs="Times New Roman"/>
                <w:color w:val="auto"/>
                <w:sz w:val="24"/>
                <w:szCs w:val="24"/>
                <w:lang w:val="en-US" w:eastAsia="zh-CN"/>
              </w:rPr>
              <w:t>锡条</w:t>
            </w:r>
            <w:r>
              <w:rPr>
                <w:rFonts w:hint="default" w:ascii="Times New Roman" w:hAnsi="Times New Roman" w:eastAsia="仿宋" w:cs="Times New Roman"/>
                <w:color w:val="auto"/>
                <w:sz w:val="24"/>
                <w:szCs w:val="24"/>
                <w:lang w:val="en-US" w:eastAsia="zh-CN"/>
              </w:rPr>
              <w:t>，对照《工贸行业重点可燃性粉尘目录》（2015版），本项目不涉及可燃性粉尘。</w:t>
            </w:r>
          </w:p>
          <w:p w14:paraId="1A6A288C">
            <w:pPr>
              <w:keepNext w:val="0"/>
              <w:keepLines w:val="0"/>
              <w:pageBreakBefore w:val="0"/>
              <w:widowControl w:val="0"/>
              <w:tabs>
                <w:tab w:val="left" w:pos="1684"/>
              </w:tabs>
              <w:kinsoku/>
              <w:wordWrap/>
              <w:overflowPunct/>
              <w:topLinePunct w:val="0"/>
              <w:autoSpaceDE/>
              <w:autoSpaceDN/>
              <w:bidi w:val="0"/>
              <w:adjustRightInd/>
              <w:snapToGrid/>
              <w:spacing w:line="480" w:lineRule="exact"/>
              <w:textAlignment w:val="auto"/>
              <w:rPr>
                <w:rFonts w:hint="default" w:ascii="Times New Roman" w:hAnsi="Times New Roman" w:eastAsia="仿宋" w:cs="Times New Roman"/>
                <w:b/>
                <w:bCs/>
                <w:color w:val="auto"/>
                <w:spacing w:val="-4"/>
                <w:sz w:val="24"/>
                <w:szCs w:val="24"/>
                <w:lang w:val="en-US" w:eastAsia="zh-CN"/>
              </w:rPr>
            </w:pPr>
            <w:r>
              <w:rPr>
                <w:rFonts w:hint="default" w:ascii="Times New Roman" w:hAnsi="Times New Roman" w:eastAsia="仿宋" w:cs="Times New Roman"/>
                <w:b/>
                <w:bCs/>
                <w:color w:val="auto"/>
                <w:spacing w:val="-4"/>
                <w:sz w:val="24"/>
                <w:szCs w:val="24"/>
                <w:lang w:val="en-US" w:eastAsia="zh-CN"/>
              </w:rPr>
              <w:t>9、电磁辐射</w:t>
            </w:r>
          </w:p>
          <w:p w14:paraId="48EBCD7C">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本项目生产过程中不使用含放射性同位素和伴有电磁辐射的设施，无放射性同位素及电磁辐射产生。</w:t>
            </w:r>
          </w:p>
          <w:p w14:paraId="2B100D2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16DD6AA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2FDFEC1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52A35C5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1B111B8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1720C84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52A133E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仿宋" w:cs="Times New Roman"/>
                <w:color w:val="auto"/>
                <w:sz w:val="24"/>
                <w:szCs w:val="24"/>
                <w:lang w:val="en-US" w:eastAsia="zh-CN"/>
              </w:rPr>
            </w:pPr>
          </w:p>
          <w:p w14:paraId="3A965275">
            <w:pPr>
              <w:spacing w:before="120" w:beforeLines="50" w:after="120" w:afterLines="50" w:line="360" w:lineRule="exact"/>
              <w:rPr>
                <w:rFonts w:hint="default" w:ascii="Times New Roman" w:hAnsi="Times New Roman" w:eastAsia="仿宋" w:cs="Times New Roman"/>
                <w:color w:val="auto"/>
              </w:rPr>
            </w:pPr>
          </w:p>
        </w:tc>
      </w:tr>
    </w:tbl>
    <w:p w14:paraId="5EAB30F4">
      <w:pPr>
        <w:pStyle w:val="43"/>
        <w:rPr>
          <w:rFonts w:hint="default" w:ascii="Times New Roman" w:hAnsi="Times New Roman" w:eastAsia="仿宋" w:cs="Times New Roman"/>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6427BF7">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bookmarkStart w:id="15" w:name="_Hlk54167917"/>
      <w:r>
        <w:rPr>
          <w:rFonts w:hint="default" w:ascii="Times New Roman" w:hAnsi="Times New Roman" w:eastAsia="仿宋" w:cs="Times New Roman"/>
          <w:snapToGrid w:val="0"/>
          <w:color w:val="auto"/>
          <w:sz w:val="30"/>
          <w:szCs w:val="30"/>
        </w:rPr>
        <w:t>五、环境保护措施监督检查清单</w:t>
      </w:r>
      <w:bookmarkEnd w:id="15"/>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1515"/>
        <w:gridCol w:w="1005"/>
        <w:gridCol w:w="1500"/>
        <w:gridCol w:w="3375"/>
      </w:tblGrid>
      <w:tr w14:paraId="6332F7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tcBorders>
              <w:tl2br w:val="single" w:color="auto" w:sz="4" w:space="0"/>
            </w:tcBorders>
            <w:noWrap w:val="0"/>
            <w:vAlign w:val="top"/>
          </w:tcPr>
          <w:p w14:paraId="453D2356">
            <w:pPr>
              <w:adjustRightInd w:val="0"/>
              <w:snapToGrid w:val="0"/>
              <w:spacing w:line="320" w:lineRule="exact"/>
              <w:ind w:firstLine="632" w:firstLineChars="300"/>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内容</w:t>
            </w:r>
          </w:p>
          <w:p w14:paraId="6CD81134">
            <w:pPr>
              <w:adjustRightInd w:val="0"/>
              <w:snapToGrid w:val="0"/>
              <w:spacing w:line="320" w:lineRule="exact"/>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要素</w:t>
            </w:r>
          </w:p>
        </w:tc>
        <w:tc>
          <w:tcPr>
            <w:tcW w:w="1515" w:type="dxa"/>
            <w:noWrap w:val="0"/>
            <w:vAlign w:val="center"/>
          </w:tcPr>
          <w:p w14:paraId="5C2873B7">
            <w:pPr>
              <w:adjustRightInd w:val="0"/>
              <w:snapToGrid w:val="0"/>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排放口</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rPr>
              <w:t>编号、</w:t>
            </w:r>
          </w:p>
          <w:p w14:paraId="3C15E082">
            <w:pPr>
              <w:adjustRightInd w:val="0"/>
              <w:snapToGrid w:val="0"/>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名称</w:t>
            </w:r>
            <w:r>
              <w:rPr>
                <w:rFonts w:hint="default" w:ascii="Times New Roman" w:hAnsi="Times New Roman" w:eastAsia="仿宋" w:cs="Times New Roman"/>
                <w:b/>
                <w:bCs/>
                <w:color w:val="auto"/>
                <w:szCs w:val="21"/>
                <w:lang w:eastAsia="zh-CN"/>
              </w:rPr>
              <w:t>）</w:t>
            </w:r>
            <w:r>
              <w:rPr>
                <w:rFonts w:hint="default" w:ascii="Times New Roman" w:hAnsi="Times New Roman" w:eastAsia="仿宋" w:cs="Times New Roman"/>
                <w:b/>
                <w:bCs/>
                <w:color w:val="auto"/>
                <w:szCs w:val="21"/>
              </w:rPr>
              <w:t>/污染源</w:t>
            </w:r>
          </w:p>
        </w:tc>
        <w:tc>
          <w:tcPr>
            <w:tcW w:w="1005" w:type="dxa"/>
            <w:noWrap w:val="0"/>
            <w:vAlign w:val="center"/>
          </w:tcPr>
          <w:p w14:paraId="7FCFC898">
            <w:pPr>
              <w:adjustRightInd w:val="0"/>
              <w:snapToGrid w:val="0"/>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污染物项目</w:t>
            </w:r>
          </w:p>
        </w:tc>
        <w:tc>
          <w:tcPr>
            <w:tcW w:w="1500" w:type="dxa"/>
            <w:noWrap w:val="0"/>
            <w:vAlign w:val="center"/>
          </w:tcPr>
          <w:p w14:paraId="5BC9043D">
            <w:pPr>
              <w:adjustRightInd w:val="0"/>
              <w:snapToGrid w:val="0"/>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环境保护措施</w:t>
            </w:r>
          </w:p>
        </w:tc>
        <w:tc>
          <w:tcPr>
            <w:tcW w:w="3375" w:type="dxa"/>
            <w:noWrap w:val="0"/>
            <w:vAlign w:val="center"/>
          </w:tcPr>
          <w:p w14:paraId="0F57B384">
            <w:pPr>
              <w:adjustRightInd w:val="0"/>
              <w:snapToGrid w:val="0"/>
              <w:spacing w:line="320" w:lineRule="exact"/>
              <w:jc w:val="center"/>
              <w:rPr>
                <w:rFonts w:hint="default" w:ascii="Times New Roman" w:hAnsi="Times New Roman" w:eastAsia="仿宋" w:cs="Times New Roman"/>
                <w:b/>
                <w:bCs/>
                <w:color w:val="auto"/>
                <w:szCs w:val="21"/>
              </w:rPr>
            </w:pPr>
            <w:r>
              <w:rPr>
                <w:rFonts w:hint="default" w:ascii="Times New Roman" w:hAnsi="Times New Roman" w:eastAsia="仿宋" w:cs="Times New Roman"/>
                <w:b/>
                <w:bCs/>
                <w:color w:val="auto"/>
                <w:szCs w:val="21"/>
              </w:rPr>
              <w:t>执行标准</w:t>
            </w:r>
          </w:p>
        </w:tc>
      </w:tr>
      <w:tr w14:paraId="45F19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2F3ED5BC">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大气环境</w:t>
            </w:r>
          </w:p>
        </w:tc>
        <w:tc>
          <w:tcPr>
            <w:tcW w:w="1515" w:type="dxa"/>
            <w:noWrap w:val="0"/>
            <w:vAlign w:val="center"/>
          </w:tcPr>
          <w:p w14:paraId="0C1C99AC">
            <w:pPr>
              <w:adjustRightInd w:val="0"/>
              <w:snapToGrid w:val="0"/>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焊接废气</w:t>
            </w:r>
          </w:p>
        </w:tc>
        <w:tc>
          <w:tcPr>
            <w:tcW w:w="1005" w:type="dxa"/>
            <w:noWrap w:val="0"/>
            <w:vAlign w:val="center"/>
          </w:tcPr>
          <w:p w14:paraId="13F03448">
            <w:pPr>
              <w:adjustRightInd w:val="0"/>
              <w:snapToGrid w:val="0"/>
              <w:spacing w:line="32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锡及其化合物</w:t>
            </w:r>
          </w:p>
        </w:tc>
        <w:tc>
          <w:tcPr>
            <w:tcW w:w="1500" w:type="dxa"/>
            <w:noWrap w:val="0"/>
            <w:vAlign w:val="center"/>
          </w:tcPr>
          <w:p w14:paraId="53470019">
            <w:pPr>
              <w:adjustRightInd w:val="0"/>
              <w:snapToGrid w:val="0"/>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移动式焊烟净化器</w:t>
            </w:r>
          </w:p>
        </w:tc>
        <w:tc>
          <w:tcPr>
            <w:tcW w:w="3375" w:type="dxa"/>
            <w:noWrap w:val="0"/>
            <w:vAlign w:val="center"/>
          </w:tcPr>
          <w:p w14:paraId="1E0F3334">
            <w:pPr>
              <w:adjustRightInd w:val="0"/>
              <w:snapToGrid w:val="0"/>
              <w:spacing w:line="320" w:lineRule="exact"/>
              <w:jc w:val="center"/>
              <w:rPr>
                <w:rFonts w:hint="default" w:ascii="Times New Roman" w:hAnsi="Times New Roman" w:eastAsia="仿宋" w:cs="Times New Roman"/>
                <w:color w:val="auto"/>
                <w:szCs w:val="21"/>
                <w:lang w:eastAsia="zh-CN"/>
              </w:rPr>
            </w:pPr>
            <w:r>
              <w:rPr>
                <w:rFonts w:hint="default" w:ascii="Times New Roman" w:hAnsi="Times New Roman" w:eastAsia="仿宋" w:cs="Times New Roman"/>
                <w:color w:val="auto"/>
                <w:szCs w:val="21"/>
                <w:lang w:val="en-US" w:eastAsia="zh-CN"/>
              </w:rPr>
              <w:t>《大气污染物综合排放标准》（DB32/4041-2021）表3</w:t>
            </w:r>
          </w:p>
        </w:tc>
      </w:tr>
      <w:tr w14:paraId="004BF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restart"/>
            <w:noWrap w:val="0"/>
            <w:vAlign w:val="center"/>
          </w:tcPr>
          <w:p w14:paraId="0B426130">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地表水环境</w:t>
            </w:r>
          </w:p>
        </w:tc>
        <w:tc>
          <w:tcPr>
            <w:tcW w:w="1515" w:type="dxa"/>
            <w:vMerge w:val="restart"/>
            <w:noWrap w:val="0"/>
            <w:vAlign w:val="center"/>
          </w:tcPr>
          <w:p w14:paraId="1E134945">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生活污水</w:t>
            </w:r>
          </w:p>
        </w:tc>
        <w:tc>
          <w:tcPr>
            <w:tcW w:w="1005" w:type="dxa"/>
            <w:noWrap w:val="0"/>
            <w:vAlign w:val="center"/>
          </w:tcPr>
          <w:p w14:paraId="1DB5EC7F">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COD</w:t>
            </w:r>
          </w:p>
        </w:tc>
        <w:tc>
          <w:tcPr>
            <w:tcW w:w="1500" w:type="dxa"/>
            <w:vMerge w:val="restart"/>
            <w:noWrap w:val="0"/>
            <w:vAlign w:val="center"/>
          </w:tcPr>
          <w:p w14:paraId="0199025E">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接入市政污水管网进滨湖污水处理厂处理</w:t>
            </w:r>
          </w:p>
        </w:tc>
        <w:tc>
          <w:tcPr>
            <w:tcW w:w="3375" w:type="dxa"/>
            <w:vMerge w:val="restart"/>
            <w:noWrap w:val="0"/>
            <w:vAlign w:val="center"/>
          </w:tcPr>
          <w:p w14:paraId="2C7635F0">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《污水排入城镇下水道水质标准》</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GB/T31962-2015</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表1B级</w:t>
            </w:r>
          </w:p>
        </w:tc>
      </w:tr>
      <w:tr w14:paraId="137115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noWrap w:val="0"/>
            <w:vAlign w:val="center"/>
          </w:tcPr>
          <w:p w14:paraId="29AC0B93">
            <w:pPr>
              <w:adjustRightInd w:val="0"/>
              <w:snapToGrid w:val="0"/>
              <w:spacing w:line="320" w:lineRule="exact"/>
              <w:jc w:val="center"/>
              <w:rPr>
                <w:rFonts w:hint="default" w:ascii="Times New Roman" w:hAnsi="Times New Roman" w:eastAsia="仿宋" w:cs="Times New Roman"/>
                <w:color w:val="auto"/>
                <w:szCs w:val="21"/>
              </w:rPr>
            </w:pPr>
          </w:p>
        </w:tc>
        <w:tc>
          <w:tcPr>
            <w:tcW w:w="1515" w:type="dxa"/>
            <w:vMerge w:val="continue"/>
            <w:noWrap w:val="0"/>
            <w:vAlign w:val="center"/>
          </w:tcPr>
          <w:p w14:paraId="0629D218">
            <w:pPr>
              <w:adjustRightInd w:val="0"/>
              <w:snapToGrid w:val="0"/>
              <w:spacing w:line="320" w:lineRule="exact"/>
              <w:jc w:val="center"/>
              <w:rPr>
                <w:rFonts w:hint="default" w:ascii="Times New Roman" w:hAnsi="Times New Roman" w:eastAsia="仿宋" w:cs="Times New Roman"/>
                <w:color w:val="auto"/>
                <w:szCs w:val="21"/>
              </w:rPr>
            </w:pPr>
          </w:p>
        </w:tc>
        <w:tc>
          <w:tcPr>
            <w:tcW w:w="1005" w:type="dxa"/>
            <w:noWrap w:val="0"/>
            <w:vAlign w:val="center"/>
          </w:tcPr>
          <w:p w14:paraId="7663FB36">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SS</w:t>
            </w:r>
          </w:p>
        </w:tc>
        <w:tc>
          <w:tcPr>
            <w:tcW w:w="1500" w:type="dxa"/>
            <w:vMerge w:val="continue"/>
            <w:noWrap w:val="0"/>
            <w:vAlign w:val="center"/>
          </w:tcPr>
          <w:p w14:paraId="0C52C1A5">
            <w:pPr>
              <w:adjustRightInd w:val="0"/>
              <w:snapToGrid w:val="0"/>
              <w:spacing w:line="320" w:lineRule="exact"/>
              <w:jc w:val="center"/>
              <w:rPr>
                <w:rFonts w:hint="default" w:ascii="Times New Roman" w:hAnsi="Times New Roman" w:eastAsia="仿宋" w:cs="Times New Roman"/>
                <w:color w:val="auto"/>
                <w:szCs w:val="21"/>
              </w:rPr>
            </w:pPr>
          </w:p>
        </w:tc>
        <w:tc>
          <w:tcPr>
            <w:tcW w:w="3375" w:type="dxa"/>
            <w:vMerge w:val="continue"/>
            <w:noWrap w:val="0"/>
            <w:vAlign w:val="center"/>
          </w:tcPr>
          <w:p w14:paraId="1F540256">
            <w:pPr>
              <w:adjustRightInd w:val="0"/>
              <w:snapToGrid w:val="0"/>
              <w:spacing w:line="320" w:lineRule="exact"/>
              <w:jc w:val="center"/>
              <w:rPr>
                <w:rFonts w:hint="default" w:ascii="Times New Roman" w:hAnsi="Times New Roman" w:eastAsia="仿宋" w:cs="Times New Roman"/>
                <w:color w:val="auto"/>
                <w:szCs w:val="21"/>
              </w:rPr>
            </w:pPr>
          </w:p>
        </w:tc>
      </w:tr>
      <w:tr w14:paraId="10C4E4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noWrap w:val="0"/>
            <w:vAlign w:val="center"/>
          </w:tcPr>
          <w:p w14:paraId="1176EA5F">
            <w:pPr>
              <w:adjustRightInd w:val="0"/>
              <w:snapToGrid w:val="0"/>
              <w:spacing w:line="320" w:lineRule="exact"/>
              <w:jc w:val="center"/>
              <w:rPr>
                <w:rFonts w:hint="default" w:ascii="Times New Roman" w:hAnsi="Times New Roman" w:eastAsia="仿宋" w:cs="Times New Roman"/>
                <w:color w:val="auto"/>
                <w:szCs w:val="21"/>
              </w:rPr>
            </w:pPr>
          </w:p>
        </w:tc>
        <w:tc>
          <w:tcPr>
            <w:tcW w:w="1515" w:type="dxa"/>
            <w:vMerge w:val="continue"/>
            <w:noWrap w:val="0"/>
            <w:vAlign w:val="center"/>
          </w:tcPr>
          <w:p w14:paraId="0DD2DD93">
            <w:pPr>
              <w:adjustRightInd w:val="0"/>
              <w:snapToGrid w:val="0"/>
              <w:spacing w:line="320" w:lineRule="exact"/>
              <w:jc w:val="center"/>
              <w:rPr>
                <w:rFonts w:hint="default" w:ascii="Times New Roman" w:hAnsi="Times New Roman" w:eastAsia="仿宋" w:cs="Times New Roman"/>
                <w:color w:val="auto"/>
                <w:szCs w:val="21"/>
              </w:rPr>
            </w:pPr>
          </w:p>
        </w:tc>
        <w:tc>
          <w:tcPr>
            <w:tcW w:w="1005" w:type="dxa"/>
            <w:noWrap w:val="0"/>
            <w:vAlign w:val="center"/>
          </w:tcPr>
          <w:p w14:paraId="7AA4AD24">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NH</w:t>
            </w:r>
            <w:r>
              <w:rPr>
                <w:rFonts w:hint="default" w:ascii="Times New Roman" w:hAnsi="Times New Roman" w:eastAsia="仿宋" w:cs="Times New Roman"/>
                <w:color w:val="auto"/>
                <w:szCs w:val="21"/>
                <w:vertAlign w:val="subscript"/>
              </w:rPr>
              <w:t>3</w:t>
            </w:r>
            <w:r>
              <w:rPr>
                <w:rFonts w:hint="default" w:ascii="Times New Roman" w:hAnsi="Times New Roman" w:eastAsia="仿宋" w:cs="Times New Roman"/>
                <w:color w:val="auto"/>
                <w:szCs w:val="21"/>
              </w:rPr>
              <w:t>-N</w:t>
            </w:r>
          </w:p>
        </w:tc>
        <w:tc>
          <w:tcPr>
            <w:tcW w:w="1500" w:type="dxa"/>
            <w:vMerge w:val="continue"/>
            <w:noWrap w:val="0"/>
            <w:vAlign w:val="center"/>
          </w:tcPr>
          <w:p w14:paraId="5DFA6749">
            <w:pPr>
              <w:adjustRightInd w:val="0"/>
              <w:snapToGrid w:val="0"/>
              <w:spacing w:line="320" w:lineRule="exact"/>
              <w:jc w:val="center"/>
              <w:rPr>
                <w:rFonts w:hint="default" w:ascii="Times New Roman" w:hAnsi="Times New Roman" w:eastAsia="仿宋" w:cs="Times New Roman"/>
                <w:color w:val="auto"/>
                <w:szCs w:val="21"/>
              </w:rPr>
            </w:pPr>
          </w:p>
        </w:tc>
        <w:tc>
          <w:tcPr>
            <w:tcW w:w="3375" w:type="dxa"/>
            <w:vMerge w:val="continue"/>
            <w:noWrap w:val="0"/>
            <w:vAlign w:val="center"/>
          </w:tcPr>
          <w:p w14:paraId="3689D27A">
            <w:pPr>
              <w:adjustRightInd w:val="0"/>
              <w:snapToGrid w:val="0"/>
              <w:spacing w:line="320" w:lineRule="exact"/>
              <w:jc w:val="center"/>
              <w:rPr>
                <w:rFonts w:hint="default" w:ascii="Times New Roman" w:hAnsi="Times New Roman" w:eastAsia="仿宋" w:cs="Times New Roman"/>
                <w:color w:val="auto"/>
                <w:szCs w:val="21"/>
              </w:rPr>
            </w:pPr>
          </w:p>
        </w:tc>
      </w:tr>
      <w:tr w14:paraId="78AF42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noWrap w:val="0"/>
            <w:vAlign w:val="center"/>
          </w:tcPr>
          <w:p w14:paraId="3044B8B1">
            <w:pPr>
              <w:adjustRightInd w:val="0"/>
              <w:snapToGrid w:val="0"/>
              <w:spacing w:line="320" w:lineRule="exact"/>
              <w:jc w:val="center"/>
              <w:rPr>
                <w:rFonts w:hint="default" w:ascii="Times New Roman" w:hAnsi="Times New Roman" w:eastAsia="仿宋" w:cs="Times New Roman"/>
                <w:color w:val="auto"/>
                <w:szCs w:val="21"/>
              </w:rPr>
            </w:pPr>
          </w:p>
        </w:tc>
        <w:tc>
          <w:tcPr>
            <w:tcW w:w="1515" w:type="dxa"/>
            <w:vMerge w:val="continue"/>
            <w:noWrap w:val="0"/>
            <w:vAlign w:val="center"/>
          </w:tcPr>
          <w:p w14:paraId="0A88D694">
            <w:pPr>
              <w:adjustRightInd w:val="0"/>
              <w:snapToGrid w:val="0"/>
              <w:spacing w:line="320" w:lineRule="exact"/>
              <w:jc w:val="center"/>
              <w:rPr>
                <w:rFonts w:hint="default" w:ascii="Times New Roman" w:hAnsi="Times New Roman" w:eastAsia="仿宋" w:cs="Times New Roman"/>
                <w:color w:val="auto"/>
                <w:szCs w:val="21"/>
              </w:rPr>
            </w:pPr>
          </w:p>
        </w:tc>
        <w:tc>
          <w:tcPr>
            <w:tcW w:w="1005" w:type="dxa"/>
            <w:noWrap w:val="0"/>
            <w:vAlign w:val="center"/>
          </w:tcPr>
          <w:p w14:paraId="61C7ADEA">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TP</w:t>
            </w:r>
          </w:p>
        </w:tc>
        <w:tc>
          <w:tcPr>
            <w:tcW w:w="1500" w:type="dxa"/>
            <w:vMerge w:val="continue"/>
            <w:noWrap w:val="0"/>
            <w:vAlign w:val="center"/>
          </w:tcPr>
          <w:p w14:paraId="765268DA">
            <w:pPr>
              <w:adjustRightInd w:val="0"/>
              <w:snapToGrid w:val="0"/>
              <w:spacing w:line="320" w:lineRule="exact"/>
              <w:jc w:val="center"/>
              <w:rPr>
                <w:rFonts w:hint="default" w:ascii="Times New Roman" w:hAnsi="Times New Roman" w:eastAsia="仿宋" w:cs="Times New Roman"/>
                <w:color w:val="auto"/>
                <w:szCs w:val="21"/>
              </w:rPr>
            </w:pPr>
          </w:p>
        </w:tc>
        <w:tc>
          <w:tcPr>
            <w:tcW w:w="3375" w:type="dxa"/>
            <w:vMerge w:val="continue"/>
            <w:noWrap w:val="0"/>
            <w:vAlign w:val="center"/>
          </w:tcPr>
          <w:p w14:paraId="04CCD602">
            <w:pPr>
              <w:adjustRightInd w:val="0"/>
              <w:snapToGrid w:val="0"/>
              <w:spacing w:line="320" w:lineRule="exact"/>
              <w:jc w:val="center"/>
              <w:rPr>
                <w:rFonts w:hint="default" w:ascii="Times New Roman" w:hAnsi="Times New Roman" w:eastAsia="仿宋" w:cs="Times New Roman"/>
                <w:color w:val="auto"/>
                <w:szCs w:val="21"/>
              </w:rPr>
            </w:pPr>
          </w:p>
        </w:tc>
      </w:tr>
      <w:tr w14:paraId="22D14C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noWrap w:val="0"/>
            <w:vAlign w:val="center"/>
          </w:tcPr>
          <w:p w14:paraId="3828A3A8">
            <w:pPr>
              <w:adjustRightInd w:val="0"/>
              <w:snapToGrid w:val="0"/>
              <w:spacing w:line="320" w:lineRule="exact"/>
              <w:jc w:val="center"/>
              <w:rPr>
                <w:rFonts w:hint="default" w:ascii="Times New Roman" w:hAnsi="Times New Roman" w:eastAsia="仿宋" w:cs="Times New Roman"/>
                <w:color w:val="auto"/>
                <w:szCs w:val="21"/>
              </w:rPr>
            </w:pPr>
          </w:p>
        </w:tc>
        <w:tc>
          <w:tcPr>
            <w:tcW w:w="1515" w:type="dxa"/>
            <w:vMerge w:val="continue"/>
            <w:noWrap w:val="0"/>
            <w:vAlign w:val="center"/>
          </w:tcPr>
          <w:p w14:paraId="283F774D">
            <w:pPr>
              <w:adjustRightInd w:val="0"/>
              <w:snapToGrid w:val="0"/>
              <w:spacing w:line="320" w:lineRule="exact"/>
              <w:jc w:val="center"/>
              <w:rPr>
                <w:rFonts w:hint="default" w:ascii="Times New Roman" w:hAnsi="Times New Roman" w:eastAsia="仿宋" w:cs="Times New Roman"/>
                <w:color w:val="auto"/>
                <w:szCs w:val="21"/>
              </w:rPr>
            </w:pPr>
          </w:p>
        </w:tc>
        <w:tc>
          <w:tcPr>
            <w:tcW w:w="1005" w:type="dxa"/>
            <w:noWrap w:val="0"/>
            <w:vAlign w:val="center"/>
          </w:tcPr>
          <w:p w14:paraId="3D2833F4">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TN</w:t>
            </w:r>
          </w:p>
        </w:tc>
        <w:tc>
          <w:tcPr>
            <w:tcW w:w="1500" w:type="dxa"/>
            <w:vMerge w:val="continue"/>
            <w:noWrap w:val="0"/>
            <w:vAlign w:val="center"/>
          </w:tcPr>
          <w:p w14:paraId="10BDF880">
            <w:pPr>
              <w:adjustRightInd w:val="0"/>
              <w:snapToGrid w:val="0"/>
              <w:spacing w:line="320" w:lineRule="exact"/>
              <w:jc w:val="center"/>
              <w:rPr>
                <w:rFonts w:hint="default" w:ascii="Times New Roman" w:hAnsi="Times New Roman" w:eastAsia="仿宋" w:cs="Times New Roman"/>
                <w:color w:val="auto"/>
                <w:szCs w:val="21"/>
              </w:rPr>
            </w:pPr>
          </w:p>
        </w:tc>
        <w:tc>
          <w:tcPr>
            <w:tcW w:w="3375" w:type="dxa"/>
            <w:vMerge w:val="continue"/>
            <w:noWrap w:val="0"/>
            <w:vAlign w:val="center"/>
          </w:tcPr>
          <w:p w14:paraId="3E5D1209">
            <w:pPr>
              <w:adjustRightInd w:val="0"/>
              <w:snapToGrid w:val="0"/>
              <w:spacing w:line="320" w:lineRule="exact"/>
              <w:jc w:val="center"/>
              <w:rPr>
                <w:rFonts w:hint="default" w:ascii="Times New Roman" w:hAnsi="Times New Roman" w:eastAsia="仿宋" w:cs="Times New Roman"/>
                <w:color w:val="auto"/>
                <w:szCs w:val="21"/>
              </w:rPr>
            </w:pPr>
          </w:p>
        </w:tc>
      </w:tr>
      <w:tr w14:paraId="3ACDB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55AE61E5">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声环境</w:t>
            </w:r>
          </w:p>
        </w:tc>
        <w:tc>
          <w:tcPr>
            <w:tcW w:w="1515" w:type="dxa"/>
            <w:noWrap w:val="0"/>
            <w:vAlign w:val="center"/>
          </w:tcPr>
          <w:p w14:paraId="09EF8DDB">
            <w:pPr>
              <w:adjustRightInd w:val="0"/>
              <w:snapToGrid w:val="0"/>
              <w:spacing w:line="320" w:lineRule="exact"/>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lang w:val="en-US" w:eastAsia="zh-CN"/>
              </w:rPr>
              <w:t>四周厂界</w:t>
            </w:r>
          </w:p>
        </w:tc>
        <w:tc>
          <w:tcPr>
            <w:tcW w:w="1005" w:type="dxa"/>
            <w:noWrap w:val="0"/>
            <w:vAlign w:val="center"/>
          </w:tcPr>
          <w:p w14:paraId="364108F6">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噪声</w:t>
            </w:r>
          </w:p>
        </w:tc>
        <w:tc>
          <w:tcPr>
            <w:tcW w:w="1500" w:type="dxa"/>
            <w:noWrap w:val="0"/>
            <w:vAlign w:val="center"/>
          </w:tcPr>
          <w:p w14:paraId="35C95DEF">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隔声、减振</w:t>
            </w:r>
          </w:p>
        </w:tc>
        <w:tc>
          <w:tcPr>
            <w:tcW w:w="3375" w:type="dxa"/>
            <w:noWrap w:val="0"/>
            <w:vAlign w:val="center"/>
          </w:tcPr>
          <w:p w14:paraId="3834886B">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pacing w:val="-11"/>
                <w:szCs w:val="21"/>
              </w:rPr>
              <w:t>《工业企业厂界环境噪声排放标准》</w:t>
            </w:r>
            <w:r>
              <w:rPr>
                <w:rFonts w:hint="default" w:ascii="Times New Roman" w:hAnsi="Times New Roman" w:eastAsia="仿宋" w:cs="Times New Roman"/>
                <w:color w:val="auto"/>
                <w:spacing w:val="-11"/>
                <w:szCs w:val="21"/>
                <w:lang w:eastAsia="zh-CN"/>
              </w:rPr>
              <w:t>（</w:t>
            </w:r>
            <w:r>
              <w:rPr>
                <w:rFonts w:hint="default" w:ascii="Times New Roman" w:hAnsi="Times New Roman" w:eastAsia="仿宋" w:cs="Times New Roman"/>
                <w:color w:val="auto"/>
                <w:spacing w:val="-11"/>
                <w:szCs w:val="21"/>
              </w:rPr>
              <w:t>GB12348-2008</w:t>
            </w:r>
            <w:r>
              <w:rPr>
                <w:rFonts w:hint="default" w:ascii="Times New Roman" w:hAnsi="Times New Roman" w:eastAsia="仿宋" w:cs="Times New Roman"/>
                <w:color w:val="auto"/>
                <w:spacing w:val="-11"/>
                <w:szCs w:val="21"/>
                <w:lang w:eastAsia="zh-CN"/>
              </w:rPr>
              <w:t>）</w:t>
            </w:r>
            <w:r>
              <w:rPr>
                <w:rFonts w:hint="default" w:ascii="Times New Roman" w:hAnsi="Times New Roman" w:eastAsia="仿宋" w:cs="Times New Roman"/>
                <w:color w:val="auto"/>
                <w:spacing w:val="-11"/>
                <w:szCs w:val="21"/>
              </w:rPr>
              <w:t>3类</w:t>
            </w:r>
          </w:p>
        </w:tc>
      </w:tr>
      <w:tr w14:paraId="67915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516000ED">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电磁辐射</w:t>
            </w:r>
          </w:p>
        </w:tc>
        <w:tc>
          <w:tcPr>
            <w:tcW w:w="7395" w:type="dxa"/>
            <w:gridSpan w:val="4"/>
            <w:noWrap w:val="0"/>
            <w:vAlign w:val="center"/>
          </w:tcPr>
          <w:p w14:paraId="6432F69B">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w:t>
            </w:r>
            <w:r>
              <w:rPr>
                <w:rFonts w:hint="default" w:ascii="Times New Roman" w:hAnsi="Times New Roman" w:eastAsia="仿宋" w:cs="Times New Roman"/>
                <w:color w:val="auto"/>
                <w:szCs w:val="21"/>
                <w:lang w:val="en-US" w:eastAsia="zh-CN"/>
              </w:rPr>
              <w:t>生产</w:t>
            </w:r>
            <w:r>
              <w:rPr>
                <w:rFonts w:hint="default" w:ascii="Times New Roman" w:hAnsi="Times New Roman" w:eastAsia="仿宋" w:cs="Times New Roman"/>
                <w:color w:val="auto"/>
                <w:szCs w:val="21"/>
              </w:rPr>
              <w:t>过程中不使用含放射性同位素和伴有电磁辐射的设施，无放射性同位素及电磁辐射产生</w:t>
            </w:r>
          </w:p>
        </w:tc>
      </w:tr>
      <w:tr w14:paraId="030E9D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48F6A31C">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固体废物</w:t>
            </w:r>
          </w:p>
        </w:tc>
        <w:tc>
          <w:tcPr>
            <w:tcW w:w="7395" w:type="dxa"/>
            <w:gridSpan w:val="4"/>
            <w:noWrap w:val="0"/>
            <w:vAlign w:val="center"/>
          </w:tcPr>
          <w:p w14:paraId="2BD79160">
            <w:pPr>
              <w:pStyle w:val="3"/>
              <w:numPr>
                <w:ilvl w:val="0"/>
                <w:numId w:val="0"/>
              </w:numPr>
              <w:spacing w:line="320" w:lineRule="exact"/>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本项目生产过程中产生的废金属边角料、废</w:t>
            </w:r>
            <w:r>
              <w:rPr>
                <w:rFonts w:hint="default" w:ascii="Times New Roman" w:hAnsi="Times New Roman" w:eastAsia="仿宋" w:cs="Times New Roman"/>
                <w:color w:val="auto"/>
                <w:szCs w:val="21"/>
                <w:lang w:val="en-US" w:eastAsia="zh-CN"/>
              </w:rPr>
              <w:t>塑料</w:t>
            </w:r>
            <w:r>
              <w:rPr>
                <w:rFonts w:hint="default" w:ascii="Times New Roman" w:hAnsi="Times New Roman" w:eastAsia="仿宋" w:cs="Times New Roman"/>
                <w:color w:val="auto"/>
                <w:szCs w:val="21"/>
              </w:rPr>
              <w:t>边角料经收集后外售综合利用；废</w:t>
            </w:r>
            <w:r>
              <w:rPr>
                <w:rFonts w:hint="default" w:ascii="Times New Roman" w:hAnsi="Times New Roman" w:eastAsia="仿宋" w:cs="Times New Roman"/>
                <w:color w:val="auto"/>
                <w:szCs w:val="21"/>
                <w:lang w:val="en-US" w:eastAsia="zh-CN"/>
              </w:rPr>
              <w:t>切</w:t>
            </w:r>
            <w:r>
              <w:rPr>
                <w:rFonts w:hint="default" w:ascii="Times New Roman" w:hAnsi="Times New Roman" w:eastAsia="仿宋" w:cs="Times New Roman"/>
                <w:color w:val="auto"/>
                <w:szCs w:val="21"/>
              </w:rPr>
              <w:t>削液、</w:t>
            </w:r>
            <w:r>
              <w:rPr>
                <w:rFonts w:hint="default" w:ascii="Times New Roman" w:hAnsi="Times New Roman" w:eastAsia="仿宋" w:cs="Times New Roman"/>
                <w:color w:val="auto"/>
                <w:szCs w:val="21"/>
                <w:lang w:val="en-US" w:eastAsia="zh-CN"/>
              </w:rPr>
              <w:t>废液压油、废珩磨油、废包装桶、沾染废液的废抹布、手套、拖把等</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废过滤纸</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磨床灰</w:t>
            </w:r>
            <w:r>
              <w:rPr>
                <w:rFonts w:hint="default" w:ascii="Times New Roman" w:hAnsi="Times New Roman" w:eastAsia="仿宋" w:cs="Times New Roman"/>
                <w:color w:val="auto"/>
                <w:szCs w:val="21"/>
              </w:rPr>
              <w:t>、清洗废液经收集后委托有资质单位</w:t>
            </w:r>
            <w:r>
              <w:rPr>
                <w:rFonts w:hint="default" w:ascii="Times New Roman" w:hAnsi="Times New Roman" w:eastAsia="仿宋" w:cs="Times New Roman"/>
                <w:color w:val="auto"/>
                <w:szCs w:val="21"/>
                <w:lang w:val="en-US" w:eastAsia="zh-CN"/>
              </w:rPr>
              <w:t>处置</w:t>
            </w:r>
            <w:r>
              <w:rPr>
                <w:rFonts w:hint="default" w:ascii="Times New Roman" w:hAnsi="Times New Roman" w:eastAsia="仿宋" w:cs="Times New Roman"/>
                <w:color w:val="auto"/>
                <w:szCs w:val="21"/>
              </w:rPr>
              <w:t>；</w:t>
            </w:r>
            <w:r>
              <w:rPr>
                <w:rFonts w:hint="default" w:ascii="Times New Roman" w:hAnsi="Times New Roman" w:eastAsia="仿宋" w:cs="Times New Roman"/>
                <w:color w:val="auto"/>
                <w:szCs w:val="21"/>
                <w:lang w:val="en-US" w:eastAsia="zh-CN"/>
              </w:rPr>
              <w:t>珩磨油</w:t>
            </w:r>
            <w:r>
              <w:rPr>
                <w:rFonts w:hint="default" w:ascii="Times New Roman" w:hAnsi="Times New Roman" w:eastAsia="仿宋" w:cs="Times New Roman"/>
                <w:color w:val="auto"/>
                <w:szCs w:val="21"/>
              </w:rPr>
              <w:t>桶</w:t>
            </w:r>
            <w:r>
              <w:rPr>
                <w:rFonts w:hint="default" w:ascii="Times New Roman" w:hAnsi="Times New Roman" w:eastAsia="仿宋" w:cs="Times New Roman"/>
                <w:color w:val="auto"/>
                <w:szCs w:val="21"/>
                <w:lang w:val="en-US" w:eastAsia="zh-CN"/>
              </w:rPr>
              <w:t>和液压油桶</w:t>
            </w:r>
            <w:r>
              <w:rPr>
                <w:rFonts w:hint="default" w:ascii="Times New Roman" w:hAnsi="Times New Roman" w:eastAsia="仿宋" w:cs="Times New Roman"/>
                <w:color w:val="auto"/>
                <w:szCs w:val="21"/>
              </w:rPr>
              <w:t>由厂家回收</w:t>
            </w:r>
            <w:r>
              <w:rPr>
                <w:rFonts w:hint="default" w:ascii="Times New Roman" w:hAnsi="Times New Roman" w:eastAsia="仿宋" w:cs="Times New Roman"/>
                <w:color w:val="auto"/>
                <w:szCs w:val="21"/>
                <w:lang w:eastAsia="zh-CN"/>
              </w:rPr>
              <w:t>；</w:t>
            </w:r>
            <w:r>
              <w:rPr>
                <w:rFonts w:hint="default" w:ascii="Times New Roman" w:hAnsi="Times New Roman" w:eastAsia="仿宋" w:cs="Times New Roman"/>
                <w:color w:val="auto"/>
                <w:szCs w:val="21"/>
              </w:rPr>
              <w:t>生活垃圾由环卫部门统一清运。</w:t>
            </w:r>
          </w:p>
        </w:tc>
      </w:tr>
      <w:tr w14:paraId="5AAE0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26220AE2">
            <w:pPr>
              <w:adjustRightInd w:val="0"/>
              <w:snapToGrid w:val="0"/>
              <w:spacing w:line="320" w:lineRule="exact"/>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土壤及地下水污染防治措施</w:t>
            </w:r>
          </w:p>
        </w:tc>
        <w:tc>
          <w:tcPr>
            <w:tcW w:w="7395" w:type="dxa"/>
            <w:gridSpan w:val="4"/>
            <w:noWrap w:val="0"/>
            <w:vAlign w:val="center"/>
          </w:tcPr>
          <w:p w14:paraId="74E4DCC7">
            <w:pPr>
              <w:pStyle w:val="3"/>
              <w:numPr>
                <w:ilvl w:val="0"/>
                <w:numId w:val="0"/>
              </w:numPr>
              <w:spacing w:line="320" w:lineRule="exact"/>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项目利用自有厂房（购置坤鼎常州创新产业基地</w:t>
            </w:r>
            <w:r>
              <w:rPr>
                <w:rFonts w:hint="default" w:ascii="Times New Roman" w:hAnsi="Times New Roman" w:eastAsia="仿宋" w:cs="Times New Roman"/>
                <w:color w:val="auto"/>
                <w:szCs w:val="21"/>
                <w:lang w:val="en-US" w:eastAsia="zh-CN"/>
              </w:rPr>
              <w:t>9</w:t>
            </w:r>
            <w:r>
              <w:rPr>
                <w:rFonts w:hint="default" w:ascii="Times New Roman" w:hAnsi="Times New Roman" w:eastAsia="仿宋" w:cs="Times New Roman"/>
                <w:color w:val="auto"/>
                <w:szCs w:val="21"/>
              </w:rPr>
              <w:t>幢已建厂房）进行生产，</w:t>
            </w:r>
            <w:r>
              <w:rPr>
                <w:rFonts w:hint="default" w:ascii="Times New Roman" w:hAnsi="Times New Roman" w:eastAsia="仿宋" w:cs="Times New Roman"/>
                <w:color w:val="auto"/>
                <w:szCs w:val="21"/>
                <w:lang w:val="en-US" w:eastAsia="zh-CN"/>
              </w:rPr>
              <w:t>生活污水</w:t>
            </w:r>
            <w:r>
              <w:rPr>
                <w:rFonts w:hint="default" w:ascii="Times New Roman" w:hAnsi="Times New Roman" w:eastAsia="仿宋" w:cs="Times New Roman"/>
                <w:color w:val="auto"/>
                <w:szCs w:val="21"/>
              </w:rPr>
              <w:t>接管市政污水厂处理，</w:t>
            </w:r>
            <w:r>
              <w:rPr>
                <w:rFonts w:hint="default" w:ascii="Times New Roman" w:hAnsi="Times New Roman" w:eastAsia="仿宋" w:cs="Times New Roman"/>
                <w:color w:val="auto"/>
                <w:szCs w:val="21"/>
                <w:lang w:eastAsia="zh-CN"/>
              </w:rPr>
              <w:t>危废仓库</w:t>
            </w:r>
            <w:r>
              <w:rPr>
                <w:rFonts w:hint="default" w:ascii="Times New Roman" w:hAnsi="Times New Roman" w:eastAsia="仿宋" w:cs="Times New Roman"/>
                <w:color w:val="auto"/>
                <w:szCs w:val="21"/>
              </w:rPr>
              <w:t>、车间均采取防渗措施，不会对土壤及地下水环境产生影响。</w:t>
            </w:r>
          </w:p>
        </w:tc>
      </w:tr>
      <w:tr w14:paraId="60275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2799458E">
            <w:pPr>
              <w:adjustRightInd w:val="0"/>
              <w:snapToGrid w:val="0"/>
              <w:spacing w:line="320" w:lineRule="exact"/>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生态保护</w:t>
            </w:r>
          </w:p>
          <w:p w14:paraId="1A38A117">
            <w:pPr>
              <w:adjustRightInd w:val="0"/>
              <w:snapToGrid w:val="0"/>
              <w:spacing w:line="320" w:lineRule="exact"/>
              <w:jc w:val="center"/>
              <w:rPr>
                <w:rFonts w:hint="default" w:ascii="Times New Roman" w:hAnsi="Times New Roman" w:eastAsia="仿宋" w:cs="Times New Roman"/>
                <w:color w:val="auto"/>
                <w:kern w:val="0"/>
                <w:szCs w:val="21"/>
              </w:rPr>
            </w:pPr>
            <w:r>
              <w:rPr>
                <w:rFonts w:hint="default" w:ascii="Times New Roman" w:hAnsi="Times New Roman" w:eastAsia="仿宋" w:cs="Times New Roman"/>
                <w:color w:val="auto"/>
                <w:kern w:val="0"/>
                <w:szCs w:val="21"/>
              </w:rPr>
              <w:t>措施</w:t>
            </w:r>
          </w:p>
        </w:tc>
        <w:tc>
          <w:tcPr>
            <w:tcW w:w="7395" w:type="dxa"/>
            <w:gridSpan w:val="4"/>
            <w:noWrap w:val="0"/>
            <w:vAlign w:val="center"/>
          </w:tcPr>
          <w:p w14:paraId="30DFFD8D">
            <w:pPr>
              <w:adjustRightInd w:val="0"/>
              <w:snapToGrid w:val="0"/>
              <w:spacing w:line="320" w:lineRule="exact"/>
              <w:jc w:val="left"/>
              <w:rPr>
                <w:rFonts w:hint="default" w:ascii="Times New Roman" w:hAnsi="Times New Roman" w:eastAsia="仿宋" w:cs="Times New Roman"/>
                <w:color w:val="auto"/>
                <w:kern w:val="0"/>
                <w:szCs w:val="21"/>
                <w:lang w:eastAsia="zh-CN"/>
              </w:rPr>
            </w:pPr>
            <w:r>
              <w:rPr>
                <w:rFonts w:hint="default" w:ascii="Times New Roman" w:hAnsi="Times New Roman" w:eastAsia="仿宋" w:cs="Times New Roman"/>
                <w:color w:val="auto"/>
                <w:kern w:val="0"/>
                <w:szCs w:val="21"/>
              </w:rPr>
              <w:t>本项目利用自有厂房（购置坤鼎常州创新产业基地</w:t>
            </w:r>
            <w:r>
              <w:rPr>
                <w:rFonts w:hint="default" w:ascii="Times New Roman" w:hAnsi="Times New Roman" w:eastAsia="仿宋" w:cs="Times New Roman"/>
                <w:color w:val="auto"/>
                <w:kern w:val="0"/>
                <w:szCs w:val="21"/>
                <w:lang w:val="en-US" w:eastAsia="zh-CN"/>
              </w:rPr>
              <w:t>9</w:t>
            </w:r>
            <w:r>
              <w:rPr>
                <w:rFonts w:hint="default" w:ascii="Times New Roman" w:hAnsi="Times New Roman" w:eastAsia="仿宋" w:cs="Times New Roman"/>
                <w:color w:val="auto"/>
                <w:kern w:val="0"/>
                <w:szCs w:val="21"/>
              </w:rPr>
              <w:t>幢已建厂房）进行生产，对厂界外生态不产生影响</w:t>
            </w:r>
            <w:r>
              <w:rPr>
                <w:rFonts w:hint="default" w:ascii="Times New Roman" w:hAnsi="Times New Roman" w:eastAsia="仿宋" w:cs="Times New Roman"/>
                <w:color w:val="auto"/>
                <w:kern w:val="0"/>
                <w:szCs w:val="21"/>
                <w:lang w:eastAsia="zh-CN"/>
              </w:rPr>
              <w:t>。</w:t>
            </w:r>
          </w:p>
        </w:tc>
      </w:tr>
      <w:tr w14:paraId="16176D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3AA7B763">
            <w:pPr>
              <w:adjustRightInd w:val="0"/>
              <w:snapToGrid w:val="0"/>
              <w:spacing w:line="320" w:lineRule="exact"/>
              <w:jc w:val="center"/>
              <w:rPr>
                <w:rFonts w:hint="default" w:ascii="Times New Roman" w:hAnsi="Times New Roman" w:eastAsia="仿宋" w:cs="Times New Roman"/>
                <w:color w:val="auto"/>
                <w:spacing w:val="-8"/>
                <w:szCs w:val="21"/>
              </w:rPr>
            </w:pPr>
            <w:r>
              <w:rPr>
                <w:rFonts w:hint="default" w:ascii="Times New Roman" w:hAnsi="Times New Roman" w:eastAsia="仿宋" w:cs="Times New Roman"/>
                <w:color w:val="auto"/>
                <w:spacing w:val="-8"/>
                <w:szCs w:val="21"/>
              </w:rPr>
              <w:t>环境风险</w:t>
            </w:r>
          </w:p>
          <w:p w14:paraId="65C50974">
            <w:pPr>
              <w:adjustRightInd w:val="0"/>
              <w:snapToGrid w:val="0"/>
              <w:spacing w:line="320" w:lineRule="exact"/>
              <w:jc w:val="center"/>
              <w:rPr>
                <w:rFonts w:hint="default" w:ascii="Times New Roman" w:hAnsi="Times New Roman" w:eastAsia="仿宋" w:cs="Times New Roman"/>
                <w:color w:val="auto"/>
                <w:spacing w:val="-8"/>
                <w:szCs w:val="21"/>
              </w:rPr>
            </w:pPr>
            <w:r>
              <w:rPr>
                <w:rFonts w:hint="default" w:ascii="Times New Roman" w:hAnsi="Times New Roman" w:eastAsia="仿宋" w:cs="Times New Roman"/>
                <w:color w:val="auto"/>
                <w:spacing w:val="-8"/>
                <w:szCs w:val="21"/>
              </w:rPr>
              <w:t>防范措施</w:t>
            </w:r>
          </w:p>
        </w:tc>
        <w:tc>
          <w:tcPr>
            <w:tcW w:w="7395" w:type="dxa"/>
            <w:gridSpan w:val="4"/>
            <w:noWrap w:val="0"/>
            <w:vAlign w:val="center"/>
          </w:tcPr>
          <w:p w14:paraId="4EF7C39C">
            <w:pPr>
              <w:adjustRightInd w:val="0"/>
              <w:snapToGrid w:val="0"/>
              <w:spacing w:line="320" w:lineRule="exac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1、建立健全各种有关消防与安全生产的规章制度，建立岗位责任制。仓库、生产车间严禁明火，禁火区设置明显标志牌。</w:t>
            </w:r>
          </w:p>
          <w:p w14:paraId="19C74035">
            <w:pPr>
              <w:adjustRightInd w:val="0"/>
              <w:snapToGrid w:val="0"/>
              <w:spacing w:line="320" w:lineRule="exac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2、配置足量的灭火器及室内消防箱等消防设施，由专人保管和监护，并保持完好状态。</w:t>
            </w:r>
          </w:p>
          <w:p w14:paraId="51740371">
            <w:pPr>
              <w:adjustRightInd w:val="0"/>
              <w:snapToGrid w:val="0"/>
              <w:spacing w:line="320" w:lineRule="exac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3、进行定期的培训和训练。对有火灾危险的场所设置自动报警系统，一旦发生火灾，立即做出应急反应。</w:t>
            </w:r>
          </w:p>
          <w:p w14:paraId="3F59B227">
            <w:pPr>
              <w:adjustRightInd w:val="0"/>
              <w:snapToGrid w:val="0"/>
              <w:spacing w:line="320" w:lineRule="exac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4、</w:t>
            </w:r>
            <w:r>
              <w:rPr>
                <w:rFonts w:hint="default" w:ascii="Times New Roman" w:hAnsi="Times New Roman" w:eastAsia="仿宋" w:cs="Times New Roman"/>
                <w:color w:val="auto"/>
                <w:szCs w:val="21"/>
                <w:lang w:eastAsia="zh-CN"/>
              </w:rPr>
              <w:t>危废仓库</w:t>
            </w:r>
            <w:r>
              <w:rPr>
                <w:rFonts w:hint="default" w:ascii="Times New Roman" w:hAnsi="Times New Roman" w:eastAsia="仿宋" w:cs="Times New Roman"/>
                <w:color w:val="auto"/>
                <w:szCs w:val="21"/>
              </w:rPr>
              <w:t>设置监控系统，在库的出入口、内部等关键位置安装视频监控设施，进行实时监控，并与中控室联网。</w:t>
            </w:r>
          </w:p>
        </w:tc>
      </w:tr>
      <w:tr w14:paraId="450E2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noWrap w:val="0"/>
            <w:vAlign w:val="center"/>
          </w:tcPr>
          <w:p w14:paraId="1821D7AC">
            <w:pPr>
              <w:adjustRightInd w:val="0"/>
              <w:snapToGrid w:val="0"/>
              <w:spacing w:line="320" w:lineRule="exact"/>
              <w:jc w:val="center"/>
              <w:rPr>
                <w:rFonts w:hint="default" w:ascii="Times New Roman" w:hAnsi="Times New Roman" w:eastAsia="仿宋" w:cs="Times New Roman"/>
                <w:color w:val="auto"/>
                <w:spacing w:val="-8"/>
                <w:szCs w:val="21"/>
              </w:rPr>
            </w:pPr>
            <w:r>
              <w:rPr>
                <w:rFonts w:hint="default" w:ascii="Times New Roman" w:hAnsi="Times New Roman" w:eastAsia="仿宋" w:cs="Times New Roman"/>
                <w:color w:val="auto"/>
                <w:spacing w:val="-8"/>
                <w:szCs w:val="21"/>
              </w:rPr>
              <w:t>其他环境</w:t>
            </w:r>
          </w:p>
          <w:p w14:paraId="550DA5F0">
            <w:pPr>
              <w:adjustRightInd w:val="0"/>
              <w:snapToGrid w:val="0"/>
              <w:spacing w:line="320" w:lineRule="exact"/>
              <w:jc w:val="center"/>
              <w:rPr>
                <w:rFonts w:hint="default" w:ascii="Times New Roman" w:hAnsi="Times New Roman" w:eastAsia="仿宋" w:cs="Times New Roman"/>
                <w:color w:val="auto"/>
                <w:spacing w:val="-8"/>
                <w:szCs w:val="21"/>
              </w:rPr>
            </w:pPr>
            <w:r>
              <w:rPr>
                <w:rFonts w:hint="default" w:ascii="Times New Roman" w:hAnsi="Times New Roman" w:eastAsia="仿宋" w:cs="Times New Roman"/>
                <w:color w:val="auto"/>
                <w:spacing w:val="-8"/>
                <w:szCs w:val="21"/>
              </w:rPr>
              <w:t>管理要求</w:t>
            </w:r>
          </w:p>
        </w:tc>
        <w:tc>
          <w:tcPr>
            <w:tcW w:w="7395" w:type="dxa"/>
            <w:gridSpan w:val="4"/>
            <w:noWrap w:val="0"/>
            <w:vAlign w:val="center"/>
          </w:tcPr>
          <w:p w14:paraId="3C196ACD">
            <w:pPr>
              <w:adjustRightInd w:val="0"/>
              <w:snapToGrid w:val="0"/>
              <w:spacing w:line="320" w:lineRule="exact"/>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制定环境管理制度，开展日常的环境监测工作，统计整理有关环境监测资料并上报当地环保部门，检查监督环保设施的运行、维修和管理情况，开展全厂职工的环保知识教育和组织培训。</w:t>
            </w:r>
          </w:p>
        </w:tc>
      </w:tr>
    </w:tbl>
    <w:p w14:paraId="43DDF0A9">
      <w:pPr>
        <w:spacing w:before="120" w:beforeLines="50" w:line="360" w:lineRule="auto"/>
        <w:ind w:firstLine="420" w:firstLineChars="200"/>
        <w:rPr>
          <w:rFonts w:hint="default" w:ascii="Times New Roman" w:hAnsi="Times New Roman" w:eastAsia="仿宋" w:cs="Times New Roman"/>
          <w:color w:val="auto"/>
          <w:lang w:val="zh-CN"/>
        </w:rPr>
      </w:pPr>
    </w:p>
    <w:p w14:paraId="1DA100BB">
      <w:pPr>
        <w:pStyle w:val="20"/>
        <w:spacing w:before="0" w:beforeAutospacing="0" w:after="0" w:afterAutospacing="0"/>
        <w:jc w:val="center"/>
        <w:outlineLvl w:val="0"/>
        <w:rPr>
          <w:rFonts w:hint="default" w:ascii="Times New Roman" w:hAnsi="Times New Roman" w:eastAsia="仿宋" w:cs="Times New Roman"/>
          <w:snapToGrid w:val="0"/>
          <w:color w:val="auto"/>
          <w:sz w:val="30"/>
          <w:szCs w:val="30"/>
        </w:rPr>
      </w:pPr>
      <w:r>
        <w:rPr>
          <w:rFonts w:hint="default" w:ascii="Times New Roman" w:hAnsi="Times New Roman" w:eastAsia="仿宋" w:cs="Times New Roman"/>
          <w:snapToGrid w:val="0"/>
          <w:color w:val="auto"/>
        </w:rPr>
        <w:br w:type="page"/>
      </w:r>
      <w:r>
        <w:rPr>
          <w:rFonts w:hint="default" w:ascii="Times New Roman" w:hAnsi="Times New Roman" w:eastAsia="仿宋" w:cs="Times New Roman"/>
          <w:snapToGrid w:val="0"/>
          <w:color w:val="auto"/>
          <w:sz w:val="30"/>
          <w:szCs w:val="30"/>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B033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82" w:hRule="atLeast"/>
          <w:jc w:val="center"/>
        </w:trPr>
        <w:tc>
          <w:tcPr>
            <w:tcW w:w="8865" w:type="dxa"/>
            <w:noWrap w:val="0"/>
            <w:vAlign w:val="center"/>
          </w:tcPr>
          <w:p w14:paraId="0184B2FF">
            <w:pPr>
              <w:spacing w:line="360" w:lineRule="exact"/>
              <w:ind w:firstLine="456" w:firstLineChars="200"/>
              <w:rPr>
                <w:rFonts w:hint="default" w:ascii="Times New Roman" w:hAnsi="Times New Roman" w:eastAsia="仿宋" w:cs="Times New Roman"/>
                <w:color w:val="auto"/>
                <w:spacing w:val="-6"/>
                <w:sz w:val="24"/>
                <w:szCs w:val="24"/>
                <w:lang w:val="zh-CN"/>
              </w:rPr>
            </w:pPr>
            <w:r>
              <w:rPr>
                <w:rFonts w:hint="default" w:ascii="Times New Roman" w:hAnsi="Times New Roman" w:eastAsia="仿宋" w:cs="Times New Roman"/>
                <w:color w:val="auto"/>
                <w:spacing w:val="-6"/>
                <w:sz w:val="24"/>
                <w:szCs w:val="24"/>
                <w:lang w:val="zh-CN"/>
              </w:rPr>
              <w:t>本项目</w:t>
            </w:r>
            <w:r>
              <w:rPr>
                <w:rFonts w:hint="default" w:ascii="Times New Roman" w:hAnsi="Times New Roman" w:eastAsia="仿宋" w:cs="Times New Roman"/>
                <w:color w:val="auto"/>
                <w:spacing w:val="-6"/>
                <w:sz w:val="24"/>
                <w:szCs w:val="24"/>
              </w:rPr>
              <w:t>利用自有厂房（购置坤鼎常州创新产业基地</w:t>
            </w:r>
            <w:r>
              <w:rPr>
                <w:rFonts w:hint="default" w:ascii="Times New Roman" w:hAnsi="Times New Roman" w:eastAsia="仿宋" w:cs="Times New Roman"/>
                <w:color w:val="auto"/>
                <w:spacing w:val="-6"/>
                <w:sz w:val="24"/>
                <w:szCs w:val="24"/>
                <w:lang w:val="en-US" w:eastAsia="zh-CN"/>
              </w:rPr>
              <w:t>9</w:t>
            </w:r>
            <w:r>
              <w:rPr>
                <w:rFonts w:hint="default" w:ascii="Times New Roman" w:hAnsi="Times New Roman" w:eastAsia="仿宋" w:cs="Times New Roman"/>
                <w:color w:val="auto"/>
                <w:spacing w:val="-6"/>
                <w:sz w:val="24"/>
                <w:szCs w:val="24"/>
              </w:rPr>
              <w:t>幢已建厂房）进行生产</w:t>
            </w:r>
            <w:r>
              <w:rPr>
                <w:rFonts w:hint="default" w:ascii="Times New Roman" w:hAnsi="Times New Roman" w:eastAsia="仿宋" w:cs="Times New Roman"/>
                <w:color w:val="auto"/>
                <w:spacing w:val="-6"/>
                <w:sz w:val="24"/>
                <w:szCs w:val="24"/>
                <w:lang w:eastAsia="zh-CN"/>
              </w:rPr>
              <w:t>，</w:t>
            </w:r>
            <w:r>
              <w:rPr>
                <w:rFonts w:hint="default" w:ascii="Times New Roman" w:hAnsi="Times New Roman" w:eastAsia="仿宋" w:cs="Times New Roman"/>
                <w:color w:val="auto"/>
                <w:spacing w:val="-6"/>
                <w:sz w:val="24"/>
                <w:szCs w:val="24"/>
                <w:lang w:val="en-US" w:eastAsia="zh-CN"/>
              </w:rPr>
              <w:t>位于</w:t>
            </w:r>
            <w:r>
              <w:rPr>
                <w:rFonts w:hint="default" w:ascii="Times New Roman" w:hAnsi="Times New Roman" w:eastAsia="仿宋" w:cs="Times New Roman"/>
                <w:color w:val="auto"/>
                <w:sz w:val="24"/>
                <w:szCs w:val="24"/>
                <w:lang w:eastAsia="zh-CN"/>
              </w:rPr>
              <w:t>西湖街道长秀路8号</w:t>
            </w:r>
            <w:r>
              <w:rPr>
                <w:rFonts w:hint="default" w:ascii="Times New Roman" w:hAnsi="Times New Roman" w:eastAsia="仿宋" w:cs="Times New Roman"/>
                <w:color w:val="auto"/>
                <w:spacing w:val="-6"/>
                <w:sz w:val="24"/>
                <w:szCs w:val="24"/>
              </w:rPr>
              <w:t>，</w:t>
            </w:r>
            <w:r>
              <w:rPr>
                <w:rFonts w:hint="default" w:ascii="Times New Roman" w:hAnsi="Times New Roman" w:eastAsia="仿宋" w:cs="Times New Roman"/>
                <w:color w:val="auto"/>
                <w:spacing w:val="-6"/>
                <w:sz w:val="24"/>
                <w:szCs w:val="24"/>
                <w:lang w:val="zh-CN"/>
              </w:rPr>
              <w:t>总投资</w:t>
            </w:r>
            <w:r>
              <w:rPr>
                <w:rFonts w:hint="default" w:ascii="Times New Roman" w:hAnsi="Times New Roman" w:eastAsia="仿宋" w:cs="Times New Roman"/>
                <w:color w:val="auto"/>
                <w:spacing w:val="-6"/>
                <w:sz w:val="24"/>
                <w:szCs w:val="24"/>
                <w:lang w:val="en-US" w:eastAsia="zh-CN"/>
              </w:rPr>
              <w:t>30</w:t>
            </w:r>
            <w:r>
              <w:rPr>
                <w:rFonts w:hint="default" w:ascii="Times New Roman" w:hAnsi="Times New Roman" w:eastAsia="仿宋" w:cs="Times New Roman"/>
                <w:color w:val="auto"/>
                <w:spacing w:val="-6"/>
                <w:sz w:val="24"/>
                <w:szCs w:val="24"/>
              </w:rPr>
              <w:t>00</w:t>
            </w:r>
            <w:r>
              <w:rPr>
                <w:rFonts w:hint="default" w:ascii="Times New Roman" w:hAnsi="Times New Roman" w:eastAsia="仿宋" w:cs="Times New Roman"/>
                <w:color w:val="auto"/>
                <w:spacing w:val="-6"/>
                <w:sz w:val="24"/>
                <w:szCs w:val="24"/>
                <w:lang w:val="zh-CN"/>
              </w:rPr>
              <w:t>万元，符合《建设项目环境保护管理条例》（2017修订版）的相关要求；基本符合国家及地方有关产业政策；基本符合城市总体规划及用地规划要求，选址较合理；采取各项污染防治措施后污染物实现达标排放，所在地的现有环境功能不下降；建成后排放的各类污染物可以在区域内实现平衡；在做好各项风险防范及应急措施的前提下本项目的环境风险在可接受水平内。</w:t>
            </w:r>
          </w:p>
          <w:p w14:paraId="15A7FA7E">
            <w:pPr>
              <w:spacing w:line="360" w:lineRule="exact"/>
              <w:ind w:firstLine="480" w:firstLineChars="200"/>
              <w:rPr>
                <w:rFonts w:hint="default" w:ascii="Times New Roman" w:hAnsi="Times New Roman" w:eastAsia="仿宋" w:cs="Times New Roman"/>
                <w:color w:val="auto"/>
                <w:kern w:val="0"/>
                <w:sz w:val="24"/>
                <w:szCs w:val="24"/>
                <w:lang w:val="zh-CN"/>
              </w:rPr>
            </w:pPr>
            <w:r>
              <w:rPr>
                <w:rFonts w:hint="default" w:ascii="Times New Roman" w:hAnsi="Times New Roman" w:eastAsia="仿宋" w:cs="Times New Roman"/>
                <w:color w:val="auto"/>
                <w:sz w:val="24"/>
                <w:szCs w:val="24"/>
                <w:lang w:val="zh-CN"/>
              </w:rPr>
              <w:t>因此，落实本报告表提出的各项环保措施要求、严格执行环保“三同时”的前提下，从环保角度分析，本项目建设具有环境可行性。</w:t>
            </w:r>
          </w:p>
        </w:tc>
      </w:tr>
      <w:tr w14:paraId="39E159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3" w:hRule="atLeast"/>
          <w:jc w:val="center"/>
        </w:trPr>
        <w:tc>
          <w:tcPr>
            <w:tcW w:w="8865" w:type="dxa"/>
            <w:noWrap w:val="0"/>
            <w:vAlign w:val="center"/>
          </w:tcPr>
          <w:p w14:paraId="283AC3FF">
            <w:pPr>
              <w:pStyle w:val="3"/>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00" w:lineRule="exact"/>
              <w:textAlignment w:val="auto"/>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附图：</w:t>
            </w:r>
          </w:p>
          <w:p w14:paraId="2626AA9A">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zh-CN" w:eastAsia="zh-CN"/>
              </w:rPr>
              <w:t>附图</w:t>
            </w:r>
            <w:r>
              <w:rPr>
                <w:rFonts w:hint="default" w:ascii="Times New Roman" w:hAnsi="Times New Roman" w:eastAsia="仿宋" w:cs="Times New Roman"/>
                <w:color w:val="auto"/>
                <w:sz w:val="24"/>
                <w:szCs w:val="24"/>
                <w:lang w:val="en-US" w:eastAsia="zh-CN"/>
              </w:rPr>
              <w:t>1 项目地理位置图</w:t>
            </w:r>
          </w:p>
          <w:p w14:paraId="5DF33ACF">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附图2 周边环境概况图</w:t>
            </w:r>
          </w:p>
          <w:p w14:paraId="3E47A15C">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附图3 厂区平面布置图</w:t>
            </w:r>
          </w:p>
          <w:p w14:paraId="34AE7E6F">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附图4 车间平面布置图</w:t>
            </w:r>
          </w:p>
          <w:p w14:paraId="5C52953F">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附图5 区域水系图</w:t>
            </w:r>
          </w:p>
          <w:p w14:paraId="6D4B5380">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zh-CN" w:eastAsia="zh-CN"/>
              </w:rPr>
              <w:t>附图</w:t>
            </w:r>
            <w:r>
              <w:rPr>
                <w:rFonts w:hint="default" w:ascii="Times New Roman" w:hAnsi="Times New Roman" w:eastAsia="仿宋" w:cs="Times New Roman"/>
                <w:color w:val="auto"/>
                <w:sz w:val="24"/>
                <w:szCs w:val="24"/>
                <w:lang w:val="en-US" w:eastAsia="zh-CN"/>
              </w:rPr>
              <w:t>6</w:t>
            </w:r>
            <w:r>
              <w:rPr>
                <w:rFonts w:hint="default" w:ascii="Times New Roman" w:hAnsi="Times New Roman" w:eastAsia="仿宋" w:cs="Times New Roman"/>
                <w:color w:val="auto"/>
                <w:sz w:val="24"/>
                <w:szCs w:val="24"/>
                <w:lang w:val="zh-CN" w:eastAsia="zh-CN"/>
              </w:rPr>
              <w:t xml:space="preserve"> </w:t>
            </w:r>
            <w:r>
              <w:rPr>
                <w:rFonts w:hint="default" w:ascii="Times New Roman" w:hAnsi="Times New Roman" w:eastAsia="仿宋" w:cs="Times New Roman"/>
                <w:color w:val="auto"/>
                <w:sz w:val="24"/>
                <w:szCs w:val="24"/>
                <w:lang w:val="en-US" w:eastAsia="zh-CN"/>
              </w:rPr>
              <w:t>项目</w:t>
            </w:r>
            <w:r>
              <w:rPr>
                <w:rFonts w:hint="default" w:ascii="Times New Roman" w:hAnsi="Times New Roman" w:eastAsia="仿宋" w:cs="Times New Roman"/>
                <w:color w:val="auto"/>
                <w:sz w:val="24"/>
                <w:szCs w:val="24"/>
                <w:lang w:val="zh-CN" w:eastAsia="zh-CN"/>
              </w:rPr>
              <w:t>区域</w:t>
            </w:r>
            <w:r>
              <w:rPr>
                <w:rFonts w:hint="default" w:ascii="Times New Roman" w:hAnsi="Times New Roman" w:eastAsia="仿宋" w:cs="Times New Roman"/>
                <w:color w:val="auto"/>
                <w:sz w:val="24"/>
                <w:szCs w:val="24"/>
                <w:lang w:val="en-US" w:eastAsia="zh-CN"/>
              </w:rPr>
              <w:t>生态红线</w:t>
            </w:r>
            <w:r>
              <w:rPr>
                <w:rFonts w:hint="default" w:ascii="Times New Roman" w:hAnsi="Times New Roman" w:eastAsia="仿宋" w:cs="Times New Roman"/>
                <w:color w:val="auto"/>
                <w:sz w:val="24"/>
                <w:szCs w:val="24"/>
                <w:lang w:val="zh-CN" w:eastAsia="zh-CN"/>
              </w:rPr>
              <w:t>图</w:t>
            </w:r>
          </w:p>
          <w:p w14:paraId="4AFF10FF">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附图7 用地规划图</w:t>
            </w:r>
          </w:p>
          <w:p w14:paraId="783A5D91">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附图8 常州市环境管控单元图</w:t>
            </w:r>
          </w:p>
          <w:p w14:paraId="4EF29B15">
            <w:pPr>
              <w:pStyle w:val="3"/>
              <w:keepNext w:val="0"/>
              <w:keepLines w:val="0"/>
              <w:pageBreakBefore w:val="0"/>
              <w:widowControl w:val="0"/>
              <w:numPr>
                <w:ilvl w:val="0"/>
                <w:numId w:val="0"/>
              </w:numPr>
              <w:kinsoku/>
              <w:wordWrap/>
              <w:overflowPunct/>
              <w:topLinePunct w:val="0"/>
              <w:autoSpaceDE/>
              <w:autoSpaceDN/>
              <w:bidi w:val="0"/>
              <w:adjustRightInd/>
              <w:snapToGrid/>
              <w:spacing w:before="120" w:beforeLines="50" w:after="120" w:afterLines="50" w:line="300" w:lineRule="exact"/>
              <w:textAlignment w:val="auto"/>
              <w:rPr>
                <w:rFonts w:hint="default" w:ascii="Times New Roman" w:hAnsi="Times New Roman" w:eastAsia="仿宋" w:cs="Times New Roman"/>
                <w:b/>
                <w:bCs/>
                <w:color w:val="auto"/>
                <w:sz w:val="24"/>
                <w:szCs w:val="24"/>
                <w:lang w:val="zh-CN"/>
              </w:rPr>
            </w:pPr>
            <w:r>
              <w:rPr>
                <w:rFonts w:hint="default" w:ascii="Times New Roman" w:hAnsi="Times New Roman" w:eastAsia="仿宋" w:cs="Times New Roman"/>
                <w:b/>
                <w:bCs/>
                <w:color w:val="auto"/>
                <w:sz w:val="24"/>
                <w:szCs w:val="24"/>
                <w:lang w:val="zh-CN"/>
              </w:rPr>
              <w:t>附件：</w:t>
            </w:r>
          </w:p>
          <w:p w14:paraId="66B790E2">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 环评委托书</w:t>
            </w:r>
          </w:p>
          <w:p w14:paraId="25D0217C">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附件2 江苏省投资项目备案证</w:t>
            </w:r>
          </w:p>
          <w:p w14:paraId="5188AA11">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附件3 营业执照</w:t>
            </w:r>
          </w:p>
          <w:p w14:paraId="2969C7A9">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附件4 土地手续</w:t>
            </w:r>
          </w:p>
          <w:p w14:paraId="07373852">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附件5 排水许可证</w:t>
            </w:r>
          </w:p>
          <w:p w14:paraId="0CDFA128">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附件</w:t>
            </w:r>
            <w:r>
              <w:rPr>
                <w:rFonts w:hint="default" w:ascii="Times New Roman" w:hAnsi="Times New Roman" w:eastAsia="仿宋" w:cs="Times New Roman"/>
                <w:color w:val="auto"/>
                <w:sz w:val="24"/>
                <w:szCs w:val="24"/>
                <w:lang w:val="en-US" w:eastAsia="zh-CN"/>
              </w:rPr>
              <w:t>6 申报登记表</w:t>
            </w:r>
          </w:p>
          <w:p w14:paraId="598972AD">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zh-CN" w:eastAsia="zh-CN"/>
              </w:rPr>
              <w:t>附件</w:t>
            </w:r>
            <w:r>
              <w:rPr>
                <w:rFonts w:hint="default" w:ascii="Times New Roman" w:hAnsi="Times New Roman" w:eastAsia="仿宋" w:cs="Times New Roman"/>
                <w:color w:val="auto"/>
                <w:sz w:val="24"/>
                <w:szCs w:val="24"/>
                <w:lang w:val="en-US" w:eastAsia="zh-CN"/>
              </w:rPr>
              <w:t>7 环境质量现状监测报告</w:t>
            </w:r>
          </w:p>
          <w:p w14:paraId="231071AE">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zh-CN" w:eastAsia="zh-CN"/>
              </w:rPr>
              <w:t>附件</w:t>
            </w:r>
            <w:r>
              <w:rPr>
                <w:rFonts w:hint="default" w:ascii="Times New Roman" w:hAnsi="Times New Roman" w:eastAsia="仿宋" w:cs="Times New Roman"/>
                <w:color w:val="auto"/>
                <w:sz w:val="24"/>
                <w:szCs w:val="24"/>
                <w:lang w:val="en-US" w:eastAsia="zh-CN"/>
              </w:rPr>
              <w:t>8 危废处置合同</w:t>
            </w:r>
            <w:r>
              <w:rPr>
                <w:rFonts w:hint="eastAsia" w:ascii="Times New Roman" w:hAnsi="Times New Roman" w:eastAsia="仿宋" w:cs="Times New Roman"/>
                <w:color w:val="auto"/>
                <w:sz w:val="24"/>
                <w:szCs w:val="24"/>
                <w:lang w:val="en-US" w:eastAsia="zh-CN"/>
              </w:rPr>
              <w:t>及危废处置承诺书</w:t>
            </w:r>
          </w:p>
          <w:p w14:paraId="31E2BE27">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zh-CN" w:eastAsia="zh-CN"/>
              </w:rPr>
            </w:pPr>
            <w:r>
              <w:rPr>
                <w:rFonts w:hint="default" w:ascii="Times New Roman" w:hAnsi="Times New Roman" w:eastAsia="仿宋" w:cs="Times New Roman"/>
                <w:color w:val="auto"/>
                <w:sz w:val="24"/>
                <w:szCs w:val="24"/>
                <w:lang w:val="zh-CN" w:eastAsia="zh-CN"/>
              </w:rPr>
              <w:t>附件</w:t>
            </w:r>
            <w:r>
              <w:rPr>
                <w:rFonts w:hint="default" w:ascii="Times New Roman" w:hAnsi="Times New Roman" w:eastAsia="仿宋" w:cs="Times New Roman"/>
                <w:color w:val="auto"/>
                <w:sz w:val="24"/>
                <w:szCs w:val="24"/>
                <w:lang w:val="en-US" w:eastAsia="zh-CN"/>
              </w:rPr>
              <w:t>9 原有项目环保手续</w:t>
            </w:r>
          </w:p>
          <w:p w14:paraId="77539504">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附件10 编制主持人现场照片</w:t>
            </w:r>
          </w:p>
          <w:p w14:paraId="0FCA6FCB">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附件11 全文本公开证明材料</w:t>
            </w:r>
          </w:p>
          <w:p w14:paraId="7AF961B2">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附件12 滨湖污水处理厂环评批复</w:t>
            </w:r>
          </w:p>
          <w:p w14:paraId="3E8BC7DB">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附件13 省生态环境厅关于江苏武进经济开发区产业发展规划环境影响报告书的审查意见</w:t>
            </w:r>
          </w:p>
          <w:p w14:paraId="4E7DA5BB">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en-US" w:eastAsia="zh-CN"/>
              </w:rPr>
              <w:t>附件14 原辅料MSDS报告</w:t>
            </w:r>
            <w:r>
              <w:rPr>
                <w:rFonts w:hint="eastAsia" w:eastAsia="仿宋" w:cs="Times New Roman"/>
                <w:color w:val="auto"/>
                <w:sz w:val="24"/>
                <w:szCs w:val="24"/>
                <w:lang w:val="en-US" w:eastAsia="zh-CN"/>
              </w:rPr>
              <w:t>、VOCs检测报告</w:t>
            </w:r>
          </w:p>
          <w:p w14:paraId="34851860">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r>
              <w:rPr>
                <w:rFonts w:hint="default" w:ascii="Times New Roman" w:hAnsi="Times New Roman" w:eastAsia="仿宋" w:cs="Times New Roman"/>
                <w:color w:val="auto"/>
                <w:sz w:val="24"/>
                <w:szCs w:val="24"/>
                <w:lang w:val="zh-CN" w:eastAsia="zh-CN"/>
              </w:rPr>
              <w:t>附件1</w:t>
            </w:r>
            <w:r>
              <w:rPr>
                <w:rFonts w:hint="default" w:ascii="Times New Roman" w:hAnsi="Times New Roman" w:eastAsia="仿宋" w:cs="Times New Roman"/>
                <w:color w:val="auto"/>
                <w:sz w:val="24"/>
                <w:szCs w:val="24"/>
                <w:lang w:val="en-US" w:eastAsia="zh-CN"/>
              </w:rPr>
              <w:t>5 建设单位承诺书</w:t>
            </w:r>
          </w:p>
          <w:p w14:paraId="07A4FEF1">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p>
          <w:p w14:paraId="25C503AC">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p>
          <w:p w14:paraId="5B5A326C">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p>
          <w:p w14:paraId="7DF1EFBF">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p>
          <w:p w14:paraId="2BEE8990">
            <w:pPr>
              <w:keepNext w:val="0"/>
              <w:keepLines w:val="0"/>
              <w:pageBreakBefore w:val="0"/>
              <w:widowControl w:val="0"/>
              <w:tabs>
                <w:tab w:val="left" w:pos="2040"/>
              </w:tabs>
              <w:kinsoku/>
              <w:wordWrap/>
              <w:overflowPunct/>
              <w:topLinePunct w:val="0"/>
              <w:autoSpaceDE/>
              <w:autoSpaceDN/>
              <w:bidi w:val="0"/>
              <w:adjustRightInd/>
              <w:snapToGrid/>
              <w:spacing w:line="300" w:lineRule="exact"/>
              <w:ind w:firstLine="480" w:firstLineChars="200"/>
              <w:textAlignment w:val="auto"/>
              <w:rPr>
                <w:rFonts w:hint="default" w:ascii="Times New Roman" w:hAnsi="Times New Roman" w:eastAsia="仿宋" w:cs="Times New Roman"/>
                <w:color w:val="auto"/>
                <w:sz w:val="24"/>
                <w:szCs w:val="24"/>
                <w:lang w:val="en-US" w:eastAsia="zh-CN"/>
              </w:rPr>
            </w:pPr>
          </w:p>
          <w:p w14:paraId="12A020C8">
            <w:pPr>
              <w:keepNext w:val="0"/>
              <w:keepLines w:val="0"/>
              <w:pageBreakBefore w:val="0"/>
              <w:widowControl w:val="0"/>
              <w:tabs>
                <w:tab w:val="left" w:pos="2040"/>
              </w:tabs>
              <w:kinsoku/>
              <w:wordWrap/>
              <w:overflowPunct/>
              <w:topLinePunct w:val="0"/>
              <w:autoSpaceDE/>
              <w:autoSpaceDN/>
              <w:bidi w:val="0"/>
              <w:adjustRightInd/>
              <w:snapToGrid/>
              <w:spacing w:line="300" w:lineRule="exact"/>
              <w:textAlignment w:val="auto"/>
              <w:rPr>
                <w:rFonts w:hint="default" w:ascii="Times New Roman" w:hAnsi="Times New Roman" w:eastAsia="仿宋" w:cs="Times New Roman"/>
                <w:color w:val="auto"/>
                <w:sz w:val="24"/>
                <w:szCs w:val="24"/>
                <w:lang w:val="en-US" w:eastAsia="zh-CN"/>
              </w:rPr>
            </w:pPr>
          </w:p>
        </w:tc>
      </w:tr>
    </w:tbl>
    <w:p w14:paraId="64855F89">
      <w:pPr>
        <w:rPr>
          <w:rFonts w:hint="default" w:ascii="Times New Roman" w:hAnsi="Times New Roman" w:eastAsia="仿宋"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227BE4D5">
      <w:pPr>
        <w:pStyle w:val="20"/>
        <w:adjustRightInd w:val="0"/>
        <w:snapToGrid w:val="0"/>
        <w:spacing w:before="0" w:beforeAutospacing="0" w:after="0" w:afterAutospacing="0" w:line="360" w:lineRule="auto"/>
        <w:outlineLvl w:val="0"/>
        <w:rPr>
          <w:rFonts w:hint="default" w:ascii="Times New Roman" w:hAnsi="Times New Roman" w:eastAsia="仿宋" w:cs="Times New Roman"/>
          <w:snapToGrid w:val="0"/>
          <w:color w:val="auto"/>
          <w:sz w:val="32"/>
          <w:szCs w:val="32"/>
        </w:rPr>
      </w:pPr>
      <w:r>
        <w:rPr>
          <w:rFonts w:hint="default" w:ascii="Times New Roman" w:hAnsi="Times New Roman" w:eastAsia="仿宋" w:cs="Times New Roman"/>
          <w:snapToGrid w:val="0"/>
          <w:color w:val="auto"/>
          <w:sz w:val="32"/>
          <w:szCs w:val="32"/>
        </w:rPr>
        <w:t>附表</w:t>
      </w:r>
    </w:p>
    <w:p w14:paraId="54126DC8">
      <w:pPr>
        <w:pStyle w:val="20"/>
        <w:adjustRightInd w:val="0"/>
        <w:snapToGrid w:val="0"/>
        <w:spacing w:before="0" w:beforeAutospacing="0" w:after="0" w:afterAutospacing="0"/>
        <w:jc w:val="center"/>
        <w:outlineLvl w:val="0"/>
        <w:rPr>
          <w:rFonts w:hint="default" w:ascii="Times New Roman" w:hAnsi="Times New Roman" w:eastAsia="仿宋" w:cs="Times New Roman"/>
          <w:snapToGrid w:val="0"/>
          <w:color w:val="auto"/>
          <w:sz w:val="38"/>
          <w:szCs w:val="38"/>
        </w:rPr>
      </w:pPr>
      <w:r>
        <w:rPr>
          <w:rFonts w:hint="default" w:ascii="Times New Roman" w:hAnsi="Times New Roman" w:eastAsia="仿宋" w:cs="Times New Roman"/>
          <w:snapToGrid w:val="0"/>
          <w:color w:val="auto"/>
          <w:sz w:val="38"/>
          <w:szCs w:val="38"/>
        </w:rPr>
        <w:t>建设项目污染物排放量汇总表</w:t>
      </w:r>
    </w:p>
    <w:tbl>
      <w:tblPr>
        <w:tblStyle w:val="24"/>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7"/>
        <w:gridCol w:w="1507"/>
        <w:gridCol w:w="1784"/>
        <w:gridCol w:w="1472"/>
        <w:gridCol w:w="1828"/>
        <w:gridCol w:w="1622"/>
        <w:gridCol w:w="1637"/>
        <w:gridCol w:w="2005"/>
        <w:gridCol w:w="996"/>
      </w:tblGrid>
      <w:tr w14:paraId="7B1B0E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tcBorders>
              <w:tl2br w:val="single" w:color="auto" w:sz="4" w:space="0"/>
            </w:tcBorders>
            <w:noWrap w:val="0"/>
            <w:tcMar>
              <w:left w:w="28" w:type="dxa"/>
              <w:right w:w="28" w:type="dxa"/>
            </w:tcMar>
            <w:vAlign w:val="center"/>
          </w:tcPr>
          <w:p w14:paraId="7298CDCE">
            <w:pPr>
              <w:pStyle w:val="48"/>
              <w:spacing w:beforeLines="0" w:afterLines="0" w:line="320" w:lineRule="exact"/>
              <w:jc w:val="righ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项目</w:t>
            </w:r>
          </w:p>
          <w:p w14:paraId="10D0B113">
            <w:pPr>
              <w:pStyle w:val="48"/>
              <w:spacing w:beforeLines="0" w:afterLines="0" w:line="320" w:lineRule="exact"/>
              <w:jc w:val="lef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分类</w:t>
            </w:r>
          </w:p>
        </w:tc>
        <w:tc>
          <w:tcPr>
            <w:tcW w:w="1507" w:type="dxa"/>
            <w:noWrap w:val="0"/>
            <w:tcMar>
              <w:left w:w="28" w:type="dxa"/>
              <w:right w:w="28" w:type="dxa"/>
            </w:tcMar>
            <w:vAlign w:val="center"/>
          </w:tcPr>
          <w:p w14:paraId="1786EB96">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污染物名称</w:t>
            </w:r>
          </w:p>
        </w:tc>
        <w:tc>
          <w:tcPr>
            <w:tcW w:w="1784" w:type="dxa"/>
            <w:noWrap w:val="0"/>
            <w:tcMar>
              <w:left w:w="28" w:type="dxa"/>
              <w:right w:w="28" w:type="dxa"/>
            </w:tcMar>
            <w:vAlign w:val="center"/>
          </w:tcPr>
          <w:p w14:paraId="09DCC7E8">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现有工程排放量（固体废物产生量）</w:t>
            </w:r>
            <w:r>
              <w:rPr>
                <w:rFonts w:hint="default" w:ascii="Times New Roman" w:hAnsi="Times New Roman" w:eastAsia="仿宋" w:cs="Times New Roman"/>
                <w:b/>
                <w:bCs/>
                <w:snapToGrid w:val="0"/>
                <w:color w:val="auto"/>
                <w:spacing w:val="-6"/>
                <w:kern w:val="21"/>
                <w:sz w:val="21"/>
                <w:szCs w:val="21"/>
                <w:lang w:val="en-US" w:eastAsia="zh-CN"/>
              </w:rPr>
              <w:fldChar w:fldCharType="begin"/>
            </w:r>
            <w:r>
              <w:rPr>
                <w:rFonts w:hint="default" w:ascii="Times New Roman" w:hAnsi="Times New Roman" w:eastAsia="仿宋" w:cs="Times New Roman"/>
                <w:b/>
                <w:bCs/>
                <w:snapToGrid w:val="0"/>
                <w:color w:val="auto"/>
                <w:spacing w:val="-6"/>
                <w:kern w:val="21"/>
                <w:sz w:val="21"/>
                <w:szCs w:val="21"/>
                <w:lang w:val="en-US" w:eastAsia="zh-CN"/>
              </w:rPr>
              <w:instrText xml:space="preserve"> = 1 \* GB3 \* MERGEFORMAT </w:instrText>
            </w:r>
            <w:r>
              <w:rPr>
                <w:rFonts w:hint="default" w:ascii="Times New Roman" w:hAnsi="Times New Roman" w:eastAsia="仿宋" w:cs="Times New Roman"/>
                <w:b/>
                <w:bCs/>
                <w:snapToGrid w:val="0"/>
                <w:color w:val="auto"/>
                <w:spacing w:val="-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①</w:t>
            </w:r>
            <w:r>
              <w:rPr>
                <w:rFonts w:hint="default" w:ascii="Times New Roman" w:hAnsi="Times New Roman" w:eastAsia="仿宋" w:cs="Times New Roman"/>
                <w:b/>
                <w:bCs/>
                <w:snapToGrid w:val="0"/>
                <w:color w:val="auto"/>
                <w:spacing w:val="-6"/>
                <w:kern w:val="21"/>
                <w:sz w:val="21"/>
                <w:szCs w:val="21"/>
                <w:lang w:val="en-US" w:eastAsia="zh-CN"/>
              </w:rPr>
              <w:fldChar w:fldCharType="end"/>
            </w:r>
          </w:p>
        </w:tc>
        <w:tc>
          <w:tcPr>
            <w:tcW w:w="1472" w:type="dxa"/>
            <w:noWrap w:val="0"/>
            <w:tcMar>
              <w:left w:w="28" w:type="dxa"/>
              <w:right w:w="28" w:type="dxa"/>
            </w:tcMar>
            <w:vAlign w:val="center"/>
          </w:tcPr>
          <w:p w14:paraId="635E4D85">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现有工程许可排放量</w:t>
            </w:r>
            <w:r>
              <w:rPr>
                <w:rFonts w:hint="default" w:ascii="Times New Roman" w:hAnsi="Times New Roman" w:eastAsia="仿宋" w:cs="Times New Roman"/>
                <w:b/>
                <w:bCs/>
                <w:snapToGrid w:val="0"/>
                <w:color w:val="auto"/>
                <w:spacing w:val="-6"/>
                <w:kern w:val="21"/>
                <w:sz w:val="21"/>
                <w:szCs w:val="21"/>
                <w:lang w:val="en-US" w:eastAsia="zh-CN"/>
              </w:rPr>
              <w:fldChar w:fldCharType="begin"/>
            </w:r>
            <w:r>
              <w:rPr>
                <w:rFonts w:hint="default" w:ascii="Times New Roman" w:hAnsi="Times New Roman" w:eastAsia="仿宋" w:cs="Times New Roman"/>
                <w:b/>
                <w:bCs/>
                <w:snapToGrid w:val="0"/>
                <w:color w:val="auto"/>
                <w:spacing w:val="-6"/>
                <w:kern w:val="21"/>
                <w:sz w:val="21"/>
                <w:szCs w:val="21"/>
                <w:lang w:val="en-US" w:eastAsia="zh-CN"/>
              </w:rPr>
              <w:instrText xml:space="preserve"> = 2 \* GB3 \* MERGEFORMAT </w:instrText>
            </w:r>
            <w:r>
              <w:rPr>
                <w:rFonts w:hint="default" w:ascii="Times New Roman" w:hAnsi="Times New Roman" w:eastAsia="仿宋" w:cs="Times New Roman"/>
                <w:b/>
                <w:bCs/>
                <w:snapToGrid w:val="0"/>
                <w:color w:val="auto"/>
                <w:spacing w:val="-6"/>
                <w:kern w:val="21"/>
                <w:sz w:val="21"/>
                <w:szCs w:val="21"/>
                <w:lang w:val="en-US" w:eastAsia="zh-CN"/>
              </w:rPr>
              <w:fldChar w:fldCharType="separate"/>
            </w:r>
            <w:r>
              <w:rPr>
                <w:rFonts w:hint="default" w:ascii="Times New Roman" w:hAnsi="Times New Roman" w:eastAsia="仿宋" w:cs="Times New Roman"/>
                <w:b/>
                <w:bCs/>
                <w:snapToGrid w:val="0"/>
                <w:color w:val="auto"/>
                <w:spacing w:val="-6"/>
                <w:kern w:val="21"/>
                <w:sz w:val="21"/>
                <w:szCs w:val="21"/>
                <w:lang w:val="en-US" w:eastAsia="zh-CN"/>
              </w:rPr>
              <w:t>②</w:t>
            </w:r>
            <w:r>
              <w:rPr>
                <w:rFonts w:hint="default" w:ascii="Times New Roman" w:hAnsi="Times New Roman" w:eastAsia="仿宋" w:cs="Times New Roman"/>
                <w:b/>
                <w:bCs/>
                <w:snapToGrid w:val="0"/>
                <w:color w:val="auto"/>
                <w:spacing w:val="-6"/>
                <w:kern w:val="21"/>
                <w:sz w:val="21"/>
                <w:szCs w:val="21"/>
                <w:lang w:val="en-US" w:eastAsia="zh-CN"/>
              </w:rPr>
              <w:fldChar w:fldCharType="end"/>
            </w:r>
          </w:p>
        </w:tc>
        <w:tc>
          <w:tcPr>
            <w:tcW w:w="1828" w:type="dxa"/>
            <w:noWrap w:val="0"/>
            <w:tcMar>
              <w:left w:w="28" w:type="dxa"/>
              <w:right w:w="28" w:type="dxa"/>
            </w:tcMar>
            <w:vAlign w:val="center"/>
          </w:tcPr>
          <w:p w14:paraId="26072E02">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在建工程排放量（固体废物产生量）</w:t>
            </w:r>
            <w:r>
              <w:rPr>
                <w:rFonts w:hint="default" w:ascii="Times New Roman" w:hAnsi="Times New Roman" w:eastAsia="仿宋" w:cs="Times New Roman"/>
                <w:b/>
                <w:bCs/>
                <w:snapToGrid w:val="0"/>
                <w:color w:val="auto"/>
                <w:spacing w:val="-6"/>
                <w:kern w:val="21"/>
                <w:sz w:val="21"/>
                <w:szCs w:val="21"/>
                <w:lang w:val="en-US" w:eastAsia="zh-CN"/>
              </w:rPr>
              <w:fldChar w:fldCharType="begin"/>
            </w:r>
            <w:r>
              <w:rPr>
                <w:rFonts w:hint="default" w:ascii="Times New Roman" w:hAnsi="Times New Roman" w:eastAsia="仿宋" w:cs="Times New Roman"/>
                <w:b/>
                <w:bCs/>
                <w:snapToGrid w:val="0"/>
                <w:color w:val="auto"/>
                <w:spacing w:val="-6"/>
                <w:kern w:val="21"/>
                <w:sz w:val="21"/>
                <w:szCs w:val="21"/>
                <w:lang w:val="en-US" w:eastAsia="zh-CN"/>
              </w:rPr>
              <w:instrText xml:space="preserve"> = 3 \* GB3 \* MERGEFORMAT </w:instrText>
            </w:r>
            <w:r>
              <w:rPr>
                <w:rFonts w:hint="default" w:ascii="Times New Roman" w:hAnsi="Times New Roman" w:eastAsia="仿宋" w:cs="Times New Roman"/>
                <w:b/>
                <w:bCs/>
                <w:snapToGrid w:val="0"/>
                <w:color w:val="auto"/>
                <w:spacing w:val="-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③</w:t>
            </w:r>
            <w:r>
              <w:rPr>
                <w:rFonts w:hint="default" w:ascii="Times New Roman" w:hAnsi="Times New Roman" w:eastAsia="仿宋" w:cs="Times New Roman"/>
                <w:b/>
                <w:bCs/>
                <w:snapToGrid w:val="0"/>
                <w:color w:val="auto"/>
                <w:spacing w:val="-6"/>
                <w:kern w:val="21"/>
                <w:sz w:val="21"/>
                <w:szCs w:val="21"/>
                <w:lang w:val="en-US" w:eastAsia="zh-CN"/>
              </w:rPr>
              <w:fldChar w:fldCharType="end"/>
            </w:r>
          </w:p>
        </w:tc>
        <w:tc>
          <w:tcPr>
            <w:tcW w:w="1622" w:type="dxa"/>
            <w:noWrap w:val="0"/>
            <w:tcMar>
              <w:left w:w="28" w:type="dxa"/>
              <w:right w:w="28" w:type="dxa"/>
            </w:tcMar>
            <w:vAlign w:val="center"/>
          </w:tcPr>
          <w:p w14:paraId="1D3817F6">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本项目排放量（固体废物产生量）</w:t>
            </w:r>
            <w:r>
              <w:rPr>
                <w:rFonts w:hint="default" w:ascii="Times New Roman" w:hAnsi="Times New Roman" w:eastAsia="仿宋" w:cs="Times New Roman"/>
                <w:b/>
                <w:bCs/>
                <w:snapToGrid w:val="0"/>
                <w:color w:val="auto"/>
                <w:spacing w:val="-6"/>
                <w:kern w:val="21"/>
                <w:sz w:val="21"/>
                <w:szCs w:val="21"/>
                <w:lang w:val="en-US" w:eastAsia="zh-CN"/>
              </w:rPr>
              <w:fldChar w:fldCharType="begin"/>
            </w:r>
            <w:r>
              <w:rPr>
                <w:rFonts w:hint="default" w:ascii="Times New Roman" w:hAnsi="Times New Roman" w:eastAsia="仿宋" w:cs="Times New Roman"/>
                <w:b/>
                <w:bCs/>
                <w:snapToGrid w:val="0"/>
                <w:color w:val="auto"/>
                <w:spacing w:val="-6"/>
                <w:kern w:val="21"/>
                <w:sz w:val="21"/>
                <w:szCs w:val="21"/>
                <w:lang w:val="en-US" w:eastAsia="zh-CN"/>
              </w:rPr>
              <w:instrText xml:space="preserve"> = 4 \* GB3 \* MERGEFORMAT </w:instrText>
            </w:r>
            <w:r>
              <w:rPr>
                <w:rFonts w:hint="default" w:ascii="Times New Roman" w:hAnsi="Times New Roman" w:eastAsia="仿宋" w:cs="Times New Roman"/>
                <w:b/>
                <w:bCs/>
                <w:snapToGrid w:val="0"/>
                <w:color w:val="auto"/>
                <w:spacing w:val="-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④</w:t>
            </w:r>
            <w:r>
              <w:rPr>
                <w:rFonts w:hint="default" w:ascii="Times New Roman" w:hAnsi="Times New Roman" w:eastAsia="仿宋" w:cs="Times New Roman"/>
                <w:b/>
                <w:bCs/>
                <w:snapToGrid w:val="0"/>
                <w:color w:val="auto"/>
                <w:spacing w:val="-6"/>
                <w:kern w:val="21"/>
                <w:sz w:val="21"/>
                <w:szCs w:val="21"/>
                <w:lang w:val="en-US" w:eastAsia="zh-CN"/>
              </w:rPr>
              <w:fldChar w:fldCharType="end"/>
            </w:r>
          </w:p>
        </w:tc>
        <w:tc>
          <w:tcPr>
            <w:tcW w:w="1637" w:type="dxa"/>
            <w:noWrap w:val="0"/>
            <w:tcMar>
              <w:left w:w="28" w:type="dxa"/>
              <w:right w:w="28" w:type="dxa"/>
            </w:tcMar>
            <w:vAlign w:val="center"/>
          </w:tcPr>
          <w:p w14:paraId="1A754BDA">
            <w:pPr>
              <w:pStyle w:val="48"/>
              <w:spacing w:beforeLines="0" w:afterLines="0" w:line="320" w:lineRule="exact"/>
              <w:rPr>
                <w:rFonts w:hint="default" w:ascii="Times New Roman" w:hAnsi="Times New Roman" w:eastAsia="仿宋" w:cs="Times New Roman"/>
                <w:b/>
                <w:bCs/>
                <w:snapToGrid w:val="0"/>
                <w:color w:val="auto"/>
                <w:spacing w:val="-16"/>
                <w:kern w:val="21"/>
                <w:sz w:val="21"/>
                <w:szCs w:val="21"/>
                <w:lang w:val="en-US" w:eastAsia="zh-CN"/>
              </w:rPr>
            </w:pPr>
            <w:r>
              <w:rPr>
                <w:rFonts w:hint="default" w:ascii="Times New Roman" w:hAnsi="Times New Roman" w:eastAsia="仿宋" w:cs="Times New Roman"/>
                <w:b/>
                <w:bCs/>
                <w:snapToGrid w:val="0"/>
                <w:color w:val="auto"/>
                <w:spacing w:val="-16"/>
                <w:kern w:val="21"/>
                <w:sz w:val="21"/>
                <w:szCs w:val="21"/>
                <w:lang w:val="en-US" w:eastAsia="zh-CN"/>
              </w:rPr>
              <w:t>以新带老削减量</w:t>
            </w:r>
          </w:p>
          <w:p w14:paraId="3F9FDF7A">
            <w:pPr>
              <w:pStyle w:val="48"/>
              <w:spacing w:beforeLines="0" w:afterLines="0" w:line="320" w:lineRule="exact"/>
              <w:rPr>
                <w:rFonts w:hint="default" w:ascii="Times New Roman" w:hAnsi="Times New Roman" w:eastAsia="仿宋" w:cs="Times New Roman"/>
                <w:b/>
                <w:bCs/>
                <w:snapToGrid w:val="0"/>
                <w:color w:val="auto"/>
                <w:spacing w:val="-16"/>
                <w:kern w:val="21"/>
                <w:sz w:val="21"/>
                <w:szCs w:val="21"/>
                <w:lang w:val="en-US" w:eastAsia="zh-CN"/>
              </w:rPr>
            </w:pPr>
            <w:r>
              <w:rPr>
                <w:rFonts w:hint="default" w:ascii="Times New Roman" w:hAnsi="Times New Roman" w:eastAsia="仿宋" w:cs="Times New Roman"/>
                <w:b/>
                <w:bCs/>
                <w:snapToGrid w:val="0"/>
                <w:color w:val="auto"/>
                <w:spacing w:val="-16"/>
                <w:kern w:val="21"/>
                <w:sz w:val="21"/>
                <w:szCs w:val="21"/>
                <w:lang w:val="en-US" w:eastAsia="zh-CN"/>
              </w:rPr>
              <w:t>（新建项目不填）</w:t>
            </w:r>
            <w:r>
              <w:rPr>
                <w:rFonts w:hint="default" w:ascii="Times New Roman" w:hAnsi="Times New Roman" w:eastAsia="仿宋" w:cs="Times New Roman"/>
                <w:b/>
                <w:bCs/>
                <w:snapToGrid w:val="0"/>
                <w:color w:val="auto"/>
                <w:spacing w:val="-16"/>
                <w:kern w:val="21"/>
                <w:sz w:val="21"/>
                <w:szCs w:val="21"/>
                <w:lang w:val="en-US" w:eastAsia="zh-CN"/>
              </w:rPr>
              <w:fldChar w:fldCharType="begin"/>
            </w:r>
            <w:r>
              <w:rPr>
                <w:rFonts w:hint="default" w:ascii="Times New Roman" w:hAnsi="Times New Roman" w:eastAsia="仿宋" w:cs="Times New Roman"/>
                <w:b/>
                <w:bCs/>
                <w:snapToGrid w:val="0"/>
                <w:color w:val="auto"/>
                <w:spacing w:val="-16"/>
                <w:kern w:val="21"/>
                <w:sz w:val="21"/>
                <w:szCs w:val="21"/>
                <w:lang w:val="en-US" w:eastAsia="zh-CN"/>
              </w:rPr>
              <w:instrText xml:space="preserve"> = 5 \* GB3 \* MERGEFORMAT </w:instrText>
            </w:r>
            <w:r>
              <w:rPr>
                <w:rFonts w:hint="default" w:ascii="Times New Roman" w:hAnsi="Times New Roman" w:eastAsia="仿宋" w:cs="Times New Roman"/>
                <w:b/>
                <w:bCs/>
                <w:snapToGrid w:val="0"/>
                <w:color w:val="auto"/>
                <w:spacing w:val="-1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⑤</w:t>
            </w:r>
            <w:r>
              <w:rPr>
                <w:rFonts w:hint="default" w:ascii="Times New Roman" w:hAnsi="Times New Roman" w:eastAsia="仿宋" w:cs="Times New Roman"/>
                <w:b/>
                <w:bCs/>
                <w:snapToGrid w:val="0"/>
                <w:color w:val="auto"/>
                <w:spacing w:val="-16"/>
                <w:kern w:val="21"/>
                <w:sz w:val="21"/>
                <w:szCs w:val="21"/>
                <w:lang w:val="en-US" w:eastAsia="zh-CN"/>
              </w:rPr>
              <w:fldChar w:fldCharType="end"/>
            </w:r>
          </w:p>
        </w:tc>
        <w:tc>
          <w:tcPr>
            <w:tcW w:w="2005" w:type="dxa"/>
            <w:noWrap w:val="0"/>
            <w:tcMar>
              <w:left w:w="28" w:type="dxa"/>
              <w:right w:w="28" w:type="dxa"/>
            </w:tcMar>
            <w:vAlign w:val="center"/>
          </w:tcPr>
          <w:p w14:paraId="313E2C43">
            <w:pPr>
              <w:pStyle w:val="48"/>
              <w:spacing w:beforeLines="0" w:afterLines="0" w:line="320" w:lineRule="exact"/>
              <w:rPr>
                <w:rFonts w:hint="default" w:ascii="Times New Roman" w:hAnsi="Times New Roman" w:eastAsia="仿宋" w:cs="Times New Roman"/>
                <w:b/>
                <w:bCs/>
                <w:snapToGrid w:val="0"/>
                <w:color w:val="auto"/>
                <w:spacing w:val="-16"/>
                <w:kern w:val="21"/>
                <w:sz w:val="21"/>
                <w:szCs w:val="21"/>
                <w:lang w:val="en-US" w:eastAsia="zh-CN"/>
              </w:rPr>
            </w:pPr>
            <w:r>
              <w:rPr>
                <w:rFonts w:hint="default" w:ascii="Times New Roman" w:hAnsi="Times New Roman" w:eastAsia="仿宋" w:cs="Times New Roman"/>
                <w:b/>
                <w:bCs/>
                <w:snapToGrid w:val="0"/>
                <w:color w:val="auto"/>
                <w:spacing w:val="-16"/>
                <w:kern w:val="21"/>
                <w:sz w:val="21"/>
                <w:szCs w:val="21"/>
                <w:lang w:val="en-US" w:eastAsia="zh-CN"/>
              </w:rPr>
              <w:t>本项目建成后全厂排放量（固体废物产生量）</w:t>
            </w:r>
            <w:r>
              <w:rPr>
                <w:rFonts w:hint="default" w:ascii="Times New Roman" w:hAnsi="Times New Roman" w:eastAsia="仿宋" w:cs="Times New Roman"/>
                <w:b/>
                <w:bCs/>
                <w:snapToGrid w:val="0"/>
                <w:color w:val="auto"/>
                <w:spacing w:val="-16"/>
                <w:kern w:val="21"/>
                <w:sz w:val="21"/>
                <w:szCs w:val="21"/>
                <w:lang w:val="en-US" w:eastAsia="zh-CN"/>
              </w:rPr>
              <w:fldChar w:fldCharType="begin"/>
            </w:r>
            <w:r>
              <w:rPr>
                <w:rFonts w:hint="default" w:ascii="Times New Roman" w:hAnsi="Times New Roman" w:eastAsia="仿宋" w:cs="Times New Roman"/>
                <w:b/>
                <w:bCs/>
                <w:snapToGrid w:val="0"/>
                <w:color w:val="auto"/>
                <w:spacing w:val="-16"/>
                <w:kern w:val="21"/>
                <w:sz w:val="21"/>
                <w:szCs w:val="21"/>
                <w:lang w:val="en-US" w:eastAsia="zh-CN"/>
              </w:rPr>
              <w:instrText xml:space="preserve"> = 6 \* GB3 \* MERGEFORMAT </w:instrText>
            </w:r>
            <w:r>
              <w:rPr>
                <w:rFonts w:hint="default" w:ascii="Times New Roman" w:hAnsi="Times New Roman" w:eastAsia="仿宋" w:cs="Times New Roman"/>
                <w:b/>
                <w:bCs/>
                <w:snapToGrid w:val="0"/>
                <w:color w:val="auto"/>
                <w:spacing w:val="-1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⑥</w:t>
            </w:r>
            <w:r>
              <w:rPr>
                <w:rFonts w:hint="default" w:ascii="Times New Roman" w:hAnsi="Times New Roman" w:eastAsia="仿宋" w:cs="Times New Roman"/>
                <w:b/>
                <w:bCs/>
                <w:snapToGrid w:val="0"/>
                <w:color w:val="auto"/>
                <w:spacing w:val="-16"/>
                <w:kern w:val="21"/>
                <w:sz w:val="21"/>
                <w:szCs w:val="21"/>
                <w:lang w:val="en-US" w:eastAsia="zh-CN"/>
              </w:rPr>
              <w:fldChar w:fldCharType="end"/>
            </w:r>
          </w:p>
        </w:tc>
        <w:tc>
          <w:tcPr>
            <w:tcW w:w="996" w:type="dxa"/>
            <w:noWrap w:val="0"/>
            <w:tcMar>
              <w:left w:w="28" w:type="dxa"/>
              <w:right w:w="28" w:type="dxa"/>
            </w:tcMar>
            <w:vAlign w:val="center"/>
          </w:tcPr>
          <w:p w14:paraId="72CAD340">
            <w:pPr>
              <w:pStyle w:val="48"/>
              <w:spacing w:beforeLines="0" w:afterLines="0" w:line="320" w:lineRule="exact"/>
              <w:rPr>
                <w:rFonts w:hint="default" w:ascii="Times New Roman" w:hAnsi="Times New Roman" w:eastAsia="仿宋" w:cs="Times New Roman"/>
                <w:b/>
                <w:bCs/>
                <w:snapToGrid w:val="0"/>
                <w:color w:val="auto"/>
                <w:spacing w:val="-6"/>
                <w:kern w:val="21"/>
                <w:sz w:val="21"/>
                <w:szCs w:val="21"/>
                <w:lang w:val="en-US" w:eastAsia="zh-CN"/>
              </w:rPr>
            </w:pPr>
            <w:r>
              <w:rPr>
                <w:rFonts w:hint="default" w:ascii="Times New Roman" w:hAnsi="Times New Roman" w:eastAsia="仿宋" w:cs="Times New Roman"/>
                <w:b/>
                <w:bCs/>
                <w:snapToGrid w:val="0"/>
                <w:color w:val="auto"/>
                <w:spacing w:val="-6"/>
                <w:kern w:val="21"/>
                <w:sz w:val="21"/>
                <w:szCs w:val="21"/>
                <w:lang w:val="en-US" w:eastAsia="zh-CN"/>
              </w:rPr>
              <w:t>变化量</w:t>
            </w:r>
            <w:r>
              <w:rPr>
                <w:rFonts w:hint="default" w:ascii="Times New Roman" w:hAnsi="Times New Roman" w:eastAsia="仿宋" w:cs="Times New Roman"/>
                <w:b/>
                <w:bCs/>
                <w:snapToGrid w:val="0"/>
                <w:color w:val="auto"/>
                <w:spacing w:val="-6"/>
                <w:kern w:val="21"/>
                <w:sz w:val="21"/>
                <w:szCs w:val="21"/>
                <w:lang w:val="en-US" w:eastAsia="zh-CN"/>
              </w:rPr>
              <w:fldChar w:fldCharType="begin"/>
            </w:r>
            <w:r>
              <w:rPr>
                <w:rFonts w:hint="default" w:ascii="Times New Roman" w:hAnsi="Times New Roman" w:eastAsia="仿宋" w:cs="Times New Roman"/>
                <w:b/>
                <w:bCs/>
                <w:snapToGrid w:val="0"/>
                <w:color w:val="auto"/>
                <w:spacing w:val="-6"/>
                <w:kern w:val="21"/>
                <w:sz w:val="21"/>
                <w:szCs w:val="21"/>
                <w:lang w:val="en-US" w:eastAsia="zh-CN"/>
              </w:rPr>
              <w:instrText xml:space="preserve"> = 7 \* GB3 \* MERGEFORMAT </w:instrText>
            </w:r>
            <w:r>
              <w:rPr>
                <w:rFonts w:hint="default" w:ascii="Times New Roman" w:hAnsi="Times New Roman" w:eastAsia="仿宋" w:cs="Times New Roman"/>
                <w:b/>
                <w:bCs/>
                <w:snapToGrid w:val="0"/>
                <w:color w:val="auto"/>
                <w:spacing w:val="-6"/>
                <w:kern w:val="21"/>
                <w:sz w:val="21"/>
                <w:szCs w:val="21"/>
                <w:lang w:val="en-US" w:eastAsia="zh-CN"/>
              </w:rPr>
              <w:fldChar w:fldCharType="separate"/>
            </w:r>
            <w:r>
              <w:rPr>
                <w:rFonts w:hint="default" w:ascii="Times New Roman" w:hAnsi="Times New Roman" w:eastAsia="仿宋" w:cs="Times New Roman"/>
                <w:b/>
                <w:bCs/>
                <w:color w:val="auto"/>
                <w:kern w:val="2"/>
                <w:sz w:val="21"/>
                <w:szCs w:val="21"/>
                <w:lang w:val="en-US" w:eastAsia="zh-CN"/>
              </w:rPr>
              <w:t>⑦</w:t>
            </w:r>
            <w:r>
              <w:rPr>
                <w:rFonts w:hint="default" w:ascii="Times New Roman" w:hAnsi="Times New Roman" w:eastAsia="仿宋" w:cs="Times New Roman"/>
                <w:b/>
                <w:bCs/>
                <w:snapToGrid w:val="0"/>
                <w:color w:val="auto"/>
                <w:spacing w:val="-6"/>
                <w:kern w:val="21"/>
                <w:sz w:val="21"/>
                <w:szCs w:val="21"/>
                <w:lang w:val="en-US" w:eastAsia="zh-CN"/>
              </w:rPr>
              <w:fldChar w:fldCharType="end"/>
            </w:r>
          </w:p>
        </w:tc>
      </w:tr>
      <w:tr w14:paraId="23D8D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937" w:type="dxa"/>
            <w:vMerge w:val="restart"/>
            <w:noWrap w:val="0"/>
            <w:vAlign w:val="center"/>
          </w:tcPr>
          <w:p w14:paraId="706FA56F">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废水</w:t>
            </w:r>
          </w:p>
        </w:tc>
        <w:tc>
          <w:tcPr>
            <w:tcW w:w="1507" w:type="dxa"/>
            <w:noWrap w:val="0"/>
            <w:vAlign w:val="center"/>
          </w:tcPr>
          <w:p w14:paraId="1DF56335">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废水量</w:t>
            </w:r>
          </w:p>
        </w:tc>
        <w:tc>
          <w:tcPr>
            <w:tcW w:w="1784" w:type="dxa"/>
            <w:noWrap w:val="0"/>
            <w:vAlign w:val="center"/>
          </w:tcPr>
          <w:p w14:paraId="19B9532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5355B90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46B023C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1BD1CCD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1920</w:t>
            </w:r>
          </w:p>
        </w:tc>
        <w:tc>
          <w:tcPr>
            <w:tcW w:w="1637" w:type="dxa"/>
            <w:noWrap w:val="0"/>
            <w:vAlign w:val="center"/>
          </w:tcPr>
          <w:p w14:paraId="5F80C9D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4AB857A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1920</w:t>
            </w:r>
          </w:p>
        </w:tc>
        <w:tc>
          <w:tcPr>
            <w:tcW w:w="996" w:type="dxa"/>
            <w:noWrap w:val="0"/>
            <w:vAlign w:val="center"/>
          </w:tcPr>
          <w:p w14:paraId="6E65400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+1920</w:t>
            </w:r>
          </w:p>
        </w:tc>
      </w:tr>
      <w:tr w14:paraId="76CE8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442994B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022A07C8">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COD</w:t>
            </w:r>
          </w:p>
        </w:tc>
        <w:tc>
          <w:tcPr>
            <w:tcW w:w="1784" w:type="dxa"/>
            <w:noWrap w:val="0"/>
            <w:vAlign w:val="center"/>
          </w:tcPr>
          <w:p w14:paraId="4C0CB6C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4567F0D3">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5508C3AE">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1D926654">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0.768</w:t>
            </w:r>
          </w:p>
        </w:tc>
        <w:tc>
          <w:tcPr>
            <w:tcW w:w="1637" w:type="dxa"/>
            <w:noWrap w:val="0"/>
            <w:vAlign w:val="center"/>
          </w:tcPr>
          <w:p w14:paraId="31115880">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6910015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0.768</w:t>
            </w:r>
          </w:p>
        </w:tc>
        <w:tc>
          <w:tcPr>
            <w:tcW w:w="996" w:type="dxa"/>
            <w:noWrap w:val="0"/>
            <w:vAlign w:val="center"/>
          </w:tcPr>
          <w:p w14:paraId="78997C53">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+0.768</w:t>
            </w:r>
          </w:p>
        </w:tc>
      </w:tr>
      <w:tr w14:paraId="035AFA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080CB60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2A79C752">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SS</w:t>
            </w:r>
          </w:p>
        </w:tc>
        <w:tc>
          <w:tcPr>
            <w:tcW w:w="1784" w:type="dxa"/>
            <w:noWrap w:val="0"/>
            <w:vAlign w:val="center"/>
          </w:tcPr>
          <w:p w14:paraId="1DB7B73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074C9FDD">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0B777E4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CA4885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0.576</w:t>
            </w:r>
          </w:p>
        </w:tc>
        <w:tc>
          <w:tcPr>
            <w:tcW w:w="1637" w:type="dxa"/>
            <w:noWrap w:val="0"/>
            <w:vAlign w:val="center"/>
          </w:tcPr>
          <w:p w14:paraId="538F94C3">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63C58EA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0.576</w:t>
            </w:r>
          </w:p>
        </w:tc>
        <w:tc>
          <w:tcPr>
            <w:tcW w:w="996" w:type="dxa"/>
            <w:noWrap w:val="0"/>
            <w:vAlign w:val="center"/>
          </w:tcPr>
          <w:p w14:paraId="35B4C1F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+0.576</w:t>
            </w:r>
          </w:p>
        </w:tc>
      </w:tr>
      <w:tr w14:paraId="7B783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302235FC">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01844CEE">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NH</w:t>
            </w:r>
            <w:r>
              <w:rPr>
                <w:rFonts w:hint="default" w:ascii="Times New Roman" w:hAnsi="Times New Roman" w:eastAsia="仿宋" w:cs="Times New Roman"/>
                <w:color w:val="auto"/>
                <w:kern w:val="2"/>
                <w:sz w:val="21"/>
                <w:szCs w:val="21"/>
                <w:vertAlign w:val="subscript"/>
                <w:lang w:val="en-US" w:eastAsia="zh-CN" w:bidi="ar-SA"/>
              </w:rPr>
              <w:t>3</w:t>
            </w:r>
            <w:r>
              <w:rPr>
                <w:rFonts w:hint="default" w:ascii="Times New Roman" w:hAnsi="Times New Roman" w:eastAsia="仿宋" w:cs="Times New Roman"/>
                <w:color w:val="auto"/>
                <w:kern w:val="2"/>
                <w:sz w:val="21"/>
                <w:szCs w:val="21"/>
                <w:lang w:val="en-US" w:eastAsia="zh-CN" w:bidi="ar-SA"/>
              </w:rPr>
              <w:t>-N</w:t>
            </w:r>
          </w:p>
        </w:tc>
        <w:tc>
          <w:tcPr>
            <w:tcW w:w="1784" w:type="dxa"/>
            <w:noWrap w:val="0"/>
            <w:vAlign w:val="center"/>
          </w:tcPr>
          <w:p w14:paraId="59619AA4">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3B4C777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1E42AEC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17FCA73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0.048</w:t>
            </w:r>
          </w:p>
        </w:tc>
        <w:tc>
          <w:tcPr>
            <w:tcW w:w="1637" w:type="dxa"/>
            <w:noWrap w:val="0"/>
            <w:vAlign w:val="center"/>
          </w:tcPr>
          <w:p w14:paraId="24C9A9C6">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66248BEF">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0.048</w:t>
            </w:r>
          </w:p>
        </w:tc>
        <w:tc>
          <w:tcPr>
            <w:tcW w:w="996" w:type="dxa"/>
            <w:noWrap w:val="0"/>
            <w:vAlign w:val="center"/>
          </w:tcPr>
          <w:p w14:paraId="61016F1F">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+0.048</w:t>
            </w:r>
          </w:p>
        </w:tc>
      </w:tr>
      <w:tr w14:paraId="3DD82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7D7B916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5B07982D">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TN</w:t>
            </w:r>
          </w:p>
        </w:tc>
        <w:tc>
          <w:tcPr>
            <w:tcW w:w="1784" w:type="dxa"/>
            <w:noWrap w:val="0"/>
            <w:vAlign w:val="center"/>
          </w:tcPr>
          <w:p w14:paraId="26FCB6C0">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1373F128">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656123A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706B4959">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0.096</w:t>
            </w:r>
          </w:p>
        </w:tc>
        <w:tc>
          <w:tcPr>
            <w:tcW w:w="1637" w:type="dxa"/>
            <w:noWrap w:val="0"/>
            <w:vAlign w:val="center"/>
          </w:tcPr>
          <w:p w14:paraId="39D5627D">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771D65D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0.096</w:t>
            </w:r>
          </w:p>
        </w:tc>
        <w:tc>
          <w:tcPr>
            <w:tcW w:w="996" w:type="dxa"/>
            <w:noWrap w:val="0"/>
            <w:vAlign w:val="center"/>
          </w:tcPr>
          <w:p w14:paraId="6C08A05E">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+0.096</w:t>
            </w:r>
          </w:p>
        </w:tc>
      </w:tr>
      <w:tr w14:paraId="5ED1E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6DE4527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20D617C0">
            <w:pPr>
              <w:widowControl/>
              <w:adjustRightInd w:val="0"/>
              <w:snapToGrid w:val="0"/>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TP</w:t>
            </w:r>
          </w:p>
        </w:tc>
        <w:tc>
          <w:tcPr>
            <w:tcW w:w="1784" w:type="dxa"/>
            <w:noWrap w:val="0"/>
            <w:vAlign w:val="center"/>
          </w:tcPr>
          <w:p w14:paraId="41A78C0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661A2F9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0D11E96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84B4B40">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0.0096</w:t>
            </w:r>
          </w:p>
        </w:tc>
        <w:tc>
          <w:tcPr>
            <w:tcW w:w="1637" w:type="dxa"/>
            <w:noWrap w:val="0"/>
            <w:vAlign w:val="center"/>
          </w:tcPr>
          <w:p w14:paraId="1B229DB0">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0187EBF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0.0096</w:t>
            </w:r>
          </w:p>
        </w:tc>
        <w:tc>
          <w:tcPr>
            <w:tcW w:w="996" w:type="dxa"/>
            <w:noWrap w:val="0"/>
            <w:vAlign w:val="center"/>
          </w:tcPr>
          <w:p w14:paraId="4CECABD0">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+0.0096</w:t>
            </w:r>
          </w:p>
        </w:tc>
      </w:tr>
      <w:tr w14:paraId="2CA20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37" w:type="dxa"/>
            <w:vMerge w:val="restart"/>
            <w:noWrap w:val="0"/>
            <w:vAlign w:val="center"/>
          </w:tcPr>
          <w:p w14:paraId="0E652C0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一般工业固体废物</w:t>
            </w:r>
          </w:p>
        </w:tc>
        <w:tc>
          <w:tcPr>
            <w:tcW w:w="1507" w:type="dxa"/>
            <w:noWrap w:val="0"/>
            <w:vAlign w:val="center"/>
          </w:tcPr>
          <w:p w14:paraId="031D05D8">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废金属边角料</w:t>
            </w:r>
          </w:p>
        </w:tc>
        <w:tc>
          <w:tcPr>
            <w:tcW w:w="1784" w:type="dxa"/>
            <w:noWrap w:val="0"/>
            <w:vAlign w:val="center"/>
          </w:tcPr>
          <w:p w14:paraId="61CBD4E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219123A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2CEF6AF4">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6EF067F3">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1637" w:type="dxa"/>
            <w:noWrap w:val="0"/>
            <w:vAlign w:val="center"/>
          </w:tcPr>
          <w:p w14:paraId="0905D2D5">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6BB3083C">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c>
          <w:tcPr>
            <w:tcW w:w="996" w:type="dxa"/>
            <w:noWrap w:val="0"/>
            <w:vAlign w:val="center"/>
          </w:tcPr>
          <w:p w14:paraId="2B0FA527">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+100</w:t>
            </w:r>
          </w:p>
        </w:tc>
      </w:tr>
      <w:tr w14:paraId="1BE89F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3B5B2CB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6BCFEA74">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废金属边角料</w:t>
            </w:r>
          </w:p>
        </w:tc>
        <w:tc>
          <w:tcPr>
            <w:tcW w:w="1784" w:type="dxa"/>
            <w:noWrap w:val="0"/>
            <w:vAlign w:val="center"/>
          </w:tcPr>
          <w:p w14:paraId="17B949A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491B551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3024E6D0">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5F3EB801">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1637" w:type="dxa"/>
            <w:noWrap w:val="0"/>
            <w:vAlign w:val="center"/>
          </w:tcPr>
          <w:p w14:paraId="60AF76FB">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17C644F8">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c>
          <w:tcPr>
            <w:tcW w:w="996" w:type="dxa"/>
            <w:noWrap w:val="0"/>
            <w:vAlign w:val="center"/>
          </w:tcPr>
          <w:p w14:paraId="15BFE339">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+1</w:t>
            </w:r>
          </w:p>
        </w:tc>
      </w:tr>
      <w:tr w14:paraId="39C02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restart"/>
            <w:tcBorders>
              <w:top w:val="single" w:color="auto" w:sz="2" w:space="0"/>
            </w:tcBorders>
            <w:noWrap w:val="0"/>
            <w:vAlign w:val="center"/>
          </w:tcPr>
          <w:p w14:paraId="48AC9663">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危险废物</w:t>
            </w:r>
          </w:p>
        </w:tc>
        <w:tc>
          <w:tcPr>
            <w:tcW w:w="1507" w:type="dxa"/>
            <w:noWrap w:val="0"/>
            <w:vAlign w:val="center"/>
          </w:tcPr>
          <w:p w14:paraId="73CBAA6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废切削液</w:t>
            </w:r>
          </w:p>
        </w:tc>
        <w:tc>
          <w:tcPr>
            <w:tcW w:w="1784" w:type="dxa"/>
            <w:noWrap w:val="0"/>
            <w:vAlign w:val="center"/>
          </w:tcPr>
          <w:p w14:paraId="26D257CD">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4422273D">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5DC90B4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7A3E4BAB">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1637" w:type="dxa"/>
            <w:noWrap w:val="0"/>
            <w:vAlign w:val="center"/>
          </w:tcPr>
          <w:p w14:paraId="139FAC7D">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6242C29C">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4</w:t>
            </w:r>
          </w:p>
        </w:tc>
        <w:tc>
          <w:tcPr>
            <w:tcW w:w="996" w:type="dxa"/>
            <w:noWrap w:val="0"/>
            <w:vAlign w:val="center"/>
          </w:tcPr>
          <w:p w14:paraId="639BF08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i w:val="0"/>
                <w:iCs w:val="0"/>
                <w:color w:val="000000"/>
                <w:kern w:val="0"/>
                <w:sz w:val="21"/>
                <w:szCs w:val="21"/>
                <w:u w:val="none"/>
                <w:lang w:val="en-US" w:eastAsia="zh-CN" w:bidi="ar"/>
              </w:rPr>
              <w:t>4</w:t>
            </w:r>
          </w:p>
        </w:tc>
      </w:tr>
      <w:tr w14:paraId="00483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30C5AB8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2421D919">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废液压油</w:t>
            </w:r>
          </w:p>
        </w:tc>
        <w:tc>
          <w:tcPr>
            <w:tcW w:w="1784" w:type="dxa"/>
            <w:noWrap w:val="0"/>
            <w:vAlign w:val="center"/>
          </w:tcPr>
          <w:p w14:paraId="20FC934F">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76C18C4C">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6B1D487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04A5D6F">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1637" w:type="dxa"/>
            <w:noWrap w:val="0"/>
            <w:vAlign w:val="center"/>
          </w:tcPr>
          <w:p w14:paraId="7A3CBF87">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46C454CE">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0.05</w:t>
            </w:r>
          </w:p>
        </w:tc>
        <w:tc>
          <w:tcPr>
            <w:tcW w:w="996" w:type="dxa"/>
            <w:noWrap w:val="0"/>
            <w:vAlign w:val="center"/>
          </w:tcPr>
          <w:p w14:paraId="6A09CF0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0.05</w:t>
            </w:r>
          </w:p>
        </w:tc>
      </w:tr>
      <w:tr w14:paraId="14E803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69E99CD0">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2F45836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废珩磨油</w:t>
            </w:r>
          </w:p>
        </w:tc>
        <w:tc>
          <w:tcPr>
            <w:tcW w:w="1784" w:type="dxa"/>
            <w:noWrap w:val="0"/>
            <w:vAlign w:val="center"/>
          </w:tcPr>
          <w:p w14:paraId="193EDF1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59A28D38">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06E19B79">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1E043859">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0.1</w:t>
            </w:r>
          </w:p>
        </w:tc>
        <w:tc>
          <w:tcPr>
            <w:tcW w:w="1637" w:type="dxa"/>
            <w:noWrap w:val="0"/>
            <w:vAlign w:val="center"/>
          </w:tcPr>
          <w:p w14:paraId="7A15AE2F">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235F0F30">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0.1</w:t>
            </w:r>
          </w:p>
        </w:tc>
        <w:tc>
          <w:tcPr>
            <w:tcW w:w="996" w:type="dxa"/>
            <w:noWrap w:val="0"/>
            <w:vAlign w:val="center"/>
          </w:tcPr>
          <w:p w14:paraId="7D77EA83">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0.1</w:t>
            </w:r>
          </w:p>
        </w:tc>
      </w:tr>
      <w:tr w14:paraId="0C13B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48AF10F7">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6BCE521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废包装桶</w:t>
            </w:r>
          </w:p>
        </w:tc>
        <w:tc>
          <w:tcPr>
            <w:tcW w:w="1784" w:type="dxa"/>
            <w:noWrap w:val="0"/>
            <w:vAlign w:val="center"/>
          </w:tcPr>
          <w:p w14:paraId="400CCD0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0446017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7407200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C212FF5">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0.2</w:t>
            </w:r>
          </w:p>
        </w:tc>
        <w:tc>
          <w:tcPr>
            <w:tcW w:w="1637" w:type="dxa"/>
            <w:noWrap w:val="0"/>
            <w:vAlign w:val="center"/>
          </w:tcPr>
          <w:p w14:paraId="3503F5C8">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5815177B">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0.2</w:t>
            </w:r>
          </w:p>
        </w:tc>
        <w:tc>
          <w:tcPr>
            <w:tcW w:w="996" w:type="dxa"/>
            <w:noWrap w:val="0"/>
            <w:vAlign w:val="center"/>
          </w:tcPr>
          <w:p w14:paraId="506F31E5">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0.</w:t>
            </w:r>
            <w:r>
              <w:rPr>
                <w:rFonts w:hint="eastAsia" w:eastAsia="仿宋" w:cs="Times New Roman"/>
                <w:i w:val="0"/>
                <w:iCs w:val="0"/>
                <w:color w:val="000000"/>
                <w:kern w:val="0"/>
                <w:sz w:val="21"/>
                <w:szCs w:val="21"/>
                <w:u w:val="none"/>
                <w:lang w:val="en-US" w:eastAsia="zh-CN" w:bidi="ar"/>
              </w:rPr>
              <w:t>2</w:t>
            </w:r>
          </w:p>
        </w:tc>
      </w:tr>
      <w:tr w14:paraId="06638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755010F4">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6C3B6A4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清洗废液</w:t>
            </w:r>
          </w:p>
        </w:tc>
        <w:tc>
          <w:tcPr>
            <w:tcW w:w="1784" w:type="dxa"/>
            <w:noWrap w:val="0"/>
            <w:vAlign w:val="center"/>
          </w:tcPr>
          <w:p w14:paraId="6446B9DE">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33068BB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6D9BB6D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D351A5D">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8.64</w:t>
            </w:r>
          </w:p>
        </w:tc>
        <w:tc>
          <w:tcPr>
            <w:tcW w:w="1637" w:type="dxa"/>
            <w:noWrap w:val="0"/>
            <w:vAlign w:val="center"/>
          </w:tcPr>
          <w:p w14:paraId="4DB88B80">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7480DDB9">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8.64</w:t>
            </w:r>
          </w:p>
        </w:tc>
        <w:tc>
          <w:tcPr>
            <w:tcW w:w="996" w:type="dxa"/>
            <w:noWrap w:val="0"/>
            <w:vAlign w:val="center"/>
          </w:tcPr>
          <w:p w14:paraId="706B1CE2">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8.64</w:t>
            </w:r>
          </w:p>
        </w:tc>
      </w:tr>
      <w:tr w14:paraId="5A898B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102D33A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76D2FB2C">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沾染废液的废抹布、手套、拖把等</w:t>
            </w:r>
          </w:p>
        </w:tc>
        <w:tc>
          <w:tcPr>
            <w:tcW w:w="1784" w:type="dxa"/>
            <w:noWrap w:val="0"/>
            <w:vAlign w:val="center"/>
          </w:tcPr>
          <w:p w14:paraId="74DF4FD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3BD201BC">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1F6DF4C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0F2FD9FD">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0.2</w:t>
            </w:r>
          </w:p>
        </w:tc>
        <w:tc>
          <w:tcPr>
            <w:tcW w:w="1637" w:type="dxa"/>
            <w:noWrap w:val="0"/>
            <w:vAlign w:val="center"/>
          </w:tcPr>
          <w:p w14:paraId="58466E60">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11A598E7">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0.2</w:t>
            </w:r>
          </w:p>
        </w:tc>
        <w:tc>
          <w:tcPr>
            <w:tcW w:w="996" w:type="dxa"/>
            <w:noWrap w:val="0"/>
            <w:vAlign w:val="center"/>
          </w:tcPr>
          <w:p w14:paraId="435486DD">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0.</w:t>
            </w:r>
            <w:r>
              <w:rPr>
                <w:rFonts w:hint="eastAsia" w:eastAsia="仿宋" w:cs="Times New Roman"/>
                <w:i w:val="0"/>
                <w:iCs w:val="0"/>
                <w:color w:val="000000"/>
                <w:kern w:val="0"/>
                <w:sz w:val="21"/>
                <w:szCs w:val="21"/>
                <w:u w:val="none"/>
                <w:lang w:val="en-US" w:eastAsia="zh-CN" w:bidi="ar"/>
              </w:rPr>
              <w:t>2</w:t>
            </w:r>
          </w:p>
        </w:tc>
      </w:tr>
      <w:tr w14:paraId="3E593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7A13D4E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6261BC1B">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废过滤纸</w:t>
            </w:r>
          </w:p>
        </w:tc>
        <w:tc>
          <w:tcPr>
            <w:tcW w:w="1784" w:type="dxa"/>
            <w:noWrap w:val="0"/>
            <w:vAlign w:val="center"/>
          </w:tcPr>
          <w:p w14:paraId="03E7EAEA">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63B4051B">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20930A55">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2E2118D5">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0.1</w:t>
            </w:r>
          </w:p>
        </w:tc>
        <w:tc>
          <w:tcPr>
            <w:tcW w:w="1637" w:type="dxa"/>
            <w:noWrap w:val="0"/>
            <w:vAlign w:val="center"/>
          </w:tcPr>
          <w:p w14:paraId="6FBC1F35">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3B806E5D">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0.1</w:t>
            </w:r>
          </w:p>
        </w:tc>
        <w:tc>
          <w:tcPr>
            <w:tcW w:w="996" w:type="dxa"/>
            <w:noWrap w:val="0"/>
            <w:vAlign w:val="center"/>
          </w:tcPr>
          <w:p w14:paraId="5B4EB8B1">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eastAsia" w:eastAsia="仿宋" w:cs="Times New Roman"/>
                <w:color w:val="auto"/>
                <w:kern w:val="2"/>
                <w:sz w:val="21"/>
                <w:szCs w:val="21"/>
                <w:lang w:val="en-US" w:eastAsia="zh-CN" w:bidi="ar-SA"/>
              </w:rPr>
              <w:t>0.</w:t>
            </w:r>
            <w:r>
              <w:rPr>
                <w:rFonts w:hint="default" w:ascii="Times New Roman" w:hAnsi="Times New Roman" w:eastAsia="仿宋" w:cs="Times New Roman"/>
                <w:i w:val="0"/>
                <w:iCs w:val="0"/>
                <w:color w:val="000000"/>
                <w:kern w:val="0"/>
                <w:sz w:val="21"/>
                <w:szCs w:val="21"/>
                <w:u w:val="none"/>
                <w:lang w:val="en-US" w:eastAsia="zh-CN" w:bidi="ar"/>
              </w:rPr>
              <w:t>1</w:t>
            </w:r>
          </w:p>
        </w:tc>
      </w:tr>
      <w:tr w14:paraId="43D7C1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937" w:type="dxa"/>
            <w:vMerge w:val="continue"/>
            <w:noWrap w:val="0"/>
            <w:vAlign w:val="center"/>
          </w:tcPr>
          <w:p w14:paraId="7F4AFE31">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p>
        </w:tc>
        <w:tc>
          <w:tcPr>
            <w:tcW w:w="1507" w:type="dxa"/>
            <w:noWrap w:val="0"/>
            <w:vAlign w:val="center"/>
          </w:tcPr>
          <w:p w14:paraId="06090766">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i w:val="0"/>
                <w:iCs w:val="0"/>
                <w:color w:val="000000"/>
                <w:kern w:val="0"/>
                <w:sz w:val="21"/>
                <w:szCs w:val="21"/>
                <w:u w:val="none"/>
                <w:lang w:val="en-US" w:eastAsia="zh-CN" w:bidi="ar"/>
              </w:rPr>
              <w:t>磨床灰</w:t>
            </w:r>
          </w:p>
        </w:tc>
        <w:tc>
          <w:tcPr>
            <w:tcW w:w="1784" w:type="dxa"/>
            <w:noWrap w:val="0"/>
            <w:vAlign w:val="center"/>
          </w:tcPr>
          <w:p w14:paraId="7C347B52">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472" w:type="dxa"/>
            <w:noWrap w:val="0"/>
            <w:vAlign w:val="center"/>
          </w:tcPr>
          <w:p w14:paraId="53C04C06">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828" w:type="dxa"/>
            <w:noWrap w:val="0"/>
            <w:vAlign w:val="center"/>
          </w:tcPr>
          <w:p w14:paraId="7B4F4549">
            <w:pPr>
              <w:pStyle w:val="48"/>
              <w:spacing w:beforeLines="0" w:afterLines="0" w:line="320" w:lineRule="exact"/>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1622" w:type="dxa"/>
            <w:noWrap w:val="0"/>
            <w:vAlign w:val="center"/>
          </w:tcPr>
          <w:p w14:paraId="42D79811">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1637" w:type="dxa"/>
            <w:noWrap w:val="0"/>
            <w:vAlign w:val="center"/>
          </w:tcPr>
          <w:p w14:paraId="0BA30EC1">
            <w:pPr>
              <w:spacing w:line="32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0</w:t>
            </w:r>
          </w:p>
        </w:tc>
        <w:tc>
          <w:tcPr>
            <w:tcW w:w="2005" w:type="dxa"/>
            <w:noWrap w:val="0"/>
            <w:vAlign w:val="center"/>
          </w:tcPr>
          <w:p w14:paraId="1A17DE94">
            <w:pPr>
              <w:spacing w:line="300" w:lineRule="exact"/>
              <w:jc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2</w:t>
            </w:r>
          </w:p>
        </w:tc>
        <w:tc>
          <w:tcPr>
            <w:tcW w:w="996" w:type="dxa"/>
            <w:noWrap w:val="0"/>
            <w:vAlign w:val="center"/>
          </w:tcPr>
          <w:p w14:paraId="37269E28">
            <w:pPr>
              <w:keepNext w:val="0"/>
              <w:keepLines w:val="0"/>
              <w:widowControl/>
              <w:suppressLineNumbers w:val="0"/>
              <w:jc w:val="center"/>
              <w:textAlignment w:val="center"/>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kern w:val="2"/>
                <w:sz w:val="21"/>
                <w:szCs w:val="21"/>
                <w:lang w:val="en-US" w:eastAsia="zh-CN" w:bidi="ar-SA"/>
              </w:rPr>
              <w:t>+</w:t>
            </w:r>
            <w:r>
              <w:rPr>
                <w:rFonts w:hint="default" w:ascii="Times New Roman" w:hAnsi="Times New Roman" w:eastAsia="仿宋" w:cs="Times New Roman"/>
                <w:i w:val="0"/>
                <w:iCs w:val="0"/>
                <w:color w:val="000000"/>
                <w:kern w:val="0"/>
                <w:sz w:val="21"/>
                <w:szCs w:val="21"/>
                <w:u w:val="none"/>
                <w:lang w:val="en-US" w:eastAsia="zh-CN" w:bidi="ar"/>
              </w:rPr>
              <w:t>2</w:t>
            </w:r>
          </w:p>
        </w:tc>
      </w:tr>
    </w:tbl>
    <w:p w14:paraId="766A3232">
      <w:pPr>
        <w:pStyle w:val="48"/>
        <w:spacing w:beforeLines="0" w:afterLines="0" w:line="240" w:lineRule="auto"/>
        <w:jc w:val="left"/>
        <w:rPr>
          <w:rFonts w:hint="default" w:ascii="Times New Roman" w:hAnsi="Times New Roman" w:eastAsia="仿宋"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仿宋"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仿宋"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sectPr>
      <w:footerReference r:id="rId5"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仿宋_GBK">
    <w:altName w:val="Arial Unicode MS"/>
    <w:panose1 w:val="03000509000000000000"/>
    <w:charset w:val="86"/>
    <w:family w:val="script"/>
    <w:pitch w:val="default"/>
    <w:sig w:usb0="00000000" w:usb1="00000000" w:usb2="00000010" w:usb3="00000000" w:csb0="00040000" w:csb1="00000000"/>
  </w:font>
  <w:font w:name="Wingdings 2">
    <w:panose1 w:val="05020102010507070707"/>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6C742">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C204A">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D567525">
                          <w:pPr>
                            <w:pStyle w:val="17"/>
                            <w:jc w:val="right"/>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92</w:t>
                          </w:r>
                          <w:r>
                            <w:rPr>
                              <w:sz w:val="21"/>
                              <w:szCs w:val="21"/>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nyquABAADCAwAADgAAAGRycy9lMm9Eb2MueG1srVPNjtMwEL4j8Q6W&#10;7zTZglCJ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tAlPOXPC0sTP37+df/w6//zK&#10;luWzF0miPkBFmbeBcnF45QdKn/1AzsR8aKNNf+LEKE4Cny4CqwGZTJdWy9WqpJCk2Hwg/OLueoiA&#10;b5S3LBk1jzTBLKw4vgMcU+eUVM35G21MnqJxfzkIM3mK1PvYY7Jw2A0ToZ1vTsSHngLV6Xz8wllP&#10;i1BzR3vPmXnrSOe0M7MRZ2M3G8JJulhz5Gw0X+O4W4cQ9b7L25aagvDygNRpJpDaGGtP3dFoswTT&#10;Gqbd+fOcs+6e3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H558qrgAQAAwgMAAA4AAAAA&#10;AAAAAQAgAAAAHgEAAGRycy9lMm9Eb2MueG1sUEsFBgAAAAAGAAYAWQEAAHAFAAAAAA==&#10;">
              <v:fill on="f" focussize="0,0"/>
              <v:stroke on="f"/>
              <v:imagedata o:title=""/>
              <o:lock v:ext="edit" aspectratio="f"/>
              <v:textbox inset="0mm,0mm,0mm,0mm" style="mso-fit-shape-to-text:t;">
                <w:txbxContent>
                  <w:p w14:paraId="7D567525">
                    <w:pPr>
                      <w:pStyle w:val="17"/>
                      <w:jc w:val="right"/>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92</w:t>
                    </w:r>
                    <w:r>
                      <w:rPr>
                        <w:sz w:val="21"/>
                        <w:szCs w:val="21"/>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A37BC">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C9E2A5">
                          <w:pPr>
                            <w:pStyle w:val="17"/>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93</w:t>
                          </w:r>
                          <w:r>
                            <w:rPr>
                              <w:sz w:val="21"/>
                              <w:szCs w:val="21"/>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IkTuABAADCAwAADgAAAGRycy9lMm9Eb2MueG1srVNBrtMwEN0jcQfL&#10;e5o0E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tAkVZ05Ymvjl+7fLj1+Xn19Z&#10;VT5fJol6H9aUeecpNw6vYKD02R/ImZgPLdr0J06M4iTw+SqwGiKT6dKqWq1KCkmKzQfCL+6vewzx&#10;jQLLklFzpAlmYcXpXYhj6pySqjm41cbkKRr3l4Mwk6dIvY89JisO+2EitIfmTHzoKVCdDvALZz0t&#10;Qs0d7T1n5q0jndPOzAbOxn42hJN0seaRs9F8HcfdOnrUhy5vW2oq+JfHSJ1mAqmNsfbUHY02SzCt&#10;YdqdP8856/7p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aSJE7gAQAAwgMAAA4AAAAA&#10;AAAAAQAgAAAAHgEAAGRycy9lMm9Eb2MueG1sUEsFBgAAAAAGAAYAWQEAAHAFAAAAAA==&#10;">
              <v:fill on="f" focussize="0,0"/>
              <v:stroke on="f"/>
              <v:imagedata o:title=""/>
              <o:lock v:ext="edit" aspectratio="f"/>
              <v:textbox inset="0mm,0mm,0mm,0mm" style="mso-fit-shape-to-text:t;">
                <w:txbxContent>
                  <w:p w14:paraId="42C9E2A5">
                    <w:pPr>
                      <w:pStyle w:val="17"/>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sz w:val="21"/>
                        <w:szCs w:val="21"/>
                      </w:rPr>
                      <w:fldChar w:fldCharType="begin"/>
                    </w:r>
                    <w:r>
                      <w:rPr>
                        <w:rStyle w:val="28"/>
                        <w:sz w:val="21"/>
                        <w:szCs w:val="21"/>
                      </w:rPr>
                      <w:instrText xml:space="preserve">PAGE  </w:instrText>
                    </w:r>
                    <w:r>
                      <w:rPr>
                        <w:sz w:val="21"/>
                        <w:szCs w:val="21"/>
                      </w:rPr>
                      <w:fldChar w:fldCharType="separate"/>
                    </w:r>
                    <w:r>
                      <w:rPr>
                        <w:rStyle w:val="28"/>
                        <w:sz w:val="21"/>
                        <w:szCs w:val="21"/>
                      </w:rPr>
                      <w:t>93</w:t>
                    </w:r>
                    <w:r>
                      <w:rPr>
                        <w:sz w:val="21"/>
                        <w:szCs w:val="21"/>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B71EE3"/>
    <w:multiLevelType w:val="singleLevel"/>
    <w:tmpl w:val="8EB71EE3"/>
    <w:lvl w:ilvl="0" w:tentative="0">
      <w:start w:val="1"/>
      <w:numFmt w:val="decimal"/>
      <w:suff w:val="nothing"/>
      <w:lvlText w:val="（%1）"/>
      <w:lvlJc w:val="left"/>
    </w:lvl>
  </w:abstractNum>
  <w:abstractNum w:abstractNumId="1">
    <w:nsid w:val="DF7C575F"/>
    <w:multiLevelType w:val="singleLevel"/>
    <w:tmpl w:val="DF7C575F"/>
    <w:lvl w:ilvl="0" w:tentative="0">
      <w:start w:val="1"/>
      <w:numFmt w:val="decimal"/>
      <w:suff w:val="nothing"/>
      <w:lvlText w:val="%1、"/>
      <w:lvlJc w:val="left"/>
    </w:lvl>
  </w:abstractNum>
  <w:abstractNum w:abstractNumId="2">
    <w:nsid w:val="E2D59762"/>
    <w:multiLevelType w:val="singleLevel"/>
    <w:tmpl w:val="E2D59762"/>
    <w:lvl w:ilvl="0" w:tentative="0">
      <w:start w:val="4"/>
      <w:numFmt w:val="decimal"/>
      <w:suff w:val="nothing"/>
      <w:lvlText w:val="%1、"/>
      <w:lvlJc w:val="left"/>
    </w:lvl>
  </w:abstractNum>
  <w:abstractNum w:abstractNumId="3">
    <w:nsid w:val="E847F444"/>
    <w:multiLevelType w:val="singleLevel"/>
    <w:tmpl w:val="E847F444"/>
    <w:lvl w:ilvl="0" w:tentative="0">
      <w:start w:val="1"/>
      <w:numFmt w:val="decimal"/>
      <w:lvlText w:val="(%1)"/>
      <w:lvlJc w:val="left"/>
      <w:pPr>
        <w:tabs>
          <w:tab w:val="left" w:pos="312"/>
        </w:tabs>
      </w:pPr>
    </w:lvl>
  </w:abstractNum>
  <w:abstractNum w:abstractNumId="4">
    <w:nsid w:val="FCE9748D"/>
    <w:multiLevelType w:val="singleLevel"/>
    <w:tmpl w:val="FCE9748D"/>
    <w:lvl w:ilvl="0" w:tentative="0">
      <w:start w:val="1"/>
      <w:numFmt w:val="decimal"/>
      <w:lvlText w:val="%1."/>
      <w:lvlJc w:val="left"/>
      <w:pPr>
        <w:tabs>
          <w:tab w:val="left" w:pos="312"/>
        </w:tabs>
      </w:pPr>
    </w:lvl>
  </w:abstractNum>
  <w:abstractNum w:abstractNumId="5">
    <w:nsid w:val="0A44CEE4"/>
    <w:multiLevelType w:val="singleLevel"/>
    <w:tmpl w:val="0A44CEE4"/>
    <w:lvl w:ilvl="0" w:tentative="0">
      <w:start w:val="1"/>
      <w:numFmt w:val="decimal"/>
      <w:lvlText w:val="%1."/>
      <w:lvlJc w:val="left"/>
      <w:pPr>
        <w:tabs>
          <w:tab w:val="left" w:pos="312"/>
        </w:tabs>
      </w:pPr>
    </w:lvl>
  </w:abstractNum>
  <w:abstractNum w:abstractNumId="6">
    <w:nsid w:val="298D586C"/>
    <w:multiLevelType w:val="singleLevel"/>
    <w:tmpl w:val="298D586C"/>
    <w:lvl w:ilvl="0" w:tentative="0">
      <w:start w:val="1"/>
      <w:numFmt w:val="decimal"/>
      <w:lvlText w:val="%1."/>
      <w:lvlJc w:val="left"/>
      <w:pPr>
        <w:tabs>
          <w:tab w:val="left" w:pos="312"/>
        </w:tabs>
      </w:pPr>
    </w:lvl>
  </w:abstractNum>
  <w:abstractNum w:abstractNumId="7">
    <w:nsid w:val="35B94DE4"/>
    <w:multiLevelType w:val="singleLevel"/>
    <w:tmpl w:val="35B94DE4"/>
    <w:lvl w:ilvl="0" w:tentative="0">
      <w:start w:val="1"/>
      <w:numFmt w:val="decimal"/>
      <w:suff w:val="nothing"/>
      <w:lvlText w:val="%1、"/>
      <w:lvlJc w:val="left"/>
    </w:lvl>
  </w:abstractNum>
  <w:abstractNum w:abstractNumId="8">
    <w:nsid w:val="3C6D74DC"/>
    <w:multiLevelType w:val="multilevel"/>
    <w:tmpl w:val="3C6D74DC"/>
    <w:lvl w:ilvl="0" w:tentative="0">
      <w:start w:val="1"/>
      <w:numFmt w:val="decimal"/>
      <w:lvlText w:val="%1"/>
      <w:lvlJc w:val="left"/>
      <w:pPr>
        <w:tabs>
          <w:tab w:val="left" w:pos="432"/>
        </w:tabs>
        <w:ind w:left="432" w:hanging="432"/>
      </w:pPr>
      <w:rPr>
        <w:rFonts w:hint="default" w:ascii="Times New Roman" w:hAnsi="Times New Roman" w:cs="Times New Roman"/>
        <w:b w:val="0"/>
        <w:sz w:val="36"/>
        <w:szCs w:val="36"/>
      </w:rPr>
    </w:lvl>
    <w:lvl w:ilvl="1" w:tentative="0">
      <w:start w:val="1"/>
      <w:numFmt w:val="decimal"/>
      <w:lvlText w:val="%1.%2"/>
      <w:lvlJc w:val="left"/>
      <w:pPr>
        <w:tabs>
          <w:tab w:val="left" w:pos="576"/>
        </w:tabs>
        <w:ind w:left="576" w:hanging="576"/>
      </w:pPr>
      <w:rPr>
        <w:rFonts w:hint="default" w:ascii="Times New Roman" w:hAnsi="Times New Roman" w:cs="Times New Roman"/>
        <w:b w:val="0"/>
        <w:sz w:val="32"/>
        <w:szCs w:val="32"/>
      </w:rPr>
    </w:lvl>
    <w:lvl w:ilvl="2" w:tentative="0">
      <w:start w:val="1"/>
      <w:numFmt w:val="decimal"/>
      <w:pStyle w:val="5"/>
      <w:lvlText w:val="%1.%2.%3"/>
      <w:lvlJc w:val="left"/>
      <w:pPr>
        <w:tabs>
          <w:tab w:val="left" w:pos="1146"/>
        </w:tabs>
        <w:ind w:left="1146" w:hanging="720"/>
      </w:pPr>
      <w:rPr>
        <w:rFonts w:hint="default" w:ascii="Times New Roman" w:hAnsi="Times New Roman" w:cs="Times New Roman"/>
        <w:b w:val="0"/>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9">
    <w:nsid w:val="44E049C6"/>
    <w:multiLevelType w:val="singleLevel"/>
    <w:tmpl w:val="44E049C6"/>
    <w:lvl w:ilvl="0" w:tentative="0">
      <w:start w:val="1"/>
      <w:numFmt w:val="chineseCounting"/>
      <w:suff w:val="nothing"/>
      <w:lvlText w:val="%1、"/>
      <w:lvlJc w:val="left"/>
      <w:rPr>
        <w:rFonts w:hint="eastAsia"/>
      </w:rPr>
    </w:lvl>
  </w:abstractNum>
  <w:abstractNum w:abstractNumId="10">
    <w:nsid w:val="48F53D14"/>
    <w:multiLevelType w:val="singleLevel"/>
    <w:tmpl w:val="48F53D14"/>
    <w:lvl w:ilvl="0" w:tentative="0">
      <w:start w:val="2"/>
      <w:numFmt w:val="chineseCounting"/>
      <w:suff w:val="nothing"/>
      <w:lvlText w:val="（%1）"/>
      <w:lvlJc w:val="left"/>
      <w:rPr>
        <w:rFonts w:hint="eastAsia"/>
      </w:rPr>
    </w:lvl>
  </w:abstractNum>
  <w:abstractNum w:abstractNumId="11">
    <w:nsid w:val="4B29E50C"/>
    <w:multiLevelType w:val="singleLevel"/>
    <w:tmpl w:val="4B29E50C"/>
    <w:lvl w:ilvl="0" w:tentative="0">
      <w:start w:val="7"/>
      <w:numFmt w:val="chineseCounting"/>
      <w:suff w:val="nothing"/>
      <w:lvlText w:val="（%1）"/>
      <w:lvlJc w:val="left"/>
      <w:rPr>
        <w:rFonts w:hint="eastAsia"/>
      </w:rPr>
    </w:lvl>
  </w:abstractNum>
  <w:abstractNum w:abstractNumId="12">
    <w:nsid w:val="6088F268"/>
    <w:multiLevelType w:val="singleLevel"/>
    <w:tmpl w:val="6088F268"/>
    <w:lvl w:ilvl="0" w:tentative="0">
      <w:start w:val="1"/>
      <w:numFmt w:val="decimal"/>
      <w:lvlText w:val="%1."/>
      <w:lvlJc w:val="left"/>
      <w:pPr>
        <w:tabs>
          <w:tab w:val="left" w:pos="312"/>
        </w:tabs>
      </w:pPr>
    </w:lvl>
  </w:abstractNum>
  <w:abstractNum w:abstractNumId="13">
    <w:nsid w:val="6F41727D"/>
    <w:multiLevelType w:val="singleLevel"/>
    <w:tmpl w:val="6F41727D"/>
    <w:lvl w:ilvl="0" w:tentative="0">
      <w:start w:val="1"/>
      <w:numFmt w:val="decimal"/>
      <w:lvlText w:val="%1."/>
      <w:lvlJc w:val="left"/>
      <w:pPr>
        <w:tabs>
          <w:tab w:val="left" w:pos="312"/>
        </w:tabs>
      </w:pPr>
    </w:lvl>
  </w:abstractNum>
  <w:abstractNum w:abstractNumId="14">
    <w:nsid w:val="7636A3FA"/>
    <w:multiLevelType w:val="multilevel"/>
    <w:tmpl w:val="7636A3FA"/>
    <w:lvl w:ilvl="0" w:tentative="0">
      <w:start w:val="1"/>
      <w:numFmt w:val="bullet"/>
      <w:pStyle w:val="3"/>
      <w:lvlText w:val=""/>
      <w:lvlJc w:val="left"/>
      <w:pPr>
        <w:tabs>
          <w:tab w:val="left" w:pos="2040"/>
        </w:tabs>
        <w:ind w:left="2040" w:hanging="360"/>
      </w:pPr>
      <w:rPr>
        <w:rFonts w:hint="default" w:ascii="Wingdings" w:hAnsi="Wingdings"/>
      </w:rPr>
    </w:lvl>
    <w:lvl w:ilvl="1" w:tentative="0">
      <w:start w:val="1"/>
      <w:numFmt w:val="decimal"/>
      <w:lvlText w:val=""/>
      <w:lvlJc w:val="left"/>
      <w:rPr>
        <w:rFonts w:hint="default"/>
        <w:u w:val="none"/>
      </w:rPr>
    </w:lvl>
    <w:lvl w:ilvl="2" w:tentative="0">
      <w:start w:val="1"/>
      <w:numFmt w:val="decimal"/>
      <w:lvlText w:val=""/>
      <w:lvlJc w:val="left"/>
      <w:rPr>
        <w:rFonts w:hint="default"/>
        <w:u w:val="none"/>
      </w:rPr>
    </w:lvl>
    <w:lvl w:ilvl="3" w:tentative="0">
      <w:start w:val="1"/>
      <w:numFmt w:val="decimal"/>
      <w:lvlText w:val=""/>
      <w:lvlJc w:val="left"/>
      <w:rPr>
        <w:rFonts w:hint="default"/>
        <w:u w:val="none"/>
      </w:rPr>
    </w:lvl>
    <w:lvl w:ilvl="4" w:tentative="0">
      <w:start w:val="1"/>
      <w:numFmt w:val="decimal"/>
      <w:lvlText w:val=""/>
      <w:lvlJc w:val="left"/>
      <w:rPr>
        <w:rFonts w:hint="default"/>
        <w:u w:val="none"/>
      </w:rPr>
    </w:lvl>
    <w:lvl w:ilvl="5" w:tentative="0">
      <w:start w:val="1"/>
      <w:numFmt w:val="decimal"/>
      <w:lvlText w:val=""/>
      <w:lvlJc w:val="left"/>
      <w:rPr>
        <w:rFonts w:hint="default"/>
        <w:u w:val="none"/>
      </w:rPr>
    </w:lvl>
    <w:lvl w:ilvl="6" w:tentative="0">
      <w:start w:val="1"/>
      <w:numFmt w:val="decimal"/>
      <w:lvlText w:val=""/>
      <w:lvlJc w:val="left"/>
      <w:rPr>
        <w:rFonts w:hint="default"/>
        <w:u w:val="none"/>
      </w:rPr>
    </w:lvl>
    <w:lvl w:ilvl="7" w:tentative="0">
      <w:start w:val="1"/>
      <w:numFmt w:val="decimal"/>
      <w:lvlText w:val=""/>
      <w:lvlJc w:val="left"/>
      <w:rPr>
        <w:rFonts w:hint="default"/>
        <w:u w:val="none"/>
      </w:rPr>
    </w:lvl>
    <w:lvl w:ilvl="8" w:tentative="0">
      <w:start w:val="1"/>
      <w:numFmt w:val="decimal"/>
      <w:lvlText w:val=""/>
      <w:lvlJc w:val="left"/>
      <w:rPr>
        <w:rFonts w:hint="default"/>
        <w:u w:val="none"/>
      </w:rPr>
    </w:lvl>
  </w:abstractNum>
  <w:num w:numId="1">
    <w:abstractNumId w:val="8"/>
  </w:num>
  <w:num w:numId="2">
    <w:abstractNumId w:val="14"/>
  </w:num>
  <w:num w:numId="3">
    <w:abstractNumId w:val="9"/>
  </w:num>
  <w:num w:numId="4">
    <w:abstractNumId w:val="0"/>
  </w:num>
  <w:num w:numId="5">
    <w:abstractNumId w:val="13"/>
  </w:num>
  <w:num w:numId="6">
    <w:abstractNumId w:val="6"/>
  </w:num>
  <w:num w:numId="7">
    <w:abstractNumId w:val="12"/>
  </w:num>
  <w:num w:numId="8">
    <w:abstractNumId w:val="4"/>
  </w:num>
  <w:num w:numId="9">
    <w:abstractNumId w:val="5"/>
  </w:num>
  <w:num w:numId="10">
    <w:abstractNumId w:val="10"/>
  </w:num>
  <w:num w:numId="11">
    <w:abstractNumId w:val="11"/>
  </w:num>
  <w:num w:numId="12">
    <w:abstractNumId w:val="3"/>
  </w:num>
  <w:num w:numId="13">
    <w:abstractNumId w:val="7"/>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yYmQ4MDIzODk2NWQ2NTI0ZGEwZWNhNWQwZjk4NjgifQ=="/>
  </w:docVars>
  <w:rsids>
    <w:rsidRoot w:val="00172A27"/>
    <w:rsid w:val="000034B3"/>
    <w:rsid w:val="000036F6"/>
    <w:rsid w:val="000038C3"/>
    <w:rsid w:val="00003D37"/>
    <w:rsid w:val="000060B3"/>
    <w:rsid w:val="000062EB"/>
    <w:rsid w:val="000075F0"/>
    <w:rsid w:val="00007810"/>
    <w:rsid w:val="0000795F"/>
    <w:rsid w:val="00007D23"/>
    <w:rsid w:val="00010087"/>
    <w:rsid w:val="00010C9E"/>
    <w:rsid w:val="00012141"/>
    <w:rsid w:val="000125DA"/>
    <w:rsid w:val="00013A6E"/>
    <w:rsid w:val="00016065"/>
    <w:rsid w:val="000168A4"/>
    <w:rsid w:val="00016E07"/>
    <w:rsid w:val="0002396F"/>
    <w:rsid w:val="00031204"/>
    <w:rsid w:val="00033C21"/>
    <w:rsid w:val="000364FC"/>
    <w:rsid w:val="00036F7D"/>
    <w:rsid w:val="00042D0E"/>
    <w:rsid w:val="00042E36"/>
    <w:rsid w:val="000435FE"/>
    <w:rsid w:val="0004364B"/>
    <w:rsid w:val="000457F1"/>
    <w:rsid w:val="00045A72"/>
    <w:rsid w:val="00053D76"/>
    <w:rsid w:val="00054048"/>
    <w:rsid w:val="00055251"/>
    <w:rsid w:val="000566C3"/>
    <w:rsid w:val="00057188"/>
    <w:rsid w:val="000572F2"/>
    <w:rsid w:val="000577B9"/>
    <w:rsid w:val="000609FA"/>
    <w:rsid w:val="00060A1B"/>
    <w:rsid w:val="00061B1F"/>
    <w:rsid w:val="00061F0E"/>
    <w:rsid w:val="00062775"/>
    <w:rsid w:val="00062E18"/>
    <w:rsid w:val="00062E26"/>
    <w:rsid w:val="0006414F"/>
    <w:rsid w:val="00065A2C"/>
    <w:rsid w:val="00066107"/>
    <w:rsid w:val="000674E8"/>
    <w:rsid w:val="00067743"/>
    <w:rsid w:val="00070803"/>
    <w:rsid w:val="00070A92"/>
    <w:rsid w:val="00070B49"/>
    <w:rsid w:val="00070F07"/>
    <w:rsid w:val="000729CA"/>
    <w:rsid w:val="00072A54"/>
    <w:rsid w:val="000733C4"/>
    <w:rsid w:val="00074783"/>
    <w:rsid w:val="00075323"/>
    <w:rsid w:val="00075343"/>
    <w:rsid w:val="0008070B"/>
    <w:rsid w:val="000810AC"/>
    <w:rsid w:val="00081A02"/>
    <w:rsid w:val="00082231"/>
    <w:rsid w:val="00083E7A"/>
    <w:rsid w:val="00083F05"/>
    <w:rsid w:val="0008424C"/>
    <w:rsid w:val="000869CF"/>
    <w:rsid w:val="00087072"/>
    <w:rsid w:val="00090B0C"/>
    <w:rsid w:val="00091731"/>
    <w:rsid w:val="0009176D"/>
    <w:rsid w:val="00092D38"/>
    <w:rsid w:val="00093034"/>
    <w:rsid w:val="0009306D"/>
    <w:rsid w:val="0009377B"/>
    <w:rsid w:val="00093DA0"/>
    <w:rsid w:val="0009472F"/>
    <w:rsid w:val="0009496F"/>
    <w:rsid w:val="000949D9"/>
    <w:rsid w:val="000966DA"/>
    <w:rsid w:val="00097503"/>
    <w:rsid w:val="000A209D"/>
    <w:rsid w:val="000A20C9"/>
    <w:rsid w:val="000A2D2C"/>
    <w:rsid w:val="000A34DC"/>
    <w:rsid w:val="000A3CD8"/>
    <w:rsid w:val="000A4E3B"/>
    <w:rsid w:val="000A66E1"/>
    <w:rsid w:val="000A6B0B"/>
    <w:rsid w:val="000A6DAB"/>
    <w:rsid w:val="000A6E8E"/>
    <w:rsid w:val="000A6F97"/>
    <w:rsid w:val="000A7BF1"/>
    <w:rsid w:val="000B01D4"/>
    <w:rsid w:val="000B058F"/>
    <w:rsid w:val="000B4112"/>
    <w:rsid w:val="000B4467"/>
    <w:rsid w:val="000B4DB9"/>
    <w:rsid w:val="000B64AC"/>
    <w:rsid w:val="000B7A0E"/>
    <w:rsid w:val="000C044C"/>
    <w:rsid w:val="000C09AC"/>
    <w:rsid w:val="000C4312"/>
    <w:rsid w:val="000C59DC"/>
    <w:rsid w:val="000C6698"/>
    <w:rsid w:val="000C6838"/>
    <w:rsid w:val="000C767F"/>
    <w:rsid w:val="000C7A79"/>
    <w:rsid w:val="000D0533"/>
    <w:rsid w:val="000D1AA3"/>
    <w:rsid w:val="000D2510"/>
    <w:rsid w:val="000D4A47"/>
    <w:rsid w:val="000D52C8"/>
    <w:rsid w:val="000D5A44"/>
    <w:rsid w:val="000D5D26"/>
    <w:rsid w:val="000D5E8D"/>
    <w:rsid w:val="000D622B"/>
    <w:rsid w:val="000D6625"/>
    <w:rsid w:val="000D6777"/>
    <w:rsid w:val="000D6FC3"/>
    <w:rsid w:val="000E0269"/>
    <w:rsid w:val="000E142E"/>
    <w:rsid w:val="000E1C23"/>
    <w:rsid w:val="000E39F8"/>
    <w:rsid w:val="000E3ED2"/>
    <w:rsid w:val="000E581F"/>
    <w:rsid w:val="000E6121"/>
    <w:rsid w:val="000E696A"/>
    <w:rsid w:val="000E720E"/>
    <w:rsid w:val="000F185B"/>
    <w:rsid w:val="000F1BD6"/>
    <w:rsid w:val="000F205F"/>
    <w:rsid w:val="000F2200"/>
    <w:rsid w:val="000F28BE"/>
    <w:rsid w:val="000F3222"/>
    <w:rsid w:val="000F4AB5"/>
    <w:rsid w:val="000F6CC0"/>
    <w:rsid w:val="000F6D9B"/>
    <w:rsid w:val="000F7556"/>
    <w:rsid w:val="0010061C"/>
    <w:rsid w:val="00100FED"/>
    <w:rsid w:val="00105908"/>
    <w:rsid w:val="00105ADC"/>
    <w:rsid w:val="00105FC2"/>
    <w:rsid w:val="00107CD9"/>
    <w:rsid w:val="00110E95"/>
    <w:rsid w:val="0011125C"/>
    <w:rsid w:val="00112721"/>
    <w:rsid w:val="00114F0A"/>
    <w:rsid w:val="00115E28"/>
    <w:rsid w:val="00116887"/>
    <w:rsid w:val="00116F4B"/>
    <w:rsid w:val="00121D96"/>
    <w:rsid w:val="00122B04"/>
    <w:rsid w:val="00123540"/>
    <w:rsid w:val="00124D0C"/>
    <w:rsid w:val="00125C25"/>
    <w:rsid w:val="0012773F"/>
    <w:rsid w:val="00127789"/>
    <w:rsid w:val="00127ED6"/>
    <w:rsid w:val="00131F42"/>
    <w:rsid w:val="00132AB0"/>
    <w:rsid w:val="001357F1"/>
    <w:rsid w:val="001362AE"/>
    <w:rsid w:val="00137DBD"/>
    <w:rsid w:val="001404A5"/>
    <w:rsid w:val="00140FA8"/>
    <w:rsid w:val="00142013"/>
    <w:rsid w:val="00142033"/>
    <w:rsid w:val="00142FD8"/>
    <w:rsid w:val="00142FEB"/>
    <w:rsid w:val="00143A2D"/>
    <w:rsid w:val="00143B80"/>
    <w:rsid w:val="00145A41"/>
    <w:rsid w:val="00146468"/>
    <w:rsid w:val="0014745D"/>
    <w:rsid w:val="00151675"/>
    <w:rsid w:val="00151FE6"/>
    <w:rsid w:val="00152612"/>
    <w:rsid w:val="0015372E"/>
    <w:rsid w:val="001542A6"/>
    <w:rsid w:val="00154615"/>
    <w:rsid w:val="00155001"/>
    <w:rsid w:val="0015556D"/>
    <w:rsid w:val="00156B49"/>
    <w:rsid w:val="001572B9"/>
    <w:rsid w:val="00157435"/>
    <w:rsid w:val="00157CE9"/>
    <w:rsid w:val="0016013B"/>
    <w:rsid w:val="001611EF"/>
    <w:rsid w:val="00161B87"/>
    <w:rsid w:val="00163754"/>
    <w:rsid w:val="00163CD2"/>
    <w:rsid w:val="001656C1"/>
    <w:rsid w:val="001661FD"/>
    <w:rsid w:val="0016705A"/>
    <w:rsid w:val="00173BBA"/>
    <w:rsid w:val="0017504D"/>
    <w:rsid w:val="001756C4"/>
    <w:rsid w:val="0017599E"/>
    <w:rsid w:val="00175ACB"/>
    <w:rsid w:val="00175B53"/>
    <w:rsid w:val="0017671A"/>
    <w:rsid w:val="001773AB"/>
    <w:rsid w:val="00177422"/>
    <w:rsid w:val="001776C9"/>
    <w:rsid w:val="00177DD9"/>
    <w:rsid w:val="001801B4"/>
    <w:rsid w:val="00180ABA"/>
    <w:rsid w:val="001815FF"/>
    <w:rsid w:val="00184590"/>
    <w:rsid w:val="001858BB"/>
    <w:rsid w:val="001861D5"/>
    <w:rsid w:val="001870D1"/>
    <w:rsid w:val="0018781E"/>
    <w:rsid w:val="00190039"/>
    <w:rsid w:val="001904A4"/>
    <w:rsid w:val="00190A25"/>
    <w:rsid w:val="0019262D"/>
    <w:rsid w:val="00195240"/>
    <w:rsid w:val="0019584C"/>
    <w:rsid w:val="001958A6"/>
    <w:rsid w:val="001959F5"/>
    <w:rsid w:val="00195A92"/>
    <w:rsid w:val="001967A0"/>
    <w:rsid w:val="00196C02"/>
    <w:rsid w:val="00197FBF"/>
    <w:rsid w:val="001A1B35"/>
    <w:rsid w:val="001A28D6"/>
    <w:rsid w:val="001A3DE0"/>
    <w:rsid w:val="001A48A2"/>
    <w:rsid w:val="001A53F8"/>
    <w:rsid w:val="001A5A61"/>
    <w:rsid w:val="001A6F0A"/>
    <w:rsid w:val="001A6F61"/>
    <w:rsid w:val="001B10A1"/>
    <w:rsid w:val="001B1CEB"/>
    <w:rsid w:val="001B6485"/>
    <w:rsid w:val="001B72B8"/>
    <w:rsid w:val="001B764A"/>
    <w:rsid w:val="001C0C60"/>
    <w:rsid w:val="001C28B6"/>
    <w:rsid w:val="001C2A84"/>
    <w:rsid w:val="001C4CB6"/>
    <w:rsid w:val="001C4D5C"/>
    <w:rsid w:val="001C4F98"/>
    <w:rsid w:val="001C546E"/>
    <w:rsid w:val="001C69B3"/>
    <w:rsid w:val="001D0BB6"/>
    <w:rsid w:val="001D15B1"/>
    <w:rsid w:val="001D2556"/>
    <w:rsid w:val="001D2667"/>
    <w:rsid w:val="001D2E59"/>
    <w:rsid w:val="001D2FA2"/>
    <w:rsid w:val="001D3779"/>
    <w:rsid w:val="001D527C"/>
    <w:rsid w:val="001D5595"/>
    <w:rsid w:val="001D5B65"/>
    <w:rsid w:val="001D646C"/>
    <w:rsid w:val="001D7874"/>
    <w:rsid w:val="001D7F22"/>
    <w:rsid w:val="001E17BE"/>
    <w:rsid w:val="001E1CF6"/>
    <w:rsid w:val="001E2638"/>
    <w:rsid w:val="001E2E71"/>
    <w:rsid w:val="001E2F2E"/>
    <w:rsid w:val="001E304A"/>
    <w:rsid w:val="001E3A7C"/>
    <w:rsid w:val="001E64AF"/>
    <w:rsid w:val="001E6531"/>
    <w:rsid w:val="001E6F7E"/>
    <w:rsid w:val="001F0529"/>
    <w:rsid w:val="001F065B"/>
    <w:rsid w:val="001F0B99"/>
    <w:rsid w:val="001F0F17"/>
    <w:rsid w:val="001F19F8"/>
    <w:rsid w:val="001F3347"/>
    <w:rsid w:val="001F5557"/>
    <w:rsid w:val="001F65BE"/>
    <w:rsid w:val="001F6782"/>
    <w:rsid w:val="001F69E4"/>
    <w:rsid w:val="001F6C61"/>
    <w:rsid w:val="00202BA4"/>
    <w:rsid w:val="00202DB7"/>
    <w:rsid w:val="0020359E"/>
    <w:rsid w:val="00204159"/>
    <w:rsid w:val="00204649"/>
    <w:rsid w:val="00207077"/>
    <w:rsid w:val="00210C15"/>
    <w:rsid w:val="002120C3"/>
    <w:rsid w:val="002121E8"/>
    <w:rsid w:val="002125B4"/>
    <w:rsid w:val="002142D8"/>
    <w:rsid w:val="002149F0"/>
    <w:rsid w:val="002155B8"/>
    <w:rsid w:val="00215E0D"/>
    <w:rsid w:val="00215EC4"/>
    <w:rsid w:val="00216E74"/>
    <w:rsid w:val="0021712E"/>
    <w:rsid w:val="00217F8D"/>
    <w:rsid w:val="002202C9"/>
    <w:rsid w:val="002206E9"/>
    <w:rsid w:val="00220FF5"/>
    <w:rsid w:val="002219CF"/>
    <w:rsid w:val="00221FCB"/>
    <w:rsid w:val="00222969"/>
    <w:rsid w:val="0022370A"/>
    <w:rsid w:val="00223B95"/>
    <w:rsid w:val="0022428E"/>
    <w:rsid w:val="0022475E"/>
    <w:rsid w:val="00224839"/>
    <w:rsid w:val="00224947"/>
    <w:rsid w:val="002249A7"/>
    <w:rsid w:val="002249B2"/>
    <w:rsid w:val="00226574"/>
    <w:rsid w:val="002278EC"/>
    <w:rsid w:val="00231B96"/>
    <w:rsid w:val="00232144"/>
    <w:rsid w:val="0023280E"/>
    <w:rsid w:val="002333AE"/>
    <w:rsid w:val="00233839"/>
    <w:rsid w:val="00235052"/>
    <w:rsid w:val="00235DD0"/>
    <w:rsid w:val="00236038"/>
    <w:rsid w:val="0023672A"/>
    <w:rsid w:val="00236757"/>
    <w:rsid w:val="002377D1"/>
    <w:rsid w:val="00240237"/>
    <w:rsid w:val="00240DA9"/>
    <w:rsid w:val="002415C6"/>
    <w:rsid w:val="00242815"/>
    <w:rsid w:val="0024289C"/>
    <w:rsid w:val="002438E8"/>
    <w:rsid w:val="00244A39"/>
    <w:rsid w:val="00246D23"/>
    <w:rsid w:val="00246F44"/>
    <w:rsid w:val="0024763E"/>
    <w:rsid w:val="0024789F"/>
    <w:rsid w:val="00247996"/>
    <w:rsid w:val="002506BC"/>
    <w:rsid w:val="00250F82"/>
    <w:rsid w:val="00251145"/>
    <w:rsid w:val="00251C02"/>
    <w:rsid w:val="00254345"/>
    <w:rsid w:val="002543A2"/>
    <w:rsid w:val="00254561"/>
    <w:rsid w:val="00254DA3"/>
    <w:rsid w:val="002558BE"/>
    <w:rsid w:val="0025624E"/>
    <w:rsid w:val="00256A5B"/>
    <w:rsid w:val="00256F15"/>
    <w:rsid w:val="00257861"/>
    <w:rsid w:val="00257C4F"/>
    <w:rsid w:val="0026009A"/>
    <w:rsid w:val="00260FD0"/>
    <w:rsid w:val="00263E80"/>
    <w:rsid w:val="00264557"/>
    <w:rsid w:val="0026763A"/>
    <w:rsid w:val="00273446"/>
    <w:rsid w:val="00273C9C"/>
    <w:rsid w:val="0027433E"/>
    <w:rsid w:val="00275172"/>
    <w:rsid w:val="0027583A"/>
    <w:rsid w:val="0027749E"/>
    <w:rsid w:val="002801A8"/>
    <w:rsid w:val="002805AB"/>
    <w:rsid w:val="0028075A"/>
    <w:rsid w:val="002822C7"/>
    <w:rsid w:val="0028255A"/>
    <w:rsid w:val="00282700"/>
    <w:rsid w:val="00282A99"/>
    <w:rsid w:val="00283341"/>
    <w:rsid w:val="00283A23"/>
    <w:rsid w:val="00284204"/>
    <w:rsid w:val="00284B47"/>
    <w:rsid w:val="00285E75"/>
    <w:rsid w:val="0028739A"/>
    <w:rsid w:val="0028743A"/>
    <w:rsid w:val="0028797D"/>
    <w:rsid w:val="002911CA"/>
    <w:rsid w:val="002913BC"/>
    <w:rsid w:val="00291773"/>
    <w:rsid w:val="002919C6"/>
    <w:rsid w:val="002935FC"/>
    <w:rsid w:val="0029765B"/>
    <w:rsid w:val="002A0B45"/>
    <w:rsid w:val="002A168C"/>
    <w:rsid w:val="002A24A2"/>
    <w:rsid w:val="002A3232"/>
    <w:rsid w:val="002A3C81"/>
    <w:rsid w:val="002A3DC7"/>
    <w:rsid w:val="002A5235"/>
    <w:rsid w:val="002A559F"/>
    <w:rsid w:val="002A61B8"/>
    <w:rsid w:val="002A6A4A"/>
    <w:rsid w:val="002A6BD0"/>
    <w:rsid w:val="002A70C6"/>
    <w:rsid w:val="002A73C5"/>
    <w:rsid w:val="002B0460"/>
    <w:rsid w:val="002B065A"/>
    <w:rsid w:val="002B0BBB"/>
    <w:rsid w:val="002B114D"/>
    <w:rsid w:val="002B11CB"/>
    <w:rsid w:val="002B366E"/>
    <w:rsid w:val="002B49E2"/>
    <w:rsid w:val="002B5D53"/>
    <w:rsid w:val="002B5E13"/>
    <w:rsid w:val="002B7477"/>
    <w:rsid w:val="002B7B00"/>
    <w:rsid w:val="002B7C44"/>
    <w:rsid w:val="002C0240"/>
    <w:rsid w:val="002C0783"/>
    <w:rsid w:val="002C0887"/>
    <w:rsid w:val="002C2AC5"/>
    <w:rsid w:val="002C2B17"/>
    <w:rsid w:val="002C3476"/>
    <w:rsid w:val="002C3C13"/>
    <w:rsid w:val="002C3CFA"/>
    <w:rsid w:val="002C49E0"/>
    <w:rsid w:val="002C4F10"/>
    <w:rsid w:val="002C4FE5"/>
    <w:rsid w:val="002C52B4"/>
    <w:rsid w:val="002C606C"/>
    <w:rsid w:val="002C6391"/>
    <w:rsid w:val="002C6A9E"/>
    <w:rsid w:val="002C779F"/>
    <w:rsid w:val="002C7FBC"/>
    <w:rsid w:val="002D1378"/>
    <w:rsid w:val="002D20E4"/>
    <w:rsid w:val="002D2581"/>
    <w:rsid w:val="002D3DD0"/>
    <w:rsid w:val="002D419B"/>
    <w:rsid w:val="002D428A"/>
    <w:rsid w:val="002D42A6"/>
    <w:rsid w:val="002D6530"/>
    <w:rsid w:val="002E00E8"/>
    <w:rsid w:val="002E1636"/>
    <w:rsid w:val="002E1AC0"/>
    <w:rsid w:val="002E1F3A"/>
    <w:rsid w:val="002E274D"/>
    <w:rsid w:val="002E298A"/>
    <w:rsid w:val="002E2C12"/>
    <w:rsid w:val="002E42BF"/>
    <w:rsid w:val="002E46A2"/>
    <w:rsid w:val="002E6FE6"/>
    <w:rsid w:val="002E72ED"/>
    <w:rsid w:val="002F01BB"/>
    <w:rsid w:val="002F0D26"/>
    <w:rsid w:val="002F0F3F"/>
    <w:rsid w:val="002F1881"/>
    <w:rsid w:val="002F18D9"/>
    <w:rsid w:val="002F2E25"/>
    <w:rsid w:val="002F356B"/>
    <w:rsid w:val="002F43D1"/>
    <w:rsid w:val="002F486B"/>
    <w:rsid w:val="002F62F7"/>
    <w:rsid w:val="002F77DE"/>
    <w:rsid w:val="00301978"/>
    <w:rsid w:val="00301999"/>
    <w:rsid w:val="00301DEB"/>
    <w:rsid w:val="0030329B"/>
    <w:rsid w:val="0030332C"/>
    <w:rsid w:val="00303713"/>
    <w:rsid w:val="003051C2"/>
    <w:rsid w:val="00305BCD"/>
    <w:rsid w:val="00305BE6"/>
    <w:rsid w:val="00306E3F"/>
    <w:rsid w:val="00306F5A"/>
    <w:rsid w:val="00307562"/>
    <w:rsid w:val="003079EC"/>
    <w:rsid w:val="00307AB7"/>
    <w:rsid w:val="00310A17"/>
    <w:rsid w:val="00310EA9"/>
    <w:rsid w:val="003111B8"/>
    <w:rsid w:val="00312296"/>
    <w:rsid w:val="00314F0E"/>
    <w:rsid w:val="003155BE"/>
    <w:rsid w:val="00316874"/>
    <w:rsid w:val="00316BFE"/>
    <w:rsid w:val="00316EAA"/>
    <w:rsid w:val="0031731E"/>
    <w:rsid w:val="003206F2"/>
    <w:rsid w:val="00321D8E"/>
    <w:rsid w:val="00322A36"/>
    <w:rsid w:val="00323B9A"/>
    <w:rsid w:val="00325928"/>
    <w:rsid w:val="0032713D"/>
    <w:rsid w:val="0032724D"/>
    <w:rsid w:val="00327F54"/>
    <w:rsid w:val="003312BE"/>
    <w:rsid w:val="003317ED"/>
    <w:rsid w:val="00331C09"/>
    <w:rsid w:val="00332863"/>
    <w:rsid w:val="00332FDF"/>
    <w:rsid w:val="00333367"/>
    <w:rsid w:val="00334405"/>
    <w:rsid w:val="003349B9"/>
    <w:rsid w:val="00334AA8"/>
    <w:rsid w:val="00334AE7"/>
    <w:rsid w:val="00334D11"/>
    <w:rsid w:val="0033557E"/>
    <w:rsid w:val="0033684D"/>
    <w:rsid w:val="00336DC2"/>
    <w:rsid w:val="00337754"/>
    <w:rsid w:val="00337B42"/>
    <w:rsid w:val="0034032A"/>
    <w:rsid w:val="00341A3C"/>
    <w:rsid w:val="00341B42"/>
    <w:rsid w:val="00342B35"/>
    <w:rsid w:val="0034348F"/>
    <w:rsid w:val="00343F68"/>
    <w:rsid w:val="003467DD"/>
    <w:rsid w:val="00346F7A"/>
    <w:rsid w:val="00350E8A"/>
    <w:rsid w:val="003517FC"/>
    <w:rsid w:val="00352E2D"/>
    <w:rsid w:val="003537A9"/>
    <w:rsid w:val="00353EA4"/>
    <w:rsid w:val="003549E9"/>
    <w:rsid w:val="003555A0"/>
    <w:rsid w:val="00355DB4"/>
    <w:rsid w:val="00356653"/>
    <w:rsid w:val="00356C48"/>
    <w:rsid w:val="00356E42"/>
    <w:rsid w:val="0035743F"/>
    <w:rsid w:val="00357BE2"/>
    <w:rsid w:val="00361688"/>
    <w:rsid w:val="0036170C"/>
    <w:rsid w:val="00363FF9"/>
    <w:rsid w:val="00365482"/>
    <w:rsid w:val="003662F8"/>
    <w:rsid w:val="00366E0F"/>
    <w:rsid w:val="003675D6"/>
    <w:rsid w:val="00372F73"/>
    <w:rsid w:val="0037304C"/>
    <w:rsid w:val="00374D0E"/>
    <w:rsid w:val="00375110"/>
    <w:rsid w:val="003753D7"/>
    <w:rsid w:val="00375A69"/>
    <w:rsid w:val="00375D27"/>
    <w:rsid w:val="00380C1D"/>
    <w:rsid w:val="00381A72"/>
    <w:rsid w:val="00381CE0"/>
    <w:rsid w:val="003833C5"/>
    <w:rsid w:val="00383760"/>
    <w:rsid w:val="00383BA4"/>
    <w:rsid w:val="00384676"/>
    <w:rsid w:val="00384CDF"/>
    <w:rsid w:val="00384E37"/>
    <w:rsid w:val="0038500C"/>
    <w:rsid w:val="0038619D"/>
    <w:rsid w:val="003869F8"/>
    <w:rsid w:val="00387D6C"/>
    <w:rsid w:val="00390857"/>
    <w:rsid w:val="00392BBA"/>
    <w:rsid w:val="00393777"/>
    <w:rsid w:val="003943C6"/>
    <w:rsid w:val="003960F5"/>
    <w:rsid w:val="0039676D"/>
    <w:rsid w:val="003A0113"/>
    <w:rsid w:val="003A2BEA"/>
    <w:rsid w:val="003A2D2D"/>
    <w:rsid w:val="003A3A19"/>
    <w:rsid w:val="003A4BF3"/>
    <w:rsid w:val="003A744E"/>
    <w:rsid w:val="003A7DAF"/>
    <w:rsid w:val="003B1011"/>
    <w:rsid w:val="003B14F8"/>
    <w:rsid w:val="003B292D"/>
    <w:rsid w:val="003B3922"/>
    <w:rsid w:val="003B420D"/>
    <w:rsid w:val="003B494D"/>
    <w:rsid w:val="003B56A3"/>
    <w:rsid w:val="003B5873"/>
    <w:rsid w:val="003B7795"/>
    <w:rsid w:val="003C3CB9"/>
    <w:rsid w:val="003C40D9"/>
    <w:rsid w:val="003C6C16"/>
    <w:rsid w:val="003C7465"/>
    <w:rsid w:val="003D0722"/>
    <w:rsid w:val="003D2AB6"/>
    <w:rsid w:val="003D3C5B"/>
    <w:rsid w:val="003D4503"/>
    <w:rsid w:val="003D4C0B"/>
    <w:rsid w:val="003D6278"/>
    <w:rsid w:val="003D656F"/>
    <w:rsid w:val="003D707E"/>
    <w:rsid w:val="003D7088"/>
    <w:rsid w:val="003D794D"/>
    <w:rsid w:val="003E1620"/>
    <w:rsid w:val="003E2BAF"/>
    <w:rsid w:val="003E3058"/>
    <w:rsid w:val="003E5045"/>
    <w:rsid w:val="003E57C2"/>
    <w:rsid w:val="003E66F7"/>
    <w:rsid w:val="003E76A9"/>
    <w:rsid w:val="003E7D26"/>
    <w:rsid w:val="003F0809"/>
    <w:rsid w:val="003F2955"/>
    <w:rsid w:val="003F6A8C"/>
    <w:rsid w:val="003F755C"/>
    <w:rsid w:val="003F7BF7"/>
    <w:rsid w:val="003F7C32"/>
    <w:rsid w:val="004009A1"/>
    <w:rsid w:val="00400A82"/>
    <w:rsid w:val="00400C27"/>
    <w:rsid w:val="004011A2"/>
    <w:rsid w:val="00402D4F"/>
    <w:rsid w:val="0040404E"/>
    <w:rsid w:val="00404536"/>
    <w:rsid w:val="00404651"/>
    <w:rsid w:val="0040632C"/>
    <w:rsid w:val="00406F01"/>
    <w:rsid w:val="004076B9"/>
    <w:rsid w:val="00411FD5"/>
    <w:rsid w:val="004123A0"/>
    <w:rsid w:val="00412731"/>
    <w:rsid w:val="00412F6C"/>
    <w:rsid w:val="00413109"/>
    <w:rsid w:val="0041478C"/>
    <w:rsid w:val="00414CFD"/>
    <w:rsid w:val="00416D50"/>
    <w:rsid w:val="00416FD5"/>
    <w:rsid w:val="00417375"/>
    <w:rsid w:val="00417772"/>
    <w:rsid w:val="004209D7"/>
    <w:rsid w:val="00420E6A"/>
    <w:rsid w:val="004218A0"/>
    <w:rsid w:val="004238E8"/>
    <w:rsid w:val="00423E88"/>
    <w:rsid w:val="00424014"/>
    <w:rsid w:val="00424E6E"/>
    <w:rsid w:val="00425520"/>
    <w:rsid w:val="00425A9E"/>
    <w:rsid w:val="00426D6B"/>
    <w:rsid w:val="00427803"/>
    <w:rsid w:val="00431E6C"/>
    <w:rsid w:val="00432D85"/>
    <w:rsid w:val="00433742"/>
    <w:rsid w:val="00433CE7"/>
    <w:rsid w:val="00434076"/>
    <w:rsid w:val="00434190"/>
    <w:rsid w:val="0043467E"/>
    <w:rsid w:val="00434695"/>
    <w:rsid w:val="0044195F"/>
    <w:rsid w:val="00442CCE"/>
    <w:rsid w:val="004440F1"/>
    <w:rsid w:val="0044681A"/>
    <w:rsid w:val="00446E88"/>
    <w:rsid w:val="00446FDD"/>
    <w:rsid w:val="0044701B"/>
    <w:rsid w:val="00451186"/>
    <w:rsid w:val="00452738"/>
    <w:rsid w:val="00452796"/>
    <w:rsid w:val="0045293E"/>
    <w:rsid w:val="0045295D"/>
    <w:rsid w:val="004529C9"/>
    <w:rsid w:val="00454329"/>
    <w:rsid w:val="00454A48"/>
    <w:rsid w:val="004557E0"/>
    <w:rsid w:val="00456091"/>
    <w:rsid w:val="00456614"/>
    <w:rsid w:val="00456E10"/>
    <w:rsid w:val="004603C7"/>
    <w:rsid w:val="00460A0C"/>
    <w:rsid w:val="00461CB7"/>
    <w:rsid w:val="0046393C"/>
    <w:rsid w:val="0046417F"/>
    <w:rsid w:val="0046484E"/>
    <w:rsid w:val="0046503F"/>
    <w:rsid w:val="0046548E"/>
    <w:rsid w:val="00465CB8"/>
    <w:rsid w:val="00466321"/>
    <w:rsid w:val="00471241"/>
    <w:rsid w:val="00471DE8"/>
    <w:rsid w:val="00472595"/>
    <w:rsid w:val="00477A28"/>
    <w:rsid w:val="004809B4"/>
    <w:rsid w:val="00481B6A"/>
    <w:rsid w:val="0048345F"/>
    <w:rsid w:val="004834FA"/>
    <w:rsid w:val="00484B9B"/>
    <w:rsid w:val="004855F6"/>
    <w:rsid w:val="0048661E"/>
    <w:rsid w:val="00486B74"/>
    <w:rsid w:val="00486F36"/>
    <w:rsid w:val="00487897"/>
    <w:rsid w:val="004921AB"/>
    <w:rsid w:val="00493985"/>
    <w:rsid w:val="00493DE5"/>
    <w:rsid w:val="00493FB0"/>
    <w:rsid w:val="004942E6"/>
    <w:rsid w:val="00494670"/>
    <w:rsid w:val="00494B49"/>
    <w:rsid w:val="00495F0B"/>
    <w:rsid w:val="004A0309"/>
    <w:rsid w:val="004A0A07"/>
    <w:rsid w:val="004A107B"/>
    <w:rsid w:val="004A188A"/>
    <w:rsid w:val="004A1A2A"/>
    <w:rsid w:val="004A3386"/>
    <w:rsid w:val="004A3823"/>
    <w:rsid w:val="004A476F"/>
    <w:rsid w:val="004A4C46"/>
    <w:rsid w:val="004A4EFF"/>
    <w:rsid w:val="004A6A03"/>
    <w:rsid w:val="004B081C"/>
    <w:rsid w:val="004B0F4C"/>
    <w:rsid w:val="004B1279"/>
    <w:rsid w:val="004B213B"/>
    <w:rsid w:val="004B257B"/>
    <w:rsid w:val="004B2792"/>
    <w:rsid w:val="004B5A63"/>
    <w:rsid w:val="004B6EA6"/>
    <w:rsid w:val="004B7253"/>
    <w:rsid w:val="004C0AFA"/>
    <w:rsid w:val="004C0C26"/>
    <w:rsid w:val="004C3D33"/>
    <w:rsid w:val="004C5CC2"/>
    <w:rsid w:val="004C6F16"/>
    <w:rsid w:val="004C7A0B"/>
    <w:rsid w:val="004D1A42"/>
    <w:rsid w:val="004D1AEE"/>
    <w:rsid w:val="004D1FD0"/>
    <w:rsid w:val="004D275E"/>
    <w:rsid w:val="004D2F12"/>
    <w:rsid w:val="004D523C"/>
    <w:rsid w:val="004D75F1"/>
    <w:rsid w:val="004E054E"/>
    <w:rsid w:val="004E07B2"/>
    <w:rsid w:val="004E0E5F"/>
    <w:rsid w:val="004E1A5C"/>
    <w:rsid w:val="004E2281"/>
    <w:rsid w:val="004E2CDA"/>
    <w:rsid w:val="004E4B7D"/>
    <w:rsid w:val="004E58D6"/>
    <w:rsid w:val="004E65DB"/>
    <w:rsid w:val="004E668C"/>
    <w:rsid w:val="004E6897"/>
    <w:rsid w:val="004E6946"/>
    <w:rsid w:val="004E69E4"/>
    <w:rsid w:val="004E6A0F"/>
    <w:rsid w:val="004E70C4"/>
    <w:rsid w:val="004F1AD8"/>
    <w:rsid w:val="004F2575"/>
    <w:rsid w:val="004F26CF"/>
    <w:rsid w:val="004F297A"/>
    <w:rsid w:val="004F331C"/>
    <w:rsid w:val="004F37AD"/>
    <w:rsid w:val="004F4F09"/>
    <w:rsid w:val="004F50E8"/>
    <w:rsid w:val="004F69ED"/>
    <w:rsid w:val="00501DA0"/>
    <w:rsid w:val="005039CB"/>
    <w:rsid w:val="00503BD1"/>
    <w:rsid w:val="00504EDC"/>
    <w:rsid w:val="0050558F"/>
    <w:rsid w:val="00506286"/>
    <w:rsid w:val="00507200"/>
    <w:rsid w:val="00507D8D"/>
    <w:rsid w:val="00510813"/>
    <w:rsid w:val="00510B86"/>
    <w:rsid w:val="005110A3"/>
    <w:rsid w:val="00511990"/>
    <w:rsid w:val="00511DE0"/>
    <w:rsid w:val="005139D3"/>
    <w:rsid w:val="005145B4"/>
    <w:rsid w:val="00514870"/>
    <w:rsid w:val="00514B9B"/>
    <w:rsid w:val="00517F02"/>
    <w:rsid w:val="00517F73"/>
    <w:rsid w:val="00520215"/>
    <w:rsid w:val="005221C2"/>
    <w:rsid w:val="00523BBF"/>
    <w:rsid w:val="00524303"/>
    <w:rsid w:val="005258A2"/>
    <w:rsid w:val="005275D3"/>
    <w:rsid w:val="00527DCB"/>
    <w:rsid w:val="00527F1E"/>
    <w:rsid w:val="00533868"/>
    <w:rsid w:val="00534907"/>
    <w:rsid w:val="00534917"/>
    <w:rsid w:val="00534E8F"/>
    <w:rsid w:val="00536B26"/>
    <w:rsid w:val="00537EF3"/>
    <w:rsid w:val="005401AE"/>
    <w:rsid w:val="00542BC5"/>
    <w:rsid w:val="00542E07"/>
    <w:rsid w:val="00544194"/>
    <w:rsid w:val="005451DD"/>
    <w:rsid w:val="00545424"/>
    <w:rsid w:val="00545B5F"/>
    <w:rsid w:val="005464A0"/>
    <w:rsid w:val="0054683C"/>
    <w:rsid w:val="00546E4F"/>
    <w:rsid w:val="00547B8F"/>
    <w:rsid w:val="005503EA"/>
    <w:rsid w:val="00550841"/>
    <w:rsid w:val="00551224"/>
    <w:rsid w:val="00554A4F"/>
    <w:rsid w:val="00554A7B"/>
    <w:rsid w:val="00554EDF"/>
    <w:rsid w:val="0055572C"/>
    <w:rsid w:val="0056106A"/>
    <w:rsid w:val="005636AA"/>
    <w:rsid w:val="00564203"/>
    <w:rsid w:val="005647FA"/>
    <w:rsid w:val="00564A6C"/>
    <w:rsid w:val="0056592E"/>
    <w:rsid w:val="00567064"/>
    <w:rsid w:val="00567AA7"/>
    <w:rsid w:val="00571A78"/>
    <w:rsid w:val="005720AE"/>
    <w:rsid w:val="005735E2"/>
    <w:rsid w:val="00573CA6"/>
    <w:rsid w:val="00573CBE"/>
    <w:rsid w:val="005745D2"/>
    <w:rsid w:val="005756C5"/>
    <w:rsid w:val="005758A8"/>
    <w:rsid w:val="00576298"/>
    <w:rsid w:val="00576C6F"/>
    <w:rsid w:val="00577517"/>
    <w:rsid w:val="00577973"/>
    <w:rsid w:val="00577A6E"/>
    <w:rsid w:val="00583099"/>
    <w:rsid w:val="005838C0"/>
    <w:rsid w:val="0058559A"/>
    <w:rsid w:val="00585693"/>
    <w:rsid w:val="00586048"/>
    <w:rsid w:val="00586AA8"/>
    <w:rsid w:val="00587E05"/>
    <w:rsid w:val="00590692"/>
    <w:rsid w:val="005930BF"/>
    <w:rsid w:val="00594D77"/>
    <w:rsid w:val="00595735"/>
    <w:rsid w:val="00595FBF"/>
    <w:rsid w:val="005969E4"/>
    <w:rsid w:val="00597129"/>
    <w:rsid w:val="005A0223"/>
    <w:rsid w:val="005A04CF"/>
    <w:rsid w:val="005A06B7"/>
    <w:rsid w:val="005A161F"/>
    <w:rsid w:val="005A1759"/>
    <w:rsid w:val="005A2860"/>
    <w:rsid w:val="005A43A4"/>
    <w:rsid w:val="005A4549"/>
    <w:rsid w:val="005A4BB7"/>
    <w:rsid w:val="005A68A7"/>
    <w:rsid w:val="005A759C"/>
    <w:rsid w:val="005A79FC"/>
    <w:rsid w:val="005A7D5D"/>
    <w:rsid w:val="005A7DF8"/>
    <w:rsid w:val="005B1BA0"/>
    <w:rsid w:val="005B261D"/>
    <w:rsid w:val="005B3F39"/>
    <w:rsid w:val="005B792A"/>
    <w:rsid w:val="005C27CA"/>
    <w:rsid w:val="005C37A3"/>
    <w:rsid w:val="005C3E4A"/>
    <w:rsid w:val="005C4C78"/>
    <w:rsid w:val="005C61EE"/>
    <w:rsid w:val="005C626E"/>
    <w:rsid w:val="005D11E8"/>
    <w:rsid w:val="005D12E2"/>
    <w:rsid w:val="005D1301"/>
    <w:rsid w:val="005D1BAA"/>
    <w:rsid w:val="005D3138"/>
    <w:rsid w:val="005D36AB"/>
    <w:rsid w:val="005D3BD9"/>
    <w:rsid w:val="005D3EA1"/>
    <w:rsid w:val="005D444C"/>
    <w:rsid w:val="005D4E46"/>
    <w:rsid w:val="005E03BD"/>
    <w:rsid w:val="005E2FCE"/>
    <w:rsid w:val="005E3439"/>
    <w:rsid w:val="005E61C4"/>
    <w:rsid w:val="005E67D2"/>
    <w:rsid w:val="005F026B"/>
    <w:rsid w:val="005F099F"/>
    <w:rsid w:val="005F1020"/>
    <w:rsid w:val="005F20E8"/>
    <w:rsid w:val="005F2A16"/>
    <w:rsid w:val="005F3D9E"/>
    <w:rsid w:val="005F433A"/>
    <w:rsid w:val="005F592D"/>
    <w:rsid w:val="005F5C12"/>
    <w:rsid w:val="005F6011"/>
    <w:rsid w:val="005F6209"/>
    <w:rsid w:val="005F657B"/>
    <w:rsid w:val="005F771E"/>
    <w:rsid w:val="005F7E94"/>
    <w:rsid w:val="00602224"/>
    <w:rsid w:val="00602A4C"/>
    <w:rsid w:val="00604974"/>
    <w:rsid w:val="00604E99"/>
    <w:rsid w:val="00606F26"/>
    <w:rsid w:val="00607E40"/>
    <w:rsid w:val="00610DD1"/>
    <w:rsid w:val="00610E71"/>
    <w:rsid w:val="00611841"/>
    <w:rsid w:val="0061355B"/>
    <w:rsid w:val="00613DD6"/>
    <w:rsid w:val="00615A0B"/>
    <w:rsid w:val="0061654A"/>
    <w:rsid w:val="00616FA0"/>
    <w:rsid w:val="006176F1"/>
    <w:rsid w:val="00617AC3"/>
    <w:rsid w:val="00617CC3"/>
    <w:rsid w:val="00617FC8"/>
    <w:rsid w:val="00620B7E"/>
    <w:rsid w:val="00622EE8"/>
    <w:rsid w:val="0062631C"/>
    <w:rsid w:val="0062645C"/>
    <w:rsid w:val="0062660E"/>
    <w:rsid w:val="00627A3E"/>
    <w:rsid w:val="00627BB5"/>
    <w:rsid w:val="0063034B"/>
    <w:rsid w:val="00630514"/>
    <w:rsid w:val="00630F8E"/>
    <w:rsid w:val="006313C6"/>
    <w:rsid w:val="00633AC5"/>
    <w:rsid w:val="00634A71"/>
    <w:rsid w:val="00634BF1"/>
    <w:rsid w:val="00636BE8"/>
    <w:rsid w:val="006377A6"/>
    <w:rsid w:val="00637A3D"/>
    <w:rsid w:val="00637DBA"/>
    <w:rsid w:val="006411EF"/>
    <w:rsid w:val="006413FA"/>
    <w:rsid w:val="00642161"/>
    <w:rsid w:val="00643BE3"/>
    <w:rsid w:val="00643BFB"/>
    <w:rsid w:val="00644917"/>
    <w:rsid w:val="00644F38"/>
    <w:rsid w:val="00647476"/>
    <w:rsid w:val="00651B1F"/>
    <w:rsid w:val="00652B8C"/>
    <w:rsid w:val="00652D46"/>
    <w:rsid w:val="006537F3"/>
    <w:rsid w:val="00654462"/>
    <w:rsid w:val="00654E06"/>
    <w:rsid w:val="00655E05"/>
    <w:rsid w:val="006577CD"/>
    <w:rsid w:val="00660DB2"/>
    <w:rsid w:val="00663160"/>
    <w:rsid w:val="00667D75"/>
    <w:rsid w:val="006730B5"/>
    <w:rsid w:val="006734AE"/>
    <w:rsid w:val="00673E46"/>
    <w:rsid w:val="006748B8"/>
    <w:rsid w:val="0067545D"/>
    <w:rsid w:val="0067602D"/>
    <w:rsid w:val="00676A96"/>
    <w:rsid w:val="00676DC3"/>
    <w:rsid w:val="006775C3"/>
    <w:rsid w:val="00682722"/>
    <w:rsid w:val="00682EAD"/>
    <w:rsid w:val="006833DF"/>
    <w:rsid w:val="00684418"/>
    <w:rsid w:val="00684762"/>
    <w:rsid w:val="00684793"/>
    <w:rsid w:val="0068541D"/>
    <w:rsid w:val="006859C7"/>
    <w:rsid w:val="00686AA9"/>
    <w:rsid w:val="00687FD6"/>
    <w:rsid w:val="0069095B"/>
    <w:rsid w:val="0069097F"/>
    <w:rsid w:val="00690ABA"/>
    <w:rsid w:val="00692243"/>
    <w:rsid w:val="0069255E"/>
    <w:rsid w:val="00692852"/>
    <w:rsid w:val="0069290A"/>
    <w:rsid w:val="0069328C"/>
    <w:rsid w:val="00694F90"/>
    <w:rsid w:val="00695FBA"/>
    <w:rsid w:val="006965E4"/>
    <w:rsid w:val="006965EA"/>
    <w:rsid w:val="00697207"/>
    <w:rsid w:val="006974BE"/>
    <w:rsid w:val="0069775A"/>
    <w:rsid w:val="00697813"/>
    <w:rsid w:val="006A0918"/>
    <w:rsid w:val="006A0A65"/>
    <w:rsid w:val="006A190E"/>
    <w:rsid w:val="006A35DE"/>
    <w:rsid w:val="006A3EE8"/>
    <w:rsid w:val="006A4B1D"/>
    <w:rsid w:val="006A4C8A"/>
    <w:rsid w:val="006A5EE2"/>
    <w:rsid w:val="006A6477"/>
    <w:rsid w:val="006A72BF"/>
    <w:rsid w:val="006A72FB"/>
    <w:rsid w:val="006B03F2"/>
    <w:rsid w:val="006B3212"/>
    <w:rsid w:val="006B37DC"/>
    <w:rsid w:val="006B48D9"/>
    <w:rsid w:val="006B4A55"/>
    <w:rsid w:val="006B4F68"/>
    <w:rsid w:val="006B5851"/>
    <w:rsid w:val="006B6420"/>
    <w:rsid w:val="006C0592"/>
    <w:rsid w:val="006C0CEA"/>
    <w:rsid w:val="006C1F8C"/>
    <w:rsid w:val="006C22DB"/>
    <w:rsid w:val="006C272E"/>
    <w:rsid w:val="006C366D"/>
    <w:rsid w:val="006C5479"/>
    <w:rsid w:val="006C67F0"/>
    <w:rsid w:val="006C6EC1"/>
    <w:rsid w:val="006C7093"/>
    <w:rsid w:val="006D0A9A"/>
    <w:rsid w:val="006D11DE"/>
    <w:rsid w:val="006D13B5"/>
    <w:rsid w:val="006D2CA5"/>
    <w:rsid w:val="006D36C7"/>
    <w:rsid w:val="006D4C3E"/>
    <w:rsid w:val="006D5054"/>
    <w:rsid w:val="006D550E"/>
    <w:rsid w:val="006D5A86"/>
    <w:rsid w:val="006D7597"/>
    <w:rsid w:val="006D7C61"/>
    <w:rsid w:val="006E02D9"/>
    <w:rsid w:val="006E0E10"/>
    <w:rsid w:val="006E12FF"/>
    <w:rsid w:val="006E1640"/>
    <w:rsid w:val="006E1E82"/>
    <w:rsid w:val="006E1F38"/>
    <w:rsid w:val="006E24F8"/>
    <w:rsid w:val="006E31CE"/>
    <w:rsid w:val="006E322F"/>
    <w:rsid w:val="006E3241"/>
    <w:rsid w:val="006E3E30"/>
    <w:rsid w:val="006E579F"/>
    <w:rsid w:val="006E58D2"/>
    <w:rsid w:val="006E5C03"/>
    <w:rsid w:val="006E607E"/>
    <w:rsid w:val="006E6703"/>
    <w:rsid w:val="006F0782"/>
    <w:rsid w:val="006F2230"/>
    <w:rsid w:val="006F2A46"/>
    <w:rsid w:val="006F39D4"/>
    <w:rsid w:val="006F59CB"/>
    <w:rsid w:val="006F6842"/>
    <w:rsid w:val="006F71FD"/>
    <w:rsid w:val="006F7AFE"/>
    <w:rsid w:val="00701DDB"/>
    <w:rsid w:val="0070229B"/>
    <w:rsid w:val="00702ACE"/>
    <w:rsid w:val="00702C60"/>
    <w:rsid w:val="00704A16"/>
    <w:rsid w:val="00704C4C"/>
    <w:rsid w:val="00706C5D"/>
    <w:rsid w:val="0070746A"/>
    <w:rsid w:val="00710656"/>
    <w:rsid w:val="00710B33"/>
    <w:rsid w:val="007122A7"/>
    <w:rsid w:val="00712D5B"/>
    <w:rsid w:val="00713AD4"/>
    <w:rsid w:val="00713E0A"/>
    <w:rsid w:val="007144A1"/>
    <w:rsid w:val="0071714D"/>
    <w:rsid w:val="00717466"/>
    <w:rsid w:val="007176BB"/>
    <w:rsid w:val="00720E85"/>
    <w:rsid w:val="00720EBF"/>
    <w:rsid w:val="00720EE6"/>
    <w:rsid w:val="00724B83"/>
    <w:rsid w:val="00726350"/>
    <w:rsid w:val="007271E0"/>
    <w:rsid w:val="00727636"/>
    <w:rsid w:val="00730DEB"/>
    <w:rsid w:val="0073148D"/>
    <w:rsid w:val="0073229F"/>
    <w:rsid w:val="00732922"/>
    <w:rsid w:val="00732B2E"/>
    <w:rsid w:val="00733520"/>
    <w:rsid w:val="007342BE"/>
    <w:rsid w:val="00735F43"/>
    <w:rsid w:val="00736586"/>
    <w:rsid w:val="0073715C"/>
    <w:rsid w:val="007371B0"/>
    <w:rsid w:val="00737E66"/>
    <w:rsid w:val="007410B3"/>
    <w:rsid w:val="0074176D"/>
    <w:rsid w:val="007432CC"/>
    <w:rsid w:val="00743CDE"/>
    <w:rsid w:val="00743DAF"/>
    <w:rsid w:val="0074408A"/>
    <w:rsid w:val="0074425A"/>
    <w:rsid w:val="00744623"/>
    <w:rsid w:val="00744964"/>
    <w:rsid w:val="00744F6F"/>
    <w:rsid w:val="00747266"/>
    <w:rsid w:val="0075087C"/>
    <w:rsid w:val="00751022"/>
    <w:rsid w:val="0075130B"/>
    <w:rsid w:val="0075162E"/>
    <w:rsid w:val="007527F3"/>
    <w:rsid w:val="00753CD6"/>
    <w:rsid w:val="00754034"/>
    <w:rsid w:val="00754D4C"/>
    <w:rsid w:val="00756556"/>
    <w:rsid w:val="007571F0"/>
    <w:rsid w:val="007573B1"/>
    <w:rsid w:val="00757B49"/>
    <w:rsid w:val="00760CE2"/>
    <w:rsid w:val="007618C4"/>
    <w:rsid w:val="00761960"/>
    <w:rsid w:val="007641A0"/>
    <w:rsid w:val="007641B9"/>
    <w:rsid w:val="00765A56"/>
    <w:rsid w:val="00767980"/>
    <w:rsid w:val="0077052E"/>
    <w:rsid w:val="00770A9B"/>
    <w:rsid w:val="00770B19"/>
    <w:rsid w:val="00770B50"/>
    <w:rsid w:val="00771BAF"/>
    <w:rsid w:val="0077270E"/>
    <w:rsid w:val="00772771"/>
    <w:rsid w:val="00772EF9"/>
    <w:rsid w:val="0077463F"/>
    <w:rsid w:val="00774E29"/>
    <w:rsid w:val="00775C96"/>
    <w:rsid w:val="0077757E"/>
    <w:rsid w:val="007821E4"/>
    <w:rsid w:val="007836EA"/>
    <w:rsid w:val="00784357"/>
    <w:rsid w:val="00784CDA"/>
    <w:rsid w:val="00785A62"/>
    <w:rsid w:val="00785C2A"/>
    <w:rsid w:val="0078654C"/>
    <w:rsid w:val="007875CB"/>
    <w:rsid w:val="00787E10"/>
    <w:rsid w:val="007906C4"/>
    <w:rsid w:val="00791845"/>
    <w:rsid w:val="0079309D"/>
    <w:rsid w:val="007940EA"/>
    <w:rsid w:val="00796036"/>
    <w:rsid w:val="0079613F"/>
    <w:rsid w:val="007967E8"/>
    <w:rsid w:val="00797109"/>
    <w:rsid w:val="00797915"/>
    <w:rsid w:val="00797B06"/>
    <w:rsid w:val="007A1C42"/>
    <w:rsid w:val="007A1F19"/>
    <w:rsid w:val="007A2170"/>
    <w:rsid w:val="007A22BF"/>
    <w:rsid w:val="007A2474"/>
    <w:rsid w:val="007A2CD1"/>
    <w:rsid w:val="007A3323"/>
    <w:rsid w:val="007A34A0"/>
    <w:rsid w:val="007A41F3"/>
    <w:rsid w:val="007A43E9"/>
    <w:rsid w:val="007A5051"/>
    <w:rsid w:val="007B0904"/>
    <w:rsid w:val="007B0DB9"/>
    <w:rsid w:val="007B17D1"/>
    <w:rsid w:val="007B1877"/>
    <w:rsid w:val="007B38DE"/>
    <w:rsid w:val="007B3A33"/>
    <w:rsid w:val="007B492A"/>
    <w:rsid w:val="007B5293"/>
    <w:rsid w:val="007B5C59"/>
    <w:rsid w:val="007B5E58"/>
    <w:rsid w:val="007B5FB3"/>
    <w:rsid w:val="007B6219"/>
    <w:rsid w:val="007B72B8"/>
    <w:rsid w:val="007B736E"/>
    <w:rsid w:val="007B7A58"/>
    <w:rsid w:val="007C124A"/>
    <w:rsid w:val="007C138F"/>
    <w:rsid w:val="007C21B5"/>
    <w:rsid w:val="007C3F10"/>
    <w:rsid w:val="007C5550"/>
    <w:rsid w:val="007C6200"/>
    <w:rsid w:val="007C6A17"/>
    <w:rsid w:val="007C6C67"/>
    <w:rsid w:val="007D116B"/>
    <w:rsid w:val="007D23E2"/>
    <w:rsid w:val="007D3AA5"/>
    <w:rsid w:val="007D40B2"/>
    <w:rsid w:val="007D5919"/>
    <w:rsid w:val="007D6089"/>
    <w:rsid w:val="007D6E59"/>
    <w:rsid w:val="007D75B2"/>
    <w:rsid w:val="007D76FD"/>
    <w:rsid w:val="007E11DD"/>
    <w:rsid w:val="007E223C"/>
    <w:rsid w:val="007E2314"/>
    <w:rsid w:val="007E3180"/>
    <w:rsid w:val="007E3671"/>
    <w:rsid w:val="007E42A4"/>
    <w:rsid w:val="007E49DF"/>
    <w:rsid w:val="007E4BD2"/>
    <w:rsid w:val="007E599A"/>
    <w:rsid w:val="007E5DED"/>
    <w:rsid w:val="007E68F5"/>
    <w:rsid w:val="007E69B0"/>
    <w:rsid w:val="007F0259"/>
    <w:rsid w:val="007F1954"/>
    <w:rsid w:val="007F1CA7"/>
    <w:rsid w:val="007F2621"/>
    <w:rsid w:val="007F3567"/>
    <w:rsid w:val="007F363B"/>
    <w:rsid w:val="007F4DFD"/>
    <w:rsid w:val="007F77C5"/>
    <w:rsid w:val="008008AF"/>
    <w:rsid w:val="00801393"/>
    <w:rsid w:val="00802F88"/>
    <w:rsid w:val="00804B82"/>
    <w:rsid w:val="00804D54"/>
    <w:rsid w:val="008056BA"/>
    <w:rsid w:val="00806FA1"/>
    <w:rsid w:val="00807B2E"/>
    <w:rsid w:val="00810E22"/>
    <w:rsid w:val="0081237A"/>
    <w:rsid w:val="0081293E"/>
    <w:rsid w:val="008132AC"/>
    <w:rsid w:val="00813C58"/>
    <w:rsid w:val="00815465"/>
    <w:rsid w:val="00816543"/>
    <w:rsid w:val="00817678"/>
    <w:rsid w:val="008178E7"/>
    <w:rsid w:val="00817C2D"/>
    <w:rsid w:val="00817E9A"/>
    <w:rsid w:val="008207B6"/>
    <w:rsid w:val="00820B9A"/>
    <w:rsid w:val="00822170"/>
    <w:rsid w:val="008234A0"/>
    <w:rsid w:val="00823508"/>
    <w:rsid w:val="00823617"/>
    <w:rsid w:val="0082454F"/>
    <w:rsid w:val="00824FC8"/>
    <w:rsid w:val="00826019"/>
    <w:rsid w:val="0082648C"/>
    <w:rsid w:val="00826E17"/>
    <w:rsid w:val="00827513"/>
    <w:rsid w:val="00830220"/>
    <w:rsid w:val="008306BD"/>
    <w:rsid w:val="008307E2"/>
    <w:rsid w:val="00830C31"/>
    <w:rsid w:val="00831A80"/>
    <w:rsid w:val="00833743"/>
    <w:rsid w:val="0083391E"/>
    <w:rsid w:val="008340A4"/>
    <w:rsid w:val="00834B74"/>
    <w:rsid w:val="00834EC1"/>
    <w:rsid w:val="00835296"/>
    <w:rsid w:val="00835400"/>
    <w:rsid w:val="0083577C"/>
    <w:rsid w:val="00835F3D"/>
    <w:rsid w:val="00836151"/>
    <w:rsid w:val="00837AAE"/>
    <w:rsid w:val="0084020B"/>
    <w:rsid w:val="008410A0"/>
    <w:rsid w:val="00841926"/>
    <w:rsid w:val="008425D9"/>
    <w:rsid w:val="008435B3"/>
    <w:rsid w:val="00843A3A"/>
    <w:rsid w:val="00843C9E"/>
    <w:rsid w:val="00845197"/>
    <w:rsid w:val="00845AF0"/>
    <w:rsid w:val="008460C0"/>
    <w:rsid w:val="00846842"/>
    <w:rsid w:val="00847079"/>
    <w:rsid w:val="00847B51"/>
    <w:rsid w:val="00851CDD"/>
    <w:rsid w:val="00851F7A"/>
    <w:rsid w:val="00853568"/>
    <w:rsid w:val="0085488B"/>
    <w:rsid w:val="00855833"/>
    <w:rsid w:val="008571EC"/>
    <w:rsid w:val="00857A4D"/>
    <w:rsid w:val="00857CCF"/>
    <w:rsid w:val="0086017D"/>
    <w:rsid w:val="0086332A"/>
    <w:rsid w:val="00864859"/>
    <w:rsid w:val="00865BE3"/>
    <w:rsid w:val="00867A94"/>
    <w:rsid w:val="0087135F"/>
    <w:rsid w:val="00872386"/>
    <w:rsid w:val="00872A47"/>
    <w:rsid w:val="00872D94"/>
    <w:rsid w:val="00873561"/>
    <w:rsid w:val="00880364"/>
    <w:rsid w:val="00880392"/>
    <w:rsid w:val="00881316"/>
    <w:rsid w:val="00882E6A"/>
    <w:rsid w:val="008832AC"/>
    <w:rsid w:val="008834D5"/>
    <w:rsid w:val="0088462C"/>
    <w:rsid w:val="00884AEE"/>
    <w:rsid w:val="00885AD3"/>
    <w:rsid w:val="00886244"/>
    <w:rsid w:val="008864A4"/>
    <w:rsid w:val="00887068"/>
    <w:rsid w:val="00891032"/>
    <w:rsid w:val="00891592"/>
    <w:rsid w:val="00891A5F"/>
    <w:rsid w:val="00891AAA"/>
    <w:rsid w:val="00891E9E"/>
    <w:rsid w:val="008921FC"/>
    <w:rsid w:val="008923AF"/>
    <w:rsid w:val="008925A3"/>
    <w:rsid w:val="0089429C"/>
    <w:rsid w:val="00896C24"/>
    <w:rsid w:val="008976EB"/>
    <w:rsid w:val="00897A71"/>
    <w:rsid w:val="008A13E3"/>
    <w:rsid w:val="008A2F68"/>
    <w:rsid w:val="008A410A"/>
    <w:rsid w:val="008A4D76"/>
    <w:rsid w:val="008A4EDA"/>
    <w:rsid w:val="008A58F0"/>
    <w:rsid w:val="008A629C"/>
    <w:rsid w:val="008A7D79"/>
    <w:rsid w:val="008B0203"/>
    <w:rsid w:val="008B0E8C"/>
    <w:rsid w:val="008B189C"/>
    <w:rsid w:val="008B2ADF"/>
    <w:rsid w:val="008B4FA6"/>
    <w:rsid w:val="008B5282"/>
    <w:rsid w:val="008B5694"/>
    <w:rsid w:val="008B657C"/>
    <w:rsid w:val="008B7C17"/>
    <w:rsid w:val="008C168C"/>
    <w:rsid w:val="008C2D01"/>
    <w:rsid w:val="008C30CD"/>
    <w:rsid w:val="008C328C"/>
    <w:rsid w:val="008C40E6"/>
    <w:rsid w:val="008C442D"/>
    <w:rsid w:val="008C4CCE"/>
    <w:rsid w:val="008C614C"/>
    <w:rsid w:val="008C722A"/>
    <w:rsid w:val="008C79C5"/>
    <w:rsid w:val="008D0774"/>
    <w:rsid w:val="008D0F7A"/>
    <w:rsid w:val="008D301F"/>
    <w:rsid w:val="008D318C"/>
    <w:rsid w:val="008D386B"/>
    <w:rsid w:val="008D3B5C"/>
    <w:rsid w:val="008D3FE3"/>
    <w:rsid w:val="008D63C4"/>
    <w:rsid w:val="008D68E4"/>
    <w:rsid w:val="008D6994"/>
    <w:rsid w:val="008D6E13"/>
    <w:rsid w:val="008E0506"/>
    <w:rsid w:val="008E0CFF"/>
    <w:rsid w:val="008E3C4B"/>
    <w:rsid w:val="008E5260"/>
    <w:rsid w:val="008E5D35"/>
    <w:rsid w:val="008E5D6B"/>
    <w:rsid w:val="008E743D"/>
    <w:rsid w:val="008E74D4"/>
    <w:rsid w:val="008E76F0"/>
    <w:rsid w:val="008F10C8"/>
    <w:rsid w:val="008F15FE"/>
    <w:rsid w:val="008F1D49"/>
    <w:rsid w:val="008F2D29"/>
    <w:rsid w:val="008F5187"/>
    <w:rsid w:val="008F549A"/>
    <w:rsid w:val="008F54F0"/>
    <w:rsid w:val="008F60D8"/>
    <w:rsid w:val="008F7F58"/>
    <w:rsid w:val="00901B42"/>
    <w:rsid w:val="00901DD9"/>
    <w:rsid w:val="00902727"/>
    <w:rsid w:val="00902823"/>
    <w:rsid w:val="0090312B"/>
    <w:rsid w:val="00907944"/>
    <w:rsid w:val="00913307"/>
    <w:rsid w:val="00914CBD"/>
    <w:rsid w:val="009170DF"/>
    <w:rsid w:val="0091736D"/>
    <w:rsid w:val="009203D2"/>
    <w:rsid w:val="00920689"/>
    <w:rsid w:val="00920BD2"/>
    <w:rsid w:val="00920F68"/>
    <w:rsid w:val="00920FBC"/>
    <w:rsid w:val="009223E7"/>
    <w:rsid w:val="0092253E"/>
    <w:rsid w:val="00922E85"/>
    <w:rsid w:val="0092524E"/>
    <w:rsid w:val="009264B2"/>
    <w:rsid w:val="009269A2"/>
    <w:rsid w:val="00927835"/>
    <w:rsid w:val="00927C31"/>
    <w:rsid w:val="0093037A"/>
    <w:rsid w:val="009308E2"/>
    <w:rsid w:val="009309FB"/>
    <w:rsid w:val="00931BC3"/>
    <w:rsid w:val="00931E2C"/>
    <w:rsid w:val="00934E1E"/>
    <w:rsid w:val="0093612C"/>
    <w:rsid w:val="009366C6"/>
    <w:rsid w:val="00936D6A"/>
    <w:rsid w:val="0093729E"/>
    <w:rsid w:val="00937754"/>
    <w:rsid w:val="0093787A"/>
    <w:rsid w:val="00937E9E"/>
    <w:rsid w:val="00940EDA"/>
    <w:rsid w:val="00941540"/>
    <w:rsid w:val="0094154D"/>
    <w:rsid w:val="00942197"/>
    <w:rsid w:val="009455D9"/>
    <w:rsid w:val="00946B61"/>
    <w:rsid w:val="00947510"/>
    <w:rsid w:val="009475B0"/>
    <w:rsid w:val="0095155F"/>
    <w:rsid w:val="0095183C"/>
    <w:rsid w:val="00953332"/>
    <w:rsid w:val="00954429"/>
    <w:rsid w:val="009563CE"/>
    <w:rsid w:val="00957B70"/>
    <w:rsid w:val="00960791"/>
    <w:rsid w:val="00961966"/>
    <w:rsid w:val="0096299A"/>
    <w:rsid w:val="009630DC"/>
    <w:rsid w:val="00965B50"/>
    <w:rsid w:val="0096697E"/>
    <w:rsid w:val="00966B62"/>
    <w:rsid w:val="009722A8"/>
    <w:rsid w:val="009732CE"/>
    <w:rsid w:val="00973382"/>
    <w:rsid w:val="009739C2"/>
    <w:rsid w:val="00974993"/>
    <w:rsid w:val="00975D04"/>
    <w:rsid w:val="00976328"/>
    <w:rsid w:val="0097680D"/>
    <w:rsid w:val="009779CF"/>
    <w:rsid w:val="00977C26"/>
    <w:rsid w:val="009814F3"/>
    <w:rsid w:val="00982438"/>
    <w:rsid w:val="0098404C"/>
    <w:rsid w:val="009845E2"/>
    <w:rsid w:val="00984CDB"/>
    <w:rsid w:val="00985283"/>
    <w:rsid w:val="00985AE6"/>
    <w:rsid w:val="00985C07"/>
    <w:rsid w:val="009862F3"/>
    <w:rsid w:val="0098663E"/>
    <w:rsid w:val="009902FD"/>
    <w:rsid w:val="00990D73"/>
    <w:rsid w:val="009918B5"/>
    <w:rsid w:val="00992FEB"/>
    <w:rsid w:val="00993B89"/>
    <w:rsid w:val="00994626"/>
    <w:rsid w:val="009948E2"/>
    <w:rsid w:val="009951DF"/>
    <w:rsid w:val="009955A9"/>
    <w:rsid w:val="00995890"/>
    <w:rsid w:val="00995992"/>
    <w:rsid w:val="009971A2"/>
    <w:rsid w:val="00997AF2"/>
    <w:rsid w:val="00997FC4"/>
    <w:rsid w:val="009A03E5"/>
    <w:rsid w:val="009A09E1"/>
    <w:rsid w:val="009A0F3B"/>
    <w:rsid w:val="009A1BB4"/>
    <w:rsid w:val="009A1BEC"/>
    <w:rsid w:val="009A1E87"/>
    <w:rsid w:val="009A2628"/>
    <w:rsid w:val="009A2C4A"/>
    <w:rsid w:val="009A2E0F"/>
    <w:rsid w:val="009A3200"/>
    <w:rsid w:val="009A4959"/>
    <w:rsid w:val="009A4FE4"/>
    <w:rsid w:val="009A61A6"/>
    <w:rsid w:val="009A6FA5"/>
    <w:rsid w:val="009A7777"/>
    <w:rsid w:val="009B03C3"/>
    <w:rsid w:val="009B03E5"/>
    <w:rsid w:val="009B0897"/>
    <w:rsid w:val="009B0FD4"/>
    <w:rsid w:val="009B120F"/>
    <w:rsid w:val="009B1D23"/>
    <w:rsid w:val="009B216E"/>
    <w:rsid w:val="009B3204"/>
    <w:rsid w:val="009B4A73"/>
    <w:rsid w:val="009B4E35"/>
    <w:rsid w:val="009B6834"/>
    <w:rsid w:val="009B6D21"/>
    <w:rsid w:val="009B79E4"/>
    <w:rsid w:val="009B7B6D"/>
    <w:rsid w:val="009B7BD9"/>
    <w:rsid w:val="009B7ED6"/>
    <w:rsid w:val="009C0AD4"/>
    <w:rsid w:val="009C6528"/>
    <w:rsid w:val="009C7DD5"/>
    <w:rsid w:val="009D08A6"/>
    <w:rsid w:val="009D0F55"/>
    <w:rsid w:val="009D166A"/>
    <w:rsid w:val="009D1B3F"/>
    <w:rsid w:val="009D215B"/>
    <w:rsid w:val="009D3499"/>
    <w:rsid w:val="009D37B4"/>
    <w:rsid w:val="009D4BBE"/>
    <w:rsid w:val="009D6F1C"/>
    <w:rsid w:val="009D736A"/>
    <w:rsid w:val="009D7831"/>
    <w:rsid w:val="009D7BDA"/>
    <w:rsid w:val="009E1FB1"/>
    <w:rsid w:val="009E227D"/>
    <w:rsid w:val="009E2C24"/>
    <w:rsid w:val="009E4327"/>
    <w:rsid w:val="009E464C"/>
    <w:rsid w:val="009E5019"/>
    <w:rsid w:val="009E564F"/>
    <w:rsid w:val="009E6D3B"/>
    <w:rsid w:val="009E71C5"/>
    <w:rsid w:val="009E76BC"/>
    <w:rsid w:val="009F0A1A"/>
    <w:rsid w:val="009F36AB"/>
    <w:rsid w:val="009F5104"/>
    <w:rsid w:val="009F5448"/>
    <w:rsid w:val="009F5948"/>
    <w:rsid w:val="009F59FF"/>
    <w:rsid w:val="009F62DC"/>
    <w:rsid w:val="009F7355"/>
    <w:rsid w:val="009F73FC"/>
    <w:rsid w:val="009F74D5"/>
    <w:rsid w:val="00A019B1"/>
    <w:rsid w:val="00A02249"/>
    <w:rsid w:val="00A023F7"/>
    <w:rsid w:val="00A03C89"/>
    <w:rsid w:val="00A049F3"/>
    <w:rsid w:val="00A04F1B"/>
    <w:rsid w:val="00A0501B"/>
    <w:rsid w:val="00A05191"/>
    <w:rsid w:val="00A0560A"/>
    <w:rsid w:val="00A05C6D"/>
    <w:rsid w:val="00A10D6E"/>
    <w:rsid w:val="00A11840"/>
    <w:rsid w:val="00A12B82"/>
    <w:rsid w:val="00A132E3"/>
    <w:rsid w:val="00A14947"/>
    <w:rsid w:val="00A16777"/>
    <w:rsid w:val="00A16CDE"/>
    <w:rsid w:val="00A17F7A"/>
    <w:rsid w:val="00A21CB8"/>
    <w:rsid w:val="00A225D4"/>
    <w:rsid w:val="00A22C66"/>
    <w:rsid w:val="00A239EF"/>
    <w:rsid w:val="00A250B9"/>
    <w:rsid w:val="00A259A1"/>
    <w:rsid w:val="00A25DF7"/>
    <w:rsid w:val="00A262B4"/>
    <w:rsid w:val="00A3000A"/>
    <w:rsid w:val="00A301C8"/>
    <w:rsid w:val="00A31B26"/>
    <w:rsid w:val="00A32A83"/>
    <w:rsid w:val="00A332B5"/>
    <w:rsid w:val="00A338AE"/>
    <w:rsid w:val="00A33E24"/>
    <w:rsid w:val="00A35525"/>
    <w:rsid w:val="00A3626F"/>
    <w:rsid w:val="00A368DB"/>
    <w:rsid w:val="00A37135"/>
    <w:rsid w:val="00A37A17"/>
    <w:rsid w:val="00A37F69"/>
    <w:rsid w:val="00A420C4"/>
    <w:rsid w:val="00A423AA"/>
    <w:rsid w:val="00A438E7"/>
    <w:rsid w:val="00A45302"/>
    <w:rsid w:val="00A4631A"/>
    <w:rsid w:val="00A50F97"/>
    <w:rsid w:val="00A515E2"/>
    <w:rsid w:val="00A53435"/>
    <w:rsid w:val="00A53EC6"/>
    <w:rsid w:val="00A55C0F"/>
    <w:rsid w:val="00A56127"/>
    <w:rsid w:val="00A562B9"/>
    <w:rsid w:val="00A60544"/>
    <w:rsid w:val="00A6184C"/>
    <w:rsid w:val="00A62A2A"/>
    <w:rsid w:val="00A63BD7"/>
    <w:rsid w:val="00A641A0"/>
    <w:rsid w:val="00A64FF2"/>
    <w:rsid w:val="00A65887"/>
    <w:rsid w:val="00A67BB5"/>
    <w:rsid w:val="00A67EE2"/>
    <w:rsid w:val="00A70DF3"/>
    <w:rsid w:val="00A71C51"/>
    <w:rsid w:val="00A7257E"/>
    <w:rsid w:val="00A727B6"/>
    <w:rsid w:val="00A760E2"/>
    <w:rsid w:val="00A81B30"/>
    <w:rsid w:val="00A828FA"/>
    <w:rsid w:val="00A8306C"/>
    <w:rsid w:val="00A830B8"/>
    <w:rsid w:val="00A84BFE"/>
    <w:rsid w:val="00A856F4"/>
    <w:rsid w:val="00A8598F"/>
    <w:rsid w:val="00A86B81"/>
    <w:rsid w:val="00A86F1E"/>
    <w:rsid w:val="00A8713F"/>
    <w:rsid w:val="00A8759B"/>
    <w:rsid w:val="00A90BA1"/>
    <w:rsid w:val="00A92F51"/>
    <w:rsid w:val="00A95532"/>
    <w:rsid w:val="00A95F8E"/>
    <w:rsid w:val="00A964FD"/>
    <w:rsid w:val="00A96A61"/>
    <w:rsid w:val="00A96B2E"/>
    <w:rsid w:val="00A96C8B"/>
    <w:rsid w:val="00A978C3"/>
    <w:rsid w:val="00A9797A"/>
    <w:rsid w:val="00A97A9A"/>
    <w:rsid w:val="00AA0456"/>
    <w:rsid w:val="00AA057B"/>
    <w:rsid w:val="00AA0671"/>
    <w:rsid w:val="00AA19D4"/>
    <w:rsid w:val="00AA2531"/>
    <w:rsid w:val="00AA2B07"/>
    <w:rsid w:val="00AA31EF"/>
    <w:rsid w:val="00AA37C6"/>
    <w:rsid w:val="00AA3DC4"/>
    <w:rsid w:val="00AA423C"/>
    <w:rsid w:val="00AA46E7"/>
    <w:rsid w:val="00AA59D4"/>
    <w:rsid w:val="00AB0B11"/>
    <w:rsid w:val="00AB1486"/>
    <w:rsid w:val="00AB18F0"/>
    <w:rsid w:val="00AB1E09"/>
    <w:rsid w:val="00AB1F41"/>
    <w:rsid w:val="00AB31F5"/>
    <w:rsid w:val="00AB5052"/>
    <w:rsid w:val="00AB52F4"/>
    <w:rsid w:val="00AB5330"/>
    <w:rsid w:val="00AB6709"/>
    <w:rsid w:val="00AB7747"/>
    <w:rsid w:val="00AC14CE"/>
    <w:rsid w:val="00AC1C9A"/>
    <w:rsid w:val="00AC2A56"/>
    <w:rsid w:val="00AC2E61"/>
    <w:rsid w:val="00AC37F3"/>
    <w:rsid w:val="00AC4A61"/>
    <w:rsid w:val="00AC6AC7"/>
    <w:rsid w:val="00AC7294"/>
    <w:rsid w:val="00AD055E"/>
    <w:rsid w:val="00AD1CA2"/>
    <w:rsid w:val="00AD24B0"/>
    <w:rsid w:val="00AD2D16"/>
    <w:rsid w:val="00AD4215"/>
    <w:rsid w:val="00AD47A7"/>
    <w:rsid w:val="00AD5E36"/>
    <w:rsid w:val="00AE0F7C"/>
    <w:rsid w:val="00AE1A63"/>
    <w:rsid w:val="00AE76D8"/>
    <w:rsid w:val="00AF0986"/>
    <w:rsid w:val="00AF0CBF"/>
    <w:rsid w:val="00AF15BB"/>
    <w:rsid w:val="00AF257F"/>
    <w:rsid w:val="00AF33CF"/>
    <w:rsid w:val="00AF4D50"/>
    <w:rsid w:val="00AF6120"/>
    <w:rsid w:val="00AF6179"/>
    <w:rsid w:val="00AF72FB"/>
    <w:rsid w:val="00B01293"/>
    <w:rsid w:val="00B04F44"/>
    <w:rsid w:val="00B1295A"/>
    <w:rsid w:val="00B13331"/>
    <w:rsid w:val="00B1570F"/>
    <w:rsid w:val="00B16E6D"/>
    <w:rsid w:val="00B204A2"/>
    <w:rsid w:val="00B2083C"/>
    <w:rsid w:val="00B20A45"/>
    <w:rsid w:val="00B20F45"/>
    <w:rsid w:val="00B20F77"/>
    <w:rsid w:val="00B22B2E"/>
    <w:rsid w:val="00B22C5C"/>
    <w:rsid w:val="00B24F30"/>
    <w:rsid w:val="00B25479"/>
    <w:rsid w:val="00B2661C"/>
    <w:rsid w:val="00B26FF3"/>
    <w:rsid w:val="00B270E2"/>
    <w:rsid w:val="00B31ABF"/>
    <w:rsid w:val="00B33598"/>
    <w:rsid w:val="00B33BE3"/>
    <w:rsid w:val="00B34715"/>
    <w:rsid w:val="00B35D9F"/>
    <w:rsid w:val="00B370DF"/>
    <w:rsid w:val="00B37DE0"/>
    <w:rsid w:val="00B40BFD"/>
    <w:rsid w:val="00B418BD"/>
    <w:rsid w:val="00B418FA"/>
    <w:rsid w:val="00B42785"/>
    <w:rsid w:val="00B4300B"/>
    <w:rsid w:val="00B43192"/>
    <w:rsid w:val="00B4479F"/>
    <w:rsid w:val="00B449CD"/>
    <w:rsid w:val="00B46251"/>
    <w:rsid w:val="00B467F5"/>
    <w:rsid w:val="00B505C4"/>
    <w:rsid w:val="00B530D3"/>
    <w:rsid w:val="00B53842"/>
    <w:rsid w:val="00B539BF"/>
    <w:rsid w:val="00B53B5D"/>
    <w:rsid w:val="00B55075"/>
    <w:rsid w:val="00B554AB"/>
    <w:rsid w:val="00B57248"/>
    <w:rsid w:val="00B579DD"/>
    <w:rsid w:val="00B57BD7"/>
    <w:rsid w:val="00B57CF5"/>
    <w:rsid w:val="00B6055E"/>
    <w:rsid w:val="00B60C8E"/>
    <w:rsid w:val="00B60FBF"/>
    <w:rsid w:val="00B61629"/>
    <w:rsid w:val="00B623E7"/>
    <w:rsid w:val="00B6317D"/>
    <w:rsid w:val="00B64D51"/>
    <w:rsid w:val="00B650E5"/>
    <w:rsid w:val="00B65EBD"/>
    <w:rsid w:val="00B661F2"/>
    <w:rsid w:val="00B66E82"/>
    <w:rsid w:val="00B67700"/>
    <w:rsid w:val="00B74038"/>
    <w:rsid w:val="00B742A6"/>
    <w:rsid w:val="00B746CF"/>
    <w:rsid w:val="00B74856"/>
    <w:rsid w:val="00B74F8D"/>
    <w:rsid w:val="00B76020"/>
    <w:rsid w:val="00B7723F"/>
    <w:rsid w:val="00B80534"/>
    <w:rsid w:val="00B80592"/>
    <w:rsid w:val="00B80629"/>
    <w:rsid w:val="00B812FB"/>
    <w:rsid w:val="00B8169D"/>
    <w:rsid w:val="00B81B62"/>
    <w:rsid w:val="00B8277E"/>
    <w:rsid w:val="00B8433C"/>
    <w:rsid w:val="00B865FE"/>
    <w:rsid w:val="00B86665"/>
    <w:rsid w:val="00B87491"/>
    <w:rsid w:val="00B9030A"/>
    <w:rsid w:val="00B92E48"/>
    <w:rsid w:val="00B931F0"/>
    <w:rsid w:val="00B94DDF"/>
    <w:rsid w:val="00B95C5D"/>
    <w:rsid w:val="00B96CE4"/>
    <w:rsid w:val="00BA29E9"/>
    <w:rsid w:val="00BA2E9E"/>
    <w:rsid w:val="00BA3702"/>
    <w:rsid w:val="00BA3970"/>
    <w:rsid w:val="00BA47EC"/>
    <w:rsid w:val="00BA5D6F"/>
    <w:rsid w:val="00BA7142"/>
    <w:rsid w:val="00BA784F"/>
    <w:rsid w:val="00BB0856"/>
    <w:rsid w:val="00BB15A3"/>
    <w:rsid w:val="00BB15CC"/>
    <w:rsid w:val="00BB237C"/>
    <w:rsid w:val="00BB2414"/>
    <w:rsid w:val="00BB2CCF"/>
    <w:rsid w:val="00BB3290"/>
    <w:rsid w:val="00BB3632"/>
    <w:rsid w:val="00BB3ACC"/>
    <w:rsid w:val="00BB41A3"/>
    <w:rsid w:val="00BB49D4"/>
    <w:rsid w:val="00BB5667"/>
    <w:rsid w:val="00BB59E0"/>
    <w:rsid w:val="00BB5B92"/>
    <w:rsid w:val="00BB6721"/>
    <w:rsid w:val="00BB67EB"/>
    <w:rsid w:val="00BB6BCE"/>
    <w:rsid w:val="00BB73E1"/>
    <w:rsid w:val="00BB7525"/>
    <w:rsid w:val="00BB76C7"/>
    <w:rsid w:val="00BB7723"/>
    <w:rsid w:val="00BC1748"/>
    <w:rsid w:val="00BC17CB"/>
    <w:rsid w:val="00BC2881"/>
    <w:rsid w:val="00BC31E9"/>
    <w:rsid w:val="00BC32DC"/>
    <w:rsid w:val="00BC35B6"/>
    <w:rsid w:val="00BC6216"/>
    <w:rsid w:val="00BC6C81"/>
    <w:rsid w:val="00BC7082"/>
    <w:rsid w:val="00BC71FA"/>
    <w:rsid w:val="00BC7960"/>
    <w:rsid w:val="00BD1213"/>
    <w:rsid w:val="00BD1B51"/>
    <w:rsid w:val="00BD313A"/>
    <w:rsid w:val="00BD3B5A"/>
    <w:rsid w:val="00BD4016"/>
    <w:rsid w:val="00BD4596"/>
    <w:rsid w:val="00BE01D1"/>
    <w:rsid w:val="00BE1405"/>
    <w:rsid w:val="00BE18CD"/>
    <w:rsid w:val="00BE2CF9"/>
    <w:rsid w:val="00BE30C6"/>
    <w:rsid w:val="00BE312D"/>
    <w:rsid w:val="00BE41A9"/>
    <w:rsid w:val="00BF0B91"/>
    <w:rsid w:val="00BF112E"/>
    <w:rsid w:val="00BF163D"/>
    <w:rsid w:val="00BF1677"/>
    <w:rsid w:val="00BF1C1C"/>
    <w:rsid w:val="00BF1C20"/>
    <w:rsid w:val="00BF2DF8"/>
    <w:rsid w:val="00BF2E53"/>
    <w:rsid w:val="00BF37D1"/>
    <w:rsid w:val="00BF4505"/>
    <w:rsid w:val="00BF4FA1"/>
    <w:rsid w:val="00BF7F7C"/>
    <w:rsid w:val="00C0146B"/>
    <w:rsid w:val="00C01AE1"/>
    <w:rsid w:val="00C037C6"/>
    <w:rsid w:val="00C03F9E"/>
    <w:rsid w:val="00C063F5"/>
    <w:rsid w:val="00C064DB"/>
    <w:rsid w:val="00C06C5E"/>
    <w:rsid w:val="00C10578"/>
    <w:rsid w:val="00C106F7"/>
    <w:rsid w:val="00C1102F"/>
    <w:rsid w:val="00C11F34"/>
    <w:rsid w:val="00C1203A"/>
    <w:rsid w:val="00C135BC"/>
    <w:rsid w:val="00C14776"/>
    <w:rsid w:val="00C15C95"/>
    <w:rsid w:val="00C168D2"/>
    <w:rsid w:val="00C16B69"/>
    <w:rsid w:val="00C16C09"/>
    <w:rsid w:val="00C1712F"/>
    <w:rsid w:val="00C17C41"/>
    <w:rsid w:val="00C2032E"/>
    <w:rsid w:val="00C20EFD"/>
    <w:rsid w:val="00C21812"/>
    <w:rsid w:val="00C21907"/>
    <w:rsid w:val="00C2386F"/>
    <w:rsid w:val="00C2465E"/>
    <w:rsid w:val="00C24B41"/>
    <w:rsid w:val="00C255B9"/>
    <w:rsid w:val="00C255DE"/>
    <w:rsid w:val="00C2596A"/>
    <w:rsid w:val="00C27537"/>
    <w:rsid w:val="00C328E4"/>
    <w:rsid w:val="00C328FE"/>
    <w:rsid w:val="00C33507"/>
    <w:rsid w:val="00C341D2"/>
    <w:rsid w:val="00C369AF"/>
    <w:rsid w:val="00C40663"/>
    <w:rsid w:val="00C413AF"/>
    <w:rsid w:val="00C417ED"/>
    <w:rsid w:val="00C42CA9"/>
    <w:rsid w:val="00C43057"/>
    <w:rsid w:val="00C43BB1"/>
    <w:rsid w:val="00C4409D"/>
    <w:rsid w:val="00C449D0"/>
    <w:rsid w:val="00C44D7C"/>
    <w:rsid w:val="00C44E19"/>
    <w:rsid w:val="00C44E72"/>
    <w:rsid w:val="00C45A06"/>
    <w:rsid w:val="00C464A2"/>
    <w:rsid w:val="00C465F9"/>
    <w:rsid w:val="00C47E5B"/>
    <w:rsid w:val="00C5087D"/>
    <w:rsid w:val="00C51565"/>
    <w:rsid w:val="00C51D6A"/>
    <w:rsid w:val="00C52654"/>
    <w:rsid w:val="00C52B18"/>
    <w:rsid w:val="00C52BEE"/>
    <w:rsid w:val="00C53476"/>
    <w:rsid w:val="00C53681"/>
    <w:rsid w:val="00C53989"/>
    <w:rsid w:val="00C5583A"/>
    <w:rsid w:val="00C56DBF"/>
    <w:rsid w:val="00C57E3A"/>
    <w:rsid w:val="00C60702"/>
    <w:rsid w:val="00C60836"/>
    <w:rsid w:val="00C60C72"/>
    <w:rsid w:val="00C6153A"/>
    <w:rsid w:val="00C61E4B"/>
    <w:rsid w:val="00C635CF"/>
    <w:rsid w:val="00C645A3"/>
    <w:rsid w:val="00C64BFF"/>
    <w:rsid w:val="00C653FF"/>
    <w:rsid w:val="00C704E9"/>
    <w:rsid w:val="00C71007"/>
    <w:rsid w:val="00C7116F"/>
    <w:rsid w:val="00C7184D"/>
    <w:rsid w:val="00C727A6"/>
    <w:rsid w:val="00C72807"/>
    <w:rsid w:val="00C728A8"/>
    <w:rsid w:val="00C72E02"/>
    <w:rsid w:val="00C74994"/>
    <w:rsid w:val="00C760AE"/>
    <w:rsid w:val="00C763C9"/>
    <w:rsid w:val="00C76669"/>
    <w:rsid w:val="00C767D6"/>
    <w:rsid w:val="00C76C74"/>
    <w:rsid w:val="00C76D07"/>
    <w:rsid w:val="00C76EC2"/>
    <w:rsid w:val="00C77330"/>
    <w:rsid w:val="00C80057"/>
    <w:rsid w:val="00C815B7"/>
    <w:rsid w:val="00C8165D"/>
    <w:rsid w:val="00C816D7"/>
    <w:rsid w:val="00C82232"/>
    <w:rsid w:val="00C82913"/>
    <w:rsid w:val="00C85621"/>
    <w:rsid w:val="00C872C4"/>
    <w:rsid w:val="00C90D12"/>
    <w:rsid w:val="00C91F03"/>
    <w:rsid w:val="00C92D29"/>
    <w:rsid w:val="00C93397"/>
    <w:rsid w:val="00C94FC1"/>
    <w:rsid w:val="00C95594"/>
    <w:rsid w:val="00C9647A"/>
    <w:rsid w:val="00C972B1"/>
    <w:rsid w:val="00CA148E"/>
    <w:rsid w:val="00CA1CD7"/>
    <w:rsid w:val="00CA2CCE"/>
    <w:rsid w:val="00CA2D57"/>
    <w:rsid w:val="00CA43FD"/>
    <w:rsid w:val="00CA49BC"/>
    <w:rsid w:val="00CA500C"/>
    <w:rsid w:val="00CA7EF8"/>
    <w:rsid w:val="00CB005F"/>
    <w:rsid w:val="00CB0C1E"/>
    <w:rsid w:val="00CB0DCA"/>
    <w:rsid w:val="00CB33AA"/>
    <w:rsid w:val="00CB396E"/>
    <w:rsid w:val="00CB43D0"/>
    <w:rsid w:val="00CB58C2"/>
    <w:rsid w:val="00CB59FC"/>
    <w:rsid w:val="00CB70F4"/>
    <w:rsid w:val="00CB7BFD"/>
    <w:rsid w:val="00CB7FCB"/>
    <w:rsid w:val="00CC09A2"/>
    <w:rsid w:val="00CC0A02"/>
    <w:rsid w:val="00CC13F9"/>
    <w:rsid w:val="00CC192D"/>
    <w:rsid w:val="00CC432B"/>
    <w:rsid w:val="00CC489B"/>
    <w:rsid w:val="00CC4FCF"/>
    <w:rsid w:val="00CC5E39"/>
    <w:rsid w:val="00CC5F4E"/>
    <w:rsid w:val="00CD2625"/>
    <w:rsid w:val="00CD2BCD"/>
    <w:rsid w:val="00CD361F"/>
    <w:rsid w:val="00CD3A4C"/>
    <w:rsid w:val="00CD4FBA"/>
    <w:rsid w:val="00CD539F"/>
    <w:rsid w:val="00CD5A4B"/>
    <w:rsid w:val="00CD5CE7"/>
    <w:rsid w:val="00CD71BF"/>
    <w:rsid w:val="00CE09EF"/>
    <w:rsid w:val="00CE0AEB"/>
    <w:rsid w:val="00CE0EDE"/>
    <w:rsid w:val="00CE10E9"/>
    <w:rsid w:val="00CE2910"/>
    <w:rsid w:val="00CE474E"/>
    <w:rsid w:val="00CE5393"/>
    <w:rsid w:val="00CE53F1"/>
    <w:rsid w:val="00CE6C03"/>
    <w:rsid w:val="00CE7291"/>
    <w:rsid w:val="00CF087C"/>
    <w:rsid w:val="00CF0B2B"/>
    <w:rsid w:val="00CF0C3E"/>
    <w:rsid w:val="00CF36BE"/>
    <w:rsid w:val="00CF3DD7"/>
    <w:rsid w:val="00CF3DD9"/>
    <w:rsid w:val="00CF4693"/>
    <w:rsid w:val="00CF4A7B"/>
    <w:rsid w:val="00CF530A"/>
    <w:rsid w:val="00CF6000"/>
    <w:rsid w:val="00CF6EEB"/>
    <w:rsid w:val="00D003F3"/>
    <w:rsid w:val="00D00ADB"/>
    <w:rsid w:val="00D01049"/>
    <w:rsid w:val="00D02809"/>
    <w:rsid w:val="00D02E51"/>
    <w:rsid w:val="00D0364F"/>
    <w:rsid w:val="00D04A3C"/>
    <w:rsid w:val="00D05438"/>
    <w:rsid w:val="00D06834"/>
    <w:rsid w:val="00D06C9B"/>
    <w:rsid w:val="00D07640"/>
    <w:rsid w:val="00D0779D"/>
    <w:rsid w:val="00D10DFD"/>
    <w:rsid w:val="00D11626"/>
    <w:rsid w:val="00D118F6"/>
    <w:rsid w:val="00D12B14"/>
    <w:rsid w:val="00D16075"/>
    <w:rsid w:val="00D16291"/>
    <w:rsid w:val="00D17E2B"/>
    <w:rsid w:val="00D20720"/>
    <w:rsid w:val="00D2089B"/>
    <w:rsid w:val="00D22758"/>
    <w:rsid w:val="00D229B8"/>
    <w:rsid w:val="00D2364C"/>
    <w:rsid w:val="00D24406"/>
    <w:rsid w:val="00D24B9D"/>
    <w:rsid w:val="00D258BC"/>
    <w:rsid w:val="00D259B1"/>
    <w:rsid w:val="00D27046"/>
    <w:rsid w:val="00D27164"/>
    <w:rsid w:val="00D2750A"/>
    <w:rsid w:val="00D27F3B"/>
    <w:rsid w:val="00D3038F"/>
    <w:rsid w:val="00D308ED"/>
    <w:rsid w:val="00D31683"/>
    <w:rsid w:val="00D317EB"/>
    <w:rsid w:val="00D31E38"/>
    <w:rsid w:val="00D327F9"/>
    <w:rsid w:val="00D355ED"/>
    <w:rsid w:val="00D357AD"/>
    <w:rsid w:val="00D35831"/>
    <w:rsid w:val="00D36D86"/>
    <w:rsid w:val="00D373D9"/>
    <w:rsid w:val="00D4051D"/>
    <w:rsid w:val="00D410F8"/>
    <w:rsid w:val="00D415CA"/>
    <w:rsid w:val="00D428AA"/>
    <w:rsid w:val="00D450FD"/>
    <w:rsid w:val="00D466E3"/>
    <w:rsid w:val="00D4727B"/>
    <w:rsid w:val="00D47C54"/>
    <w:rsid w:val="00D47EAB"/>
    <w:rsid w:val="00D50A34"/>
    <w:rsid w:val="00D51F8C"/>
    <w:rsid w:val="00D53EFA"/>
    <w:rsid w:val="00D57432"/>
    <w:rsid w:val="00D57966"/>
    <w:rsid w:val="00D6065E"/>
    <w:rsid w:val="00D60EA4"/>
    <w:rsid w:val="00D6141B"/>
    <w:rsid w:val="00D62F37"/>
    <w:rsid w:val="00D65461"/>
    <w:rsid w:val="00D66865"/>
    <w:rsid w:val="00D668C7"/>
    <w:rsid w:val="00D66B23"/>
    <w:rsid w:val="00D71D4E"/>
    <w:rsid w:val="00D72493"/>
    <w:rsid w:val="00D734F0"/>
    <w:rsid w:val="00D751D4"/>
    <w:rsid w:val="00D751EC"/>
    <w:rsid w:val="00D753D7"/>
    <w:rsid w:val="00D75A39"/>
    <w:rsid w:val="00D75F4F"/>
    <w:rsid w:val="00D7602F"/>
    <w:rsid w:val="00D7616E"/>
    <w:rsid w:val="00D76D01"/>
    <w:rsid w:val="00D80445"/>
    <w:rsid w:val="00D8084D"/>
    <w:rsid w:val="00D812F1"/>
    <w:rsid w:val="00D82DE2"/>
    <w:rsid w:val="00D83BEA"/>
    <w:rsid w:val="00D84EFE"/>
    <w:rsid w:val="00D8579F"/>
    <w:rsid w:val="00D85E47"/>
    <w:rsid w:val="00D86921"/>
    <w:rsid w:val="00D87497"/>
    <w:rsid w:val="00D87669"/>
    <w:rsid w:val="00D87ABC"/>
    <w:rsid w:val="00D90946"/>
    <w:rsid w:val="00D91439"/>
    <w:rsid w:val="00D91CC2"/>
    <w:rsid w:val="00D91EC2"/>
    <w:rsid w:val="00D920FA"/>
    <w:rsid w:val="00D923B4"/>
    <w:rsid w:val="00D92CE5"/>
    <w:rsid w:val="00D939AC"/>
    <w:rsid w:val="00D944EB"/>
    <w:rsid w:val="00D94A5C"/>
    <w:rsid w:val="00D94A7C"/>
    <w:rsid w:val="00D95896"/>
    <w:rsid w:val="00D96AD1"/>
    <w:rsid w:val="00DA1A95"/>
    <w:rsid w:val="00DA223A"/>
    <w:rsid w:val="00DA2771"/>
    <w:rsid w:val="00DA29CD"/>
    <w:rsid w:val="00DA465C"/>
    <w:rsid w:val="00DA4C53"/>
    <w:rsid w:val="00DA6A8D"/>
    <w:rsid w:val="00DA6E37"/>
    <w:rsid w:val="00DB1034"/>
    <w:rsid w:val="00DB195C"/>
    <w:rsid w:val="00DB1A93"/>
    <w:rsid w:val="00DB2758"/>
    <w:rsid w:val="00DB2983"/>
    <w:rsid w:val="00DB4287"/>
    <w:rsid w:val="00DB5558"/>
    <w:rsid w:val="00DB556E"/>
    <w:rsid w:val="00DB5C59"/>
    <w:rsid w:val="00DB7C92"/>
    <w:rsid w:val="00DC11E0"/>
    <w:rsid w:val="00DC1257"/>
    <w:rsid w:val="00DC2077"/>
    <w:rsid w:val="00DC2765"/>
    <w:rsid w:val="00DC2A9E"/>
    <w:rsid w:val="00DC3DC0"/>
    <w:rsid w:val="00DC48CF"/>
    <w:rsid w:val="00DC5B2B"/>
    <w:rsid w:val="00DC5D79"/>
    <w:rsid w:val="00DC72E1"/>
    <w:rsid w:val="00DD318D"/>
    <w:rsid w:val="00DD4141"/>
    <w:rsid w:val="00DD6319"/>
    <w:rsid w:val="00DD75D4"/>
    <w:rsid w:val="00DD7ECC"/>
    <w:rsid w:val="00DD7F5E"/>
    <w:rsid w:val="00DE0DBD"/>
    <w:rsid w:val="00DE103E"/>
    <w:rsid w:val="00DE10AF"/>
    <w:rsid w:val="00DE1F50"/>
    <w:rsid w:val="00DE1FF5"/>
    <w:rsid w:val="00DE2EA0"/>
    <w:rsid w:val="00DE39F0"/>
    <w:rsid w:val="00DE5470"/>
    <w:rsid w:val="00DE7791"/>
    <w:rsid w:val="00DF0052"/>
    <w:rsid w:val="00DF0337"/>
    <w:rsid w:val="00DF2C96"/>
    <w:rsid w:val="00DF2E12"/>
    <w:rsid w:val="00DF4346"/>
    <w:rsid w:val="00DF514A"/>
    <w:rsid w:val="00DF6690"/>
    <w:rsid w:val="00DF66B4"/>
    <w:rsid w:val="00DF6804"/>
    <w:rsid w:val="00E0166B"/>
    <w:rsid w:val="00E03090"/>
    <w:rsid w:val="00E032E5"/>
    <w:rsid w:val="00E0343F"/>
    <w:rsid w:val="00E0358D"/>
    <w:rsid w:val="00E03E41"/>
    <w:rsid w:val="00E04323"/>
    <w:rsid w:val="00E0459E"/>
    <w:rsid w:val="00E04D38"/>
    <w:rsid w:val="00E04E52"/>
    <w:rsid w:val="00E0648B"/>
    <w:rsid w:val="00E0675C"/>
    <w:rsid w:val="00E070A2"/>
    <w:rsid w:val="00E074A8"/>
    <w:rsid w:val="00E10570"/>
    <w:rsid w:val="00E10FCD"/>
    <w:rsid w:val="00E11031"/>
    <w:rsid w:val="00E12676"/>
    <w:rsid w:val="00E12AE8"/>
    <w:rsid w:val="00E12C6A"/>
    <w:rsid w:val="00E12FA7"/>
    <w:rsid w:val="00E136BD"/>
    <w:rsid w:val="00E13F54"/>
    <w:rsid w:val="00E13F95"/>
    <w:rsid w:val="00E14427"/>
    <w:rsid w:val="00E154B1"/>
    <w:rsid w:val="00E154C3"/>
    <w:rsid w:val="00E15847"/>
    <w:rsid w:val="00E158AD"/>
    <w:rsid w:val="00E15B4A"/>
    <w:rsid w:val="00E206AA"/>
    <w:rsid w:val="00E2071E"/>
    <w:rsid w:val="00E21238"/>
    <w:rsid w:val="00E21322"/>
    <w:rsid w:val="00E21E06"/>
    <w:rsid w:val="00E22603"/>
    <w:rsid w:val="00E22903"/>
    <w:rsid w:val="00E258F6"/>
    <w:rsid w:val="00E26026"/>
    <w:rsid w:val="00E262B6"/>
    <w:rsid w:val="00E2656A"/>
    <w:rsid w:val="00E26A04"/>
    <w:rsid w:val="00E26AA0"/>
    <w:rsid w:val="00E305C0"/>
    <w:rsid w:val="00E308BC"/>
    <w:rsid w:val="00E31691"/>
    <w:rsid w:val="00E321E4"/>
    <w:rsid w:val="00E32438"/>
    <w:rsid w:val="00E3296E"/>
    <w:rsid w:val="00E32C34"/>
    <w:rsid w:val="00E32D72"/>
    <w:rsid w:val="00E336F0"/>
    <w:rsid w:val="00E352E8"/>
    <w:rsid w:val="00E364CB"/>
    <w:rsid w:val="00E36C84"/>
    <w:rsid w:val="00E3756C"/>
    <w:rsid w:val="00E37F5D"/>
    <w:rsid w:val="00E40BE8"/>
    <w:rsid w:val="00E40D4A"/>
    <w:rsid w:val="00E412D0"/>
    <w:rsid w:val="00E42966"/>
    <w:rsid w:val="00E42D77"/>
    <w:rsid w:val="00E4420D"/>
    <w:rsid w:val="00E4547A"/>
    <w:rsid w:val="00E46422"/>
    <w:rsid w:val="00E46812"/>
    <w:rsid w:val="00E46FDD"/>
    <w:rsid w:val="00E472E5"/>
    <w:rsid w:val="00E47414"/>
    <w:rsid w:val="00E517D4"/>
    <w:rsid w:val="00E52AB9"/>
    <w:rsid w:val="00E53E2A"/>
    <w:rsid w:val="00E54C08"/>
    <w:rsid w:val="00E55D0E"/>
    <w:rsid w:val="00E56322"/>
    <w:rsid w:val="00E5639F"/>
    <w:rsid w:val="00E572F6"/>
    <w:rsid w:val="00E57498"/>
    <w:rsid w:val="00E60714"/>
    <w:rsid w:val="00E60982"/>
    <w:rsid w:val="00E609CF"/>
    <w:rsid w:val="00E60BF2"/>
    <w:rsid w:val="00E61ABA"/>
    <w:rsid w:val="00E61AF1"/>
    <w:rsid w:val="00E61D83"/>
    <w:rsid w:val="00E620AC"/>
    <w:rsid w:val="00E62541"/>
    <w:rsid w:val="00E62C62"/>
    <w:rsid w:val="00E64A56"/>
    <w:rsid w:val="00E654C1"/>
    <w:rsid w:val="00E654E5"/>
    <w:rsid w:val="00E659DB"/>
    <w:rsid w:val="00E65D97"/>
    <w:rsid w:val="00E65F8E"/>
    <w:rsid w:val="00E7028B"/>
    <w:rsid w:val="00E70709"/>
    <w:rsid w:val="00E7074A"/>
    <w:rsid w:val="00E71536"/>
    <w:rsid w:val="00E7154A"/>
    <w:rsid w:val="00E715AB"/>
    <w:rsid w:val="00E71D74"/>
    <w:rsid w:val="00E71E77"/>
    <w:rsid w:val="00E72A5A"/>
    <w:rsid w:val="00E72C09"/>
    <w:rsid w:val="00E73354"/>
    <w:rsid w:val="00E75332"/>
    <w:rsid w:val="00E75C4B"/>
    <w:rsid w:val="00E75E4A"/>
    <w:rsid w:val="00E76159"/>
    <w:rsid w:val="00E76470"/>
    <w:rsid w:val="00E768A1"/>
    <w:rsid w:val="00E7727B"/>
    <w:rsid w:val="00E808C4"/>
    <w:rsid w:val="00E81A86"/>
    <w:rsid w:val="00E8210F"/>
    <w:rsid w:val="00E821DE"/>
    <w:rsid w:val="00E84089"/>
    <w:rsid w:val="00E843A6"/>
    <w:rsid w:val="00E84D02"/>
    <w:rsid w:val="00E84E9A"/>
    <w:rsid w:val="00E8665C"/>
    <w:rsid w:val="00E8764D"/>
    <w:rsid w:val="00E91C2D"/>
    <w:rsid w:val="00E9242D"/>
    <w:rsid w:val="00E932AF"/>
    <w:rsid w:val="00E93DA3"/>
    <w:rsid w:val="00E967D9"/>
    <w:rsid w:val="00E9782D"/>
    <w:rsid w:val="00EA13EF"/>
    <w:rsid w:val="00EA30C7"/>
    <w:rsid w:val="00EA37A6"/>
    <w:rsid w:val="00EA3A54"/>
    <w:rsid w:val="00EA403B"/>
    <w:rsid w:val="00EA4DBD"/>
    <w:rsid w:val="00EA5CEE"/>
    <w:rsid w:val="00EA631C"/>
    <w:rsid w:val="00EA7939"/>
    <w:rsid w:val="00EB0B7B"/>
    <w:rsid w:val="00EB0CA7"/>
    <w:rsid w:val="00EB157E"/>
    <w:rsid w:val="00EB1651"/>
    <w:rsid w:val="00EB2404"/>
    <w:rsid w:val="00EB45C8"/>
    <w:rsid w:val="00EB5255"/>
    <w:rsid w:val="00EB5C47"/>
    <w:rsid w:val="00EB67F4"/>
    <w:rsid w:val="00EC0142"/>
    <w:rsid w:val="00EC075C"/>
    <w:rsid w:val="00EC15D0"/>
    <w:rsid w:val="00EC1AFB"/>
    <w:rsid w:val="00EC2682"/>
    <w:rsid w:val="00EC5274"/>
    <w:rsid w:val="00EC6111"/>
    <w:rsid w:val="00EC6BCB"/>
    <w:rsid w:val="00EC7D39"/>
    <w:rsid w:val="00ED0160"/>
    <w:rsid w:val="00ED0639"/>
    <w:rsid w:val="00ED1C30"/>
    <w:rsid w:val="00ED1D1D"/>
    <w:rsid w:val="00ED288B"/>
    <w:rsid w:val="00ED7280"/>
    <w:rsid w:val="00EE24DE"/>
    <w:rsid w:val="00EE2D95"/>
    <w:rsid w:val="00EE36C4"/>
    <w:rsid w:val="00EE4321"/>
    <w:rsid w:val="00EE546E"/>
    <w:rsid w:val="00EE5D0B"/>
    <w:rsid w:val="00EE72E5"/>
    <w:rsid w:val="00EF0756"/>
    <w:rsid w:val="00EF0800"/>
    <w:rsid w:val="00EF0DBA"/>
    <w:rsid w:val="00EF0EC5"/>
    <w:rsid w:val="00EF193F"/>
    <w:rsid w:val="00EF3FFE"/>
    <w:rsid w:val="00EF4755"/>
    <w:rsid w:val="00EF510E"/>
    <w:rsid w:val="00EF5309"/>
    <w:rsid w:val="00EF6F4B"/>
    <w:rsid w:val="00EF7135"/>
    <w:rsid w:val="00EF7226"/>
    <w:rsid w:val="00EF793E"/>
    <w:rsid w:val="00F01F0D"/>
    <w:rsid w:val="00F027DB"/>
    <w:rsid w:val="00F02F2F"/>
    <w:rsid w:val="00F0474D"/>
    <w:rsid w:val="00F06168"/>
    <w:rsid w:val="00F062D4"/>
    <w:rsid w:val="00F06A6C"/>
    <w:rsid w:val="00F06FDC"/>
    <w:rsid w:val="00F07D14"/>
    <w:rsid w:val="00F10496"/>
    <w:rsid w:val="00F11A64"/>
    <w:rsid w:val="00F14A7A"/>
    <w:rsid w:val="00F17505"/>
    <w:rsid w:val="00F17DB1"/>
    <w:rsid w:val="00F17DB4"/>
    <w:rsid w:val="00F214AD"/>
    <w:rsid w:val="00F21D6E"/>
    <w:rsid w:val="00F21F9C"/>
    <w:rsid w:val="00F21FF8"/>
    <w:rsid w:val="00F2275D"/>
    <w:rsid w:val="00F22985"/>
    <w:rsid w:val="00F23D2F"/>
    <w:rsid w:val="00F250F5"/>
    <w:rsid w:val="00F30DF0"/>
    <w:rsid w:val="00F31CC2"/>
    <w:rsid w:val="00F31ED0"/>
    <w:rsid w:val="00F3383E"/>
    <w:rsid w:val="00F3530F"/>
    <w:rsid w:val="00F35E5B"/>
    <w:rsid w:val="00F360FC"/>
    <w:rsid w:val="00F419B5"/>
    <w:rsid w:val="00F42756"/>
    <w:rsid w:val="00F42822"/>
    <w:rsid w:val="00F43F3D"/>
    <w:rsid w:val="00F4401F"/>
    <w:rsid w:val="00F445FB"/>
    <w:rsid w:val="00F446CD"/>
    <w:rsid w:val="00F447B3"/>
    <w:rsid w:val="00F44D08"/>
    <w:rsid w:val="00F45043"/>
    <w:rsid w:val="00F465A7"/>
    <w:rsid w:val="00F46851"/>
    <w:rsid w:val="00F47447"/>
    <w:rsid w:val="00F50B7C"/>
    <w:rsid w:val="00F5106C"/>
    <w:rsid w:val="00F51450"/>
    <w:rsid w:val="00F51AE4"/>
    <w:rsid w:val="00F51C1C"/>
    <w:rsid w:val="00F51EE2"/>
    <w:rsid w:val="00F52323"/>
    <w:rsid w:val="00F5285E"/>
    <w:rsid w:val="00F53A07"/>
    <w:rsid w:val="00F54D3A"/>
    <w:rsid w:val="00F54F63"/>
    <w:rsid w:val="00F550E6"/>
    <w:rsid w:val="00F56030"/>
    <w:rsid w:val="00F576FB"/>
    <w:rsid w:val="00F605C7"/>
    <w:rsid w:val="00F6111F"/>
    <w:rsid w:val="00F63F30"/>
    <w:rsid w:val="00F64F65"/>
    <w:rsid w:val="00F66060"/>
    <w:rsid w:val="00F6696A"/>
    <w:rsid w:val="00F71CE5"/>
    <w:rsid w:val="00F7251B"/>
    <w:rsid w:val="00F7288B"/>
    <w:rsid w:val="00F729AA"/>
    <w:rsid w:val="00F72C28"/>
    <w:rsid w:val="00F74345"/>
    <w:rsid w:val="00F76426"/>
    <w:rsid w:val="00F77E47"/>
    <w:rsid w:val="00F807A7"/>
    <w:rsid w:val="00F80A0A"/>
    <w:rsid w:val="00F822D5"/>
    <w:rsid w:val="00F827DE"/>
    <w:rsid w:val="00F82B19"/>
    <w:rsid w:val="00F83417"/>
    <w:rsid w:val="00F845F5"/>
    <w:rsid w:val="00F84C19"/>
    <w:rsid w:val="00F84F9E"/>
    <w:rsid w:val="00F866C3"/>
    <w:rsid w:val="00F86D56"/>
    <w:rsid w:val="00F90C87"/>
    <w:rsid w:val="00F9212D"/>
    <w:rsid w:val="00F92835"/>
    <w:rsid w:val="00F93360"/>
    <w:rsid w:val="00F9381E"/>
    <w:rsid w:val="00F94E7D"/>
    <w:rsid w:val="00F9557A"/>
    <w:rsid w:val="00F965DA"/>
    <w:rsid w:val="00F96F50"/>
    <w:rsid w:val="00FA0007"/>
    <w:rsid w:val="00FA02A4"/>
    <w:rsid w:val="00FA2957"/>
    <w:rsid w:val="00FA406A"/>
    <w:rsid w:val="00FA49A4"/>
    <w:rsid w:val="00FA505D"/>
    <w:rsid w:val="00FA513C"/>
    <w:rsid w:val="00FA53BE"/>
    <w:rsid w:val="00FA646F"/>
    <w:rsid w:val="00FA6ECE"/>
    <w:rsid w:val="00FA7171"/>
    <w:rsid w:val="00FB0145"/>
    <w:rsid w:val="00FB4CB8"/>
    <w:rsid w:val="00FB503A"/>
    <w:rsid w:val="00FB516C"/>
    <w:rsid w:val="00FB56CD"/>
    <w:rsid w:val="00FC0791"/>
    <w:rsid w:val="00FC0DCF"/>
    <w:rsid w:val="00FC1C52"/>
    <w:rsid w:val="00FC1FE1"/>
    <w:rsid w:val="00FC229F"/>
    <w:rsid w:val="00FC2984"/>
    <w:rsid w:val="00FC5EA2"/>
    <w:rsid w:val="00FC62C9"/>
    <w:rsid w:val="00FD0236"/>
    <w:rsid w:val="00FD14D6"/>
    <w:rsid w:val="00FD18F4"/>
    <w:rsid w:val="00FD2026"/>
    <w:rsid w:val="00FD2445"/>
    <w:rsid w:val="00FD2DC5"/>
    <w:rsid w:val="00FD54DB"/>
    <w:rsid w:val="00FD5669"/>
    <w:rsid w:val="00FD619F"/>
    <w:rsid w:val="00FE1671"/>
    <w:rsid w:val="00FE1F1B"/>
    <w:rsid w:val="00FE21C5"/>
    <w:rsid w:val="00FE3B1B"/>
    <w:rsid w:val="00FE3F92"/>
    <w:rsid w:val="00FE4C2A"/>
    <w:rsid w:val="00FE6B77"/>
    <w:rsid w:val="00FE7477"/>
    <w:rsid w:val="00FF01C4"/>
    <w:rsid w:val="00FF024F"/>
    <w:rsid w:val="00FF02DE"/>
    <w:rsid w:val="00FF0D2A"/>
    <w:rsid w:val="00FF4A44"/>
    <w:rsid w:val="00FF4BA7"/>
    <w:rsid w:val="00FF776F"/>
    <w:rsid w:val="00FF7806"/>
    <w:rsid w:val="01290F7E"/>
    <w:rsid w:val="015D1E09"/>
    <w:rsid w:val="01BD5B5D"/>
    <w:rsid w:val="021409FB"/>
    <w:rsid w:val="023342E3"/>
    <w:rsid w:val="02575C76"/>
    <w:rsid w:val="025A388F"/>
    <w:rsid w:val="02697903"/>
    <w:rsid w:val="02F96569"/>
    <w:rsid w:val="030B6598"/>
    <w:rsid w:val="0374238F"/>
    <w:rsid w:val="03AA3837"/>
    <w:rsid w:val="03CE055B"/>
    <w:rsid w:val="03EA7B21"/>
    <w:rsid w:val="040E3D13"/>
    <w:rsid w:val="04160E19"/>
    <w:rsid w:val="041E22FB"/>
    <w:rsid w:val="04221DEB"/>
    <w:rsid w:val="04457214"/>
    <w:rsid w:val="04AC7F7B"/>
    <w:rsid w:val="04C4204D"/>
    <w:rsid w:val="053D05F2"/>
    <w:rsid w:val="05B178CA"/>
    <w:rsid w:val="05F83EAE"/>
    <w:rsid w:val="062A086E"/>
    <w:rsid w:val="06330C24"/>
    <w:rsid w:val="063E7D85"/>
    <w:rsid w:val="06484524"/>
    <w:rsid w:val="06884B85"/>
    <w:rsid w:val="068E4EAD"/>
    <w:rsid w:val="06EA381B"/>
    <w:rsid w:val="06F21F49"/>
    <w:rsid w:val="07293586"/>
    <w:rsid w:val="07295285"/>
    <w:rsid w:val="073E3856"/>
    <w:rsid w:val="07636392"/>
    <w:rsid w:val="07770C56"/>
    <w:rsid w:val="0780281E"/>
    <w:rsid w:val="07991F77"/>
    <w:rsid w:val="07CA7B3F"/>
    <w:rsid w:val="082B2AAF"/>
    <w:rsid w:val="083157AF"/>
    <w:rsid w:val="0849392A"/>
    <w:rsid w:val="087D1CE6"/>
    <w:rsid w:val="08E81D8D"/>
    <w:rsid w:val="092217DD"/>
    <w:rsid w:val="092F02C1"/>
    <w:rsid w:val="093A7294"/>
    <w:rsid w:val="0966746C"/>
    <w:rsid w:val="09727371"/>
    <w:rsid w:val="09903C9B"/>
    <w:rsid w:val="09FE2FD0"/>
    <w:rsid w:val="0A263993"/>
    <w:rsid w:val="0A2D3AC2"/>
    <w:rsid w:val="0A2E30DF"/>
    <w:rsid w:val="0A79663D"/>
    <w:rsid w:val="0A8A2498"/>
    <w:rsid w:val="0A9F78D3"/>
    <w:rsid w:val="0AA755DF"/>
    <w:rsid w:val="0B120D44"/>
    <w:rsid w:val="0B2B04B1"/>
    <w:rsid w:val="0B2D7324"/>
    <w:rsid w:val="0B3E4AF6"/>
    <w:rsid w:val="0B52745A"/>
    <w:rsid w:val="0B62773F"/>
    <w:rsid w:val="0B6E638C"/>
    <w:rsid w:val="0B957346"/>
    <w:rsid w:val="0BBD044F"/>
    <w:rsid w:val="0BC651AA"/>
    <w:rsid w:val="0BD27BF6"/>
    <w:rsid w:val="0C197F77"/>
    <w:rsid w:val="0C2E61BB"/>
    <w:rsid w:val="0C303DDF"/>
    <w:rsid w:val="0C3B3C7D"/>
    <w:rsid w:val="0C3D5C93"/>
    <w:rsid w:val="0C4D4BDE"/>
    <w:rsid w:val="0C9910B8"/>
    <w:rsid w:val="0CAB2EAE"/>
    <w:rsid w:val="0CE01F0B"/>
    <w:rsid w:val="0CFB148C"/>
    <w:rsid w:val="0D1D1C73"/>
    <w:rsid w:val="0D5B1396"/>
    <w:rsid w:val="0D621C7D"/>
    <w:rsid w:val="0D6C40D7"/>
    <w:rsid w:val="0D777F05"/>
    <w:rsid w:val="0DE016F7"/>
    <w:rsid w:val="0DF51FE3"/>
    <w:rsid w:val="0E245887"/>
    <w:rsid w:val="0E453D42"/>
    <w:rsid w:val="0E73034D"/>
    <w:rsid w:val="0E7B4336"/>
    <w:rsid w:val="0E832E57"/>
    <w:rsid w:val="0E94048E"/>
    <w:rsid w:val="0E9C09EC"/>
    <w:rsid w:val="0EE84129"/>
    <w:rsid w:val="0EF16C12"/>
    <w:rsid w:val="0F016425"/>
    <w:rsid w:val="0F13775A"/>
    <w:rsid w:val="0F194E21"/>
    <w:rsid w:val="0F330968"/>
    <w:rsid w:val="0F5B1796"/>
    <w:rsid w:val="0F5F45FE"/>
    <w:rsid w:val="0F9A112B"/>
    <w:rsid w:val="0FE62487"/>
    <w:rsid w:val="102A7B27"/>
    <w:rsid w:val="1047721D"/>
    <w:rsid w:val="105E12DB"/>
    <w:rsid w:val="106D1753"/>
    <w:rsid w:val="106D2F64"/>
    <w:rsid w:val="108C174B"/>
    <w:rsid w:val="108F4B64"/>
    <w:rsid w:val="10B63710"/>
    <w:rsid w:val="10E063A0"/>
    <w:rsid w:val="10F10820"/>
    <w:rsid w:val="10FA2C0C"/>
    <w:rsid w:val="11091B11"/>
    <w:rsid w:val="111C2F7A"/>
    <w:rsid w:val="11665CA1"/>
    <w:rsid w:val="118B7310"/>
    <w:rsid w:val="11C048A3"/>
    <w:rsid w:val="125B6C0C"/>
    <w:rsid w:val="127A7296"/>
    <w:rsid w:val="132772E9"/>
    <w:rsid w:val="133C28BD"/>
    <w:rsid w:val="133D55CE"/>
    <w:rsid w:val="13474CC3"/>
    <w:rsid w:val="134E6761"/>
    <w:rsid w:val="136D537D"/>
    <w:rsid w:val="137666E0"/>
    <w:rsid w:val="138D1EF9"/>
    <w:rsid w:val="13951726"/>
    <w:rsid w:val="139A6B95"/>
    <w:rsid w:val="13DB7961"/>
    <w:rsid w:val="13FC61B5"/>
    <w:rsid w:val="140B63F8"/>
    <w:rsid w:val="14396509"/>
    <w:rsid w:val="145B1315"/>
    <w:rsid w:val="14B7657F"/>
    <w:rsid w:val="14C83213"/>
    <w:rsid w:val="14DD2C3C"/>
    <w:rsid w:val="14E32AC2"/>
    <w:rsid w:val="14E43B15"/>
    <w:rsid w:val="150006F9"/>
    <w:rsid w:val="150F7187"/>
    <w:rsid w:val="15445EE3"/>
    <w:rsid w:val="15B825AF"/>
    <w:rsid w:val="15FE3438"/>
    <w:rsid w:val="16087E1D"/>
    <w:rsid w:val="163953FC"/>
    <w:rsid w:val="16526DEE"/>
    <w:rsid w:val="167618E8"/>
    <w:rsid w:val="167D03D0"/>
    <w:rsid w:val="1697523C"/>
    <w:rsid w:val="17034E81"/>
    <w:rsid w:val="17125CEF"/>
    <w:rsid w:val="17701D14"/>
    <w:rsid w:val="17735226"/>
    <w:rsid w:val="177E0271"/>
    <w:rsid w:val="17921AB8"/>
    <w:rsid w:val="17D44AF1"/>
    <w:rsid w:val="17D87BA1"/>
    <w:rsid w:val="17EB698F"/>
    <w:rsid w:val="17EF4F49"/>
    <w:rsid w:val="189F624C"/>
    <w:rsid w:val="18B52FA9"/>
    <w:rsid w:val="19214221"/>
    <w:rsid w:val="19502AFF"/>
    <w:rsid w:val="19B457FF"/>
    <w:rsid w:val="19D1771F"/>
    <w:rsid w:val="19D41982"/>
    <w:rsid w:val="19DD7E74"/>
    <w:rsid w:val="1A1C66C0"/>
    <w:rsid w:val="1A3E3BAF"/>
    <w:rsid w:val="1A42393B"/>
    <w:rsid w:val="1A687CD6"/>
    <w:rsid w:val="1AA3038A"/>
    <w:rsid w:val="1AAD45DE"/>
    <w:rsid w:val="1AD63654"/>
    <w:rsid w:val="1ADE34AA"/>
    <w:rsid w:val="1AF51BB0"/>
    <w:rsid w:val="1B046F80"/>
    <w:rsid w:val="1B3267B5"/>
    <w:rsid w:val="1B40161D"/>
    <w:rsid w:val="1B441859"/>
    <w:rsid w:val="1B63483B"/>
    <w:rsid w:val="1B6606B1"/>
    <w:rsid w:val="1B904708"/>
    <w:rsid w:val="1BA6544E"/>
    <w:rsid w:val="1BAC40F2"/>
    <w:rsid w:val="1BD9502D"/>
    <w:rsid w:val="1BE71D5D"/>
    <w:rsid w:val="1C153640"/>
    <w:rsid w:val="1C1A70C6"/>
    <w:rsid w:val="1C4C2F59"/>
    <w:rsid w:val="1C5E7925"/>
    <w:rsid w:val="1C632B49"/>
    <w:rsid w:val="1C6F14EE"/>
    <w:rsid w:val="1CA4789C"/>
    <w:rsid w:val="1CFD070F"/>
    <w:rsid w:val="1CFF73D1"/>
    <w:rsid w:val="1D2223BB"/>
    <w:rsid w:val="1D4C4116"/>
    <w:rsid w:val="1D4C443F"/>
    <w:rsid w:val="1D5F6196"/>
    <w:rsid w:val="1D6132A5"/>
    <w:rsid w:val="1D8E56D5"/>
    <w:rsid w:val="1DE008F5"/>
    <w:rsid w:val="1E3F0536"/>
    <w:rsid w:val="1E5C4293"/>
    <w:rsid w:val="1E6037E4"/>
    <w:rsid w:val="1E7A43DA"/>
    <w:rsid w:val="1E991488"/>
    <w:rsid w:val="1EDE7747"/>
    <w:rsid w:val="1F3117D9"/>
    <w:rsid w:val="1F4051CF"/>
    <w:rsid w:val="1F7156F7"/>
    <w:rsid w:val="1F836BC3"/>
    <w:rsid w:val="1FB96ABE"/>
    <w:rsid w:val="1FC16830"/>
    <w:rsid w:val="1FCC2F8A"/>
    <w:rsid w:val="1FD92024"/>
    <w:rsid w:val="1FE7539E"/>
    <w:rsid w:val="1FF35A9C"/>
    <w:rsid w:val="20671BE0"/>
    <w:rsid w:val="20963CB8"/>
    <w:rsid w:val="20A81A1B"/>
    <w:rsid w:val="20B07FB6"/>
    <w:rsid w:val="20B521B6"/>
    <w:rsid w:val="20B646FB"/>
    <w:rsid w:val="20C866F4"/>
    <w:rsid w:val="20D364EF"/>
    <w:rsid w:val="210807DB"/>
    <w:rsid w:val="213B74B1"/>
    <w:rsid w:val="215A2310"/>
    <w:rsid w:val="218E7147"/>
    <w:rsid w:val="219B091A"/>
    <w:rsid w:val="21A148D8"/>
    <w:rsid w:val="21A326A4"/>
    <w:rsid w:val="21A838DA"/>
    <w:rsid w:val="21DE318A"/>
    <w:rsid w:val="21EF5B80"/>
    <w:rsid w:val="22032E04"/>
    <w:rsid w:val="22035C82"/>
    <w:rsid w:val="22254933"/>
    <w:rsid w:val="22423E39"/>
    <w:rsid w:val="22576990"/>
    <w:rsid w:val="228D1A12"/>
    <w:rsid w:val="229337BF"/>
    <w:rsid w:val="22F47480"/>
    <w:rsid w:val="23C860B3"/>
    <w:rsid w:val="23DE1C48"/>
    <w:rsid w:val="240210CD"/>
    <w:rsid w:val="242B2854"/>
    <w:rsid w:val="24692C9A"/>
    <w:rsid w:val="24A86B2E"/>
    <w:rsid w:val="24B53B64"/>
    <w:rsid w:val="24BD2049"/>
    <w:rsid w:val="24BE361B"/>
    <w:rsid w:val="24BF09F7"/>
    <w:rsid w:val="251F10C7"/>
    <w:rsid w:val="25292B82"/>
    <w:rsid w:val="252D53FE"/>
    <w:rsid w:val="256F0049"/>
    <w:rsid w:val="257F1724"/>
    <w:rsid w:val="25EC2D81"/>
    <w:rsid w:val="26115753"/>
    <w:rsid w:val="26137703"/>
    <w:rsid w:val="26396FB4"/>
    <w:rsid w:val="26AA51CD"/>
    <w:rsid w:val="26EB3E67"/>
    <w:rsid w:val="27254C5E"/>
    <w:rsid w:val="273924B6"/>
    <w:rsid w:val="275102E5"/>
    <w:rsid w:val="277057A2"/>
    <w:rsid w:val="277718B8"/>
    <w:rsid w:val="27CF75F8"/>
    <w:rsid w:val="27F03E2A"/>
    <w:rsid w:val="27F83520"/>
    <w:rsid w:val="283B577E"/>
    <w:rsid w:val="28D95648"/>
    <w:rsid w:val="290763A8"/>
    <w:rsid w:val="29206EB8"/>
    <w:rsid w:val="29595666"/>
    <w:rsid w:val="296D1601"/>
    <w:rsid w:val="29874881"/>
    <w:rsid w:val="298A7967"/>
    <w:rsid w:val="29E325E0"/>
    <w:rsid w:val="2A452503"/>
    <w:rsid w:val="2A7103F0"/>
    <w:rsid w:val="2AC522CE"/>
    <w:rsid w:val="2AC62F20"/>
    <w:rsid w:val="2B1E0CAF"/>
    <w:rsid w:val="2B936FA7"/>
    <w:rsid w:val="2BA936A8"/>
    <w:rsid w:val="2BC30EFF"/>
    <w:rsid w:val="2BE57233"/>
    <w:rsid w:val="2C002162"/>
    <w:rsid w:val="2C111BA1"/>
    <w:rsid w:val="2C315A5A"/>
    <w:rsid w:val="2C4B1C25"/>
    <w:rsid w:val="2C6235AD"/>
    <w:rsid w:val="2C7C56D2"/>
    <w:rsid w:val="2C995D5E"/>
    <w:rsid w:val="2C9F3729"/>
    <w:rsid w:val="2CA349DC"/>
    <w:rsid w:val="2CAE7772"/>
    <w:rsid w:val="2CEA3520"/>
    <w:rsid w:val="2D0951FE"/>
    <w:rsid w:val="2D2307FE"/>
    <w:rsid w:val="2D441F06"/>
    <w:rsid w:val="2D510490"/>
    <w:rsid w:val="2D7A01B7"/>
    <w:rsid w:val="2D915768"/>
    <w:rsid w:val="2D9E56F5"/>
    <w:rsid w:val="2DFA04B5"/>
    <w:rsid w:val="2E101BF4"/>
    <w:rsid w:val="2E556EA4"/>
    <w:rsid w:val="2E567211"/>
    <w:rsid w:val="2E5977D4"/>
    <w:rsid w:val="2E667F96"/>
    <w:rsid w:val="2E8226AB"/>
    <w:rsid w:val="2EAB2F15"/>
    <w:rsid w:val="2EB540B0"/>
    <w:rsid w:val="2EBE469D"/>
    <w:rsid w:val="2F9A6CEB"/>
    <w:rsid w:val="2FD065E6"/>
    <w:rsid w:val="2FD96870"/>
    <w:rsid w:val="303E567B"/>
    <w:rsid w:val="30580BC9"/>
    <w:rsid w:val="306D74E0"/>
    <w:rsid w:val="3083358B"/>
    <w:rsid w:val="30AB07C8"/>
    <w:rsid w:val="30DE4672"/>
    <w:rsid w:val="311E2ED7"/>
    <w:rsid w:val="31452518"/>
    <w:rsid w:val="315619EE"/>
    <w:rsid w:val="315C449C"/>
    <w:rsid w:val="318E5797"/>
    <w:rsid w:val="318F040B"/>
    <w:rsid w:val="318F1FBE"/>
    <w:rsid w:val="31A00015"/>
    <w:rsid w:val="31B82709"/>
    <w:rsid w:val="31D05482"/>
    <w:rsid w:val="32186134"/>
    <w:rsid w:val="32400B34"/>
    <w:rsid w:val="325624F0"/>
    <w:rsid w:val="32601BAD"/>
    <w:rsid w:val="32891103"/>
    <w:rsid w:val="329E6876"/>
    <w:rsid w:val="32A04386"/>
    <w:rsid w:val="32B4017D"/>
    <w:rsid w:val="333015F2"/>
    <w:rsid w:val="334B6320"/>
    <w:rsid w:val="33925C3D"/>
    <w:rsid w:val="33947D60"/>
    <w:rsid w:val="33993702"/>
    <w:rsid w:val="33BE3BF0"/>
    <w:rsid w:val="33D934D4"/>
    <w:rsid w:val="33E30F28"/>
    <w:rsid w:val="33FE2F6A"/>
    <w:rsid w:val="3404167E"/>
    <w:rsid w:val="340E07E5"/>
    <w:rsid w:val="34235BF7"/>
    <w:rsid w:val="34507F49"/>
    <w:rsid w:val="346534AA"/>
    <w:rsid w:val="34CC6681"/>
    <w:rsid w:val="34E414F8"/>
    <w:rsid w:val="358C5FA8"/>
    <w:rsid w:val="359F2285"/>
    <w:rsid w:val="35C15DF1"/>
    <w:rsid w:val="36024711"/>
    <w:rsid w:val="36074A7F"/>
    <w:rsid w:val="361845E0"/>
    <w:rsid w:val="362464E4"/>
    <w:rsid w:val="36923549"/>
    <w:rsid w:val="36B75FBF"/>
    <w:rsid w:val="36BD0C45"/>
    <w:rsid w:val="36EE608B"/>
    <w:rsid w:val="37152977"/>
    <w:rsid w:val="371804F5"/>
    <w:rsid w:val="373B350A"/>
    <w:rsid w:val="37E00298"/>
    <w:rsid w:val="381036D7"/>
    <w:rsid w:val="384D772E"/>
    <w:rsid w:val="385B0E4C"/>
    <w:rsid w:val="385E26EA"/>
    <w:rsid w:val="38663962"/>
    <w:rsid w:val="3873043E"/>
    <w:rsid w:val="3895564A"/>
    <w:rsid w:val="38B302F9"/>
    <w:rsid w:val="38E5599A"/>
    <w:rsid w:val="38F12CD3"/>
    <w:rsid w:val="38F94775"/>
    <w:rsid w:val="391060DB"/>
    <w:rsid w:val="392254C6"/>
    <w:rsid w:val="392971ED"/>
    <w:rsid w:val="39325651"/>
    <w:rsid w:val="39A425D1"/>
    <w:rsid w:val="39C048AB"/>
    <w:rsid w:val="3A0B68A2"/>
    <w:rsid w:val="3A4E65B2"/>
    <w:rsid w:val="3A612CB3"/>
    <w:rsid w:val="3A872856"/>
    <w:rsid w:val="3B230473"/>
    <w:rsid w:val="3B3763D1"/>
    <w:rsid w:val="3BF33A92"/>
    <w:rsid w:val="3BF97579"/>
    <w:rsid w:val="3C2F6E1E"/>
    <w:rsid w:val="3C4F64BA"/>
    <w:rsid w:val="3CDA245A"/>
    <w:rsid w:val="3D1E06B7"/>
    <w:rsid w:val="3D3F1112"/>
    <w:rsid w:val="3D6C28A2"/>
    <w:rsid w:val="3D913DAB"/>
    <w:rsid w:val="3DE868F3"/>
    <w:rsid w:val="3E435F9D"/>
    <w:rsid w:val="3E8C7C1C"/>
    <w:rsid w:val="3EB02FC3"/>
    <w:rsid w:val="3EC939B1"/>
    <w:rsid w:val="3ED50CA5"/>
    <w:rsid w:val="3EDA0523"/>
    <w:rsid w:val="3F656CDA"/>
    <w:rsid w:val="3FBE6F07"/>
    <w:rsid w:val="3FDE5AE7"/>
    <w:rsid w:val="3FF1419F"/>
    <w:rsid w:val="4007415D"/>
    <w:rsid w:val="407A6407"/>
    <w:rsid w:val="40A767E3"/>
    <w:rsid w:val="40B55BE0"/>
    <w:rsid w:val="40CB5F31"/>
    <w:rsid w:val="41396295"/>
    <w:rsid w:val="41571C45"/>
    <w:rsid w:val="41597DB5"/>
    <w:rsid w:val="419572C7"/>
    <w:rsid w:val="41C2393E"/>
    <w:rsid w:val="41D35F26"/>
    <w:rsid w:val="4200449D"/>
    <w:rsid w:val="423A3BCC"/>
    <w:rsid w:val="424E57D2"/>
    <w:rsid w:val="426210ED"/>
    <w:rsid w:val="42802DC0"/>
    <w:rsid w:val="42880EAC"/>
    <w:rsid w:val="42B26C49"/>
    <w:rsid w:val="42E24939"/>
    <w:rsid w:val="43217976"/>
    <w:rsid w:val="433A6FE6"/>
    <w:rsid w:val="43480868"/>
    <w:rsid w:val="4350713C"/>
    <w:rsid w:val="436653E0"/>
    <w:rsid w:val="43770999"/>
    <w:rsid w:val="43B92000"/>
    <w:rsid w:val="43C4431A"/>
    <w:rsid w:val="43E00914"/>
    <w:rsid w:val="43E53A57"/>
    <w:rsid w:val="43EF3D80"/>
    <w:rsid w:val="440F6DEB"/>
    <w:rsid w:val="44787480"/>
    <w:rsid w:val="447C21D5"/>
    <w:rsid w:val="44B951CC"/>
    <w:rsid w:val="44CD14E0"/>
    <w:rsid w:val="44D73F50"/>
    <w:rsid w:val="44F20B0B"/>
    <w:rsid w:val="452E5F4C"/>
    <w:rsid w:val="45612018"/>
    <w:rsid w:val="45761C87"/>
    <w:rsid w:val="458946E9"/>
    <w:rsid w:val="45A47C0E"/>
    <w:rsid w:val="45DC2FBC"/>
    <w:rsid w:val="460A1E2C"/>
    <w:rsid w:val="46577FD6"/>
    <w:rsid w:val="46790DB6"/>
    <w:rsid w:val="46832BC7"/>
    <w:rsid w:val="46B246B9"/>
    <w:rsid w:val="46BB7E19"/>
    <w:rsid w:val="46D955A7"/>
    <w:rsid w:val="47133957"/>
    <w:rsid w:val="47557D06"/>
    <w:rsid w:val="476D688B"/>
    <w:rsid w:val="47786CD0"/>
    <w:rsid w:val="47A07E0C"/>
    <w:rsid w:val="47B67960"/>
    <w:rsid w:val="47BD685E"/>
    <w:rsid w:val="4870272E"/>
    <w:rsid w:val="48C01258"/>
    <w:rsid w:val="494C3309"/>
    <w:rsid w:val="497F6965"/>
    <w:rsid w:val="499A6821"/>
    <w:rsid w:val="49DC7715"/>
    <w:rsid w:val="49E13DFF"/>
    <w:rsid w:val="49F1506C"/>
    <w:rsid w:val="49FB6ADD"/>
    <w:rsid w:val="4A023139"/>
    <w:rsid w:val="4A0529BC"/>
    <w:rsid w:val="4A0E7B55"/>
    <w:rsid w:val="4A331C29"/>
    <w:rsid w:val="4A3518BF"/>
    <w:rsid w:val="4A5F6A3D"/>
    <w:rsid w:val="4A7B576F"/>
    <w:rsid w:val="4AB819E1"/>
    <w:rsid w:val="4AC543A1"/>
    <w:rsid w:val="4AE44383"/>
    <w:rsid w:val="4AE64EED"/>
    <w:rsid w:val="4AF561A9"/>
    <w:rsid w:val="4B0A4692"/>
    <w:rsid w:val="4B3D2633"/>
    <w:rsid w:val="4B55097D"/>
    <w:rsid w:val="4B647077"/>
    <w:rsid w:val="4B85255E"/>
    <w:rsid w:val="4BD05255"/>
    <w:rsid w:val="4BED451D"/>
    <w:rsid w:val="4C4A0649"/>
    <w:rsid w:val="4C7564F1"/>
    <w:rsid w:val="4C7E5ECA"/>
    <w:rsid w:val="4C876AA5"/>
    <w:rsid w:val="4C944958"/>
    <w:rsid w:val="4D0E00FB"/>
    <w:rsid w:val="4D176606"/>
    <w:rsid w:val="4D1E18AA"/>
    <w:rsid w:val="4D2D32B1"/>
    <w:rsid w:val="4D357A66"/>
    <w:rsid w:val="4DC4528E"/>
    <w:rsid w:val="4DD95AC2"/>
    <w:rsid w:val="4DDB7637"/>
    <w:rsid w:val="4DEC4FB0"/>
    <w:rsid w:val="4E075D8A"/>
    <w:rsid w:val="4E72097F"/>
    <w:rsid w:val="4E9C58C3"/>
    <w:rsid w:val="4EC00FAD"/>
    <w:rsid w:val="4EC32CAC"/>
    <w:rsid w:val="4EFE2872"/>
    <w:rsid w:val="4F174AC6"/>
    <w:rsid w:val="4F2A2ECF"/>
    <w:rsid w:val="4F9843DC"/>
    <w:rsid w:val="4FAB08DA"/>
    <w:rsid w:val="4FC62A8C"/>
    <w:rsid w:val="4FD4493A"/>
    <w:rsid w:val="4FE03BF0"/>
    <w:rsid w:val="4FE20F0D"/>
    <w:rsid w:val="4FE51552"/>
    <w:rsid w:val="50504C4B"/>
    <w:rsid w:val="50527F26"/>
    <w:rsid w:val="505779BC"/>
    <w:rsid w:val="509C6E7C"/>
    <w:rsid w:val="50AA076B"/>
    <w:rsid w:val="50B455BD"/>
    <w:rsid w:val="51057593"/>
    <w:rsid w:val="5150714B"/>
    <w:rsid w:val="5162104E"/>
    <w:rsid w:val="5190287A"/>
    <w:rsid w:val="51AE0F7B"/>
    <w:rsid w:val="52971029"/>
    <w:rsid w:val="52A76E76"/>
    <w:rsid w:val="52AA2CA4"/>
    <w:rsid w:val="52E15E82"/>
    <w:rsid w:val="52F54395"/>
    <w:rsid w:val="52FD1026"/>
    <w:rsid w:val="53033132"/>
    <w:rsid w:val="53052BED"/>
    <w:rsid w:val="534132A4"/>
    <w:rsid w:val="53A039CC"/>
    <w:rsid w:val="53A1505A"/>
    <w:rsid w:val="53BA0CC5"/>
    <w:rsid w:val="53BC2C8F"/>
    <w:rsid w:val="54063E08"/>
    <w:rsid w:val="543437E8"/>
    <w:rsid w:val="543B4194"/>
    <w:rsid w:val="54762E41"/>
    <w:rsid w:val="54F73313"/>
    <w:rsid w:val="54F80955"/>
    <w:rsid w:val="554B6D60"/>
    <w:rsid w:val="555170A7"/>
    <w:rsid w:val="5563538C"/>
    <w:rsid w:val="55774424"/>
    <w:rsid w:val="557828BF"/>
    <w:rsid w:val="5587536D"/>
    <w:rsid w:val="559B174B"/>
    <w:rsid w:val="55CE0CF4"/>
    <w:rsid w:val="55F33BA2"/>
    <w:rsid w:val="562C50A5"/>
    <w:rsid w:val="56694513"/>
    <w:rsid w:val="56A80939"/>
    <w:rsid w:val="56B22A9C"/>
    <w:rsid w:val="56FF57CA"/>
    <w:rsid w:val="57182145"/>
    <w:rsid w:val="5722092E"/>
    <w:rsid w:val="57465C32"/>
    <w:rsid w:val="576F38F6"/>
    <w:rsid w:val="57AA0A80"/>
    <w:rsid w:val="57B2129A"/>
    <w:rsid w:val="57B72A76"/>
    <w:rsid w:val="57B878D7"/>
    <w:rsid w:val="57B96953"/>
    <w:rsid w:val="57C3426C"/>
    <w:rsid w:val="57CD4D3F"/>
    <w:rsid w:val="57CE1F93"/>
    <w:rsid w:val="57D0177D"/>
    <w:rsid w:val="57E0634B"/>
    <w:rsid w:val="588743D1"/>
    <w:rsid w:val="5887701A"/>
    <w:rsid w:val="58B67496"/>
    <w:rsid w:val="58C621FC"/>
    <w:rsid w:val="59154BEF"/>
    <w:rsid w:val="59633BAD"/>
    <w:rsid w:val="59AE516F"/>
    <w:rsid w:val="59C0439F"/>
    <w:rsid w:val="5A1D6589"/>
    <w:rsid w:val="5A295543"/>
    <w:rsid w:val="5A2B0EBD"/>
    <w:rsid w:val="5A3B4946"/>
    <w:rsid w:val="5A607552"/>
    <w:rsid w:val="5A710087"/>
    <w:rsid w:val="5A720BC4"/>
    <w:rsid w:val="5ABB5323"/>
    <w:rsid w:val="5ABE2233"/>
    <w:rsid w:val="5ACA7612"/>
    <w:rsid w:val="5AD95FE2"/>
    <w:rsid w:val="5AE32D1C"/>
    <w:rsid w:val="5AEE28B7"/>
    <w:rsid w:val="5B084200"/>
    <w:rsid w:val="5B1F4698"/>
    <w:rsid w:val="5B3A6B8F"/>
    <w:rsid w:val="5B4C2D28"/>
    <w:rsid w:val="5B541260"/>
    <w:rsid w:val="5B7D7233"/>
    <w:rsid w:val="5B8830EB"/>
    <w:rsid w:val="5B902100"/>
    <w:rsid w:val="5BD818EA"/>
    <w:rsid w:val="5BDF5D95"/>
    <w:rsid w:val="5BE63B09"/>
    <w:rsid w:val="5BFE7528"/>
    <w:rsid w:val="5C26551A"/>
    <w:rsid w:val="5CBF3598"/>
    <w:rsid w:val="5CBF5DB0"/>
    <w:rsid w:val="5CFD571E"/>
    <w:rsid w:val="5D5201C0"/>
    <w:rsid w:val="5D6B0331"/>
    <w:rsid w:val="5E0A1CE6"/>
    <w:rsid w:val="5E2467F1"/>
    <w:rsid w:val="5E50427B"/>
    <w:rsid w:val="5E543924"/>
    <w:rsid w:val="5E685B79"/>
    <w:rsid w:val="5EC811C2"/>
    <w:rsid w:val="5EFB65EB"/>
    <w:rsid w:val="5F1A2B43"/>
    <w:rsid w:val="5F1E3278"/>
    <w:rsid w:val="5F9A7BFD"/>
    <w:rsid w:val="5FAE013D"/>
    <w:rsid w:val="5FB837BB"/>
    <w:rsid w:val="5FBE4115"/>
    <w:rsid w:val="600E35B7"/>
    <w:rsid w:val="60A800F7"/>
    <w:rsid w:val="60CC405A"/>
    <w:rsid w:val="60DC5A85"/>
    <w:rsid w:val="61031248"/>
    <w:rsid w:val="612B3CDB"/>
    <w:rsid w:val="615F4DC2"/>
    <w:rsid w:val="6187730A"/>
    <w:rsid w:val="61C81924"/>
    <w:rsid w:val="61DC5C3E"/>
    <w:rsid w:val="61E215D8"/>
    <w:rsid w:val="62075A9D"/>
    <w:rsid w:val="621B3775"/>
    <w:rsid w:val="621D108A"/>
    <w:rsid w:val="62364782"/>
    <w:rsid w:val="62A3302E"/>
    <w:rsid w:val="62AD6846"/>
    <w:rsid w:val="63431860"/>
    <w:rsid w:val="638C0891"/>
    <w:rsid w:val="6394356A"/>
    <w:rsid w:val="63C61B2C"/>
    <w:rsid w:val="63D40BE9"/>
    <w:rsid w:val="63E85902"/>
    <w:rsid w:val="64102431"/>
    <w:rsid w:val="6429260C"/>
    <w:rsid w:val="643C47B2"/>
    <w:rsid w:val="643E5896"/>
    <w:rsid w:val="649D588A"/>
    <w:rsid w:val="64A37456"/>
    <w:rsid w:val="64A5243A"/>
    <w:rsid w:val="64BC7893"/>
    <w:rsid w:val="64CD176A"/>
    <w:rsid w:val="64CE3197"/>
    <w:rsid w:val="64F3532A"/>
    <w:rsid w:val="64F501B1"/>
    <w:rsid w:val="64F531DE"/>
    <w:rsid w:val="64FB7191"/>
    <w:rsid w:val="65373578"/>
    <w:rsid w:val="65B155C8"/>
    <w:rsid w:val="65CC1584"/>
    <w:rsid w:val="66717017"/>
    <w:rsid w:val="66922C07"/>
    <w:rsid w:val="671F124A"/>
    <w:rsid w:val="674A0107"/>
    <w:rsid w:val="677A33C6"/>
    <w:rsid w:val="67F867E0"/>
    <w:rsid w:val="681F6961"/>
    <w:rsid w:val="683C7AA3"/>
    <w:rsid w:val="68610A2F"/>
    <w:rsid w:val="68805514"/>
    <w:rsid w:val="68866F70"/>
    <w:rsid w:val="68C6321F"/>
    <w:rsid w:val="68F771DC"/>
    <w:rsid w:val="69095579"/>
    <w:rsid w:val="692135F9"/>
    <w:rsid w:val="69316E2F"/>
    <w:rsid w:val="694E2071"/>
    <w:rsid w:val="69766163"/>
    <w:rsid w:val="697A3B33"/>
    <w:rsid w:val="697B2CD9"/>
    <w:rsid w:val="69945B39"/>
    <w:rsid w:val="69D44760"/>
    <w:rsid w:val="6A4315BC"/>
    <w:rsid w:val="6A520EC7"/>
    <w:rsid w:val="6A531B93"/>
    <w:rsid w:val="6A554E4C"/>
    <w:rsid w:val="6AB94E66"/>
    <w:rsid w:val="6AE306AA"/>
    <w:rsid w:val="6AF87E20"/>
    <w:rsid w:val="6B322639"/>
    <w:rsid w:val="6B56531F"/>
    <w:rsid w:val="6B754ED8"/>
    <w:rsid w:val="6BA8011A"/>
    <w:rsid w:val="6C504EFF"/>
    <w:rsid w:val="6C532C31"/>
    <w:rsid w:val="6C636C38"/>
    <w:rsid w:val="6C8A131B"/>
    <w:rsid w:val="6C985C47"/>
    <w:rsid w:val="6D2C3DDA"/>
    <w:rsid w:val="6D48513C"/>
    <w:rsid w:val="6D8E6C1E"/>
    <w:rsid w:val="6DB34098"/>
    <w:rsid w:val="6DB545B6"/>
    <w:rsid w:val="6DB77A02"/>
    <w:rsid w:val="6DE02FB4"/>
    <w:rsid w:val="6E041063"/>
    <w:rsid w:val="6E0D71B4"/>
    <w:rsid w:val="6E140883"/>
    <w:rsid w:val="6E514CED"/>
    <w:rsid w:val="6E5C751F"/>
    <w:rsid w:val="6E66587A"/>
    <w:rsid w:val="6E833FDF"/>
    <w:rsid w:val="6EB563D5"/>
    <w:rsid w:val="6ED92677"/>
    <w:rsid w:val="6F225983"/>
    <w:rsid w:val="6F4078DF"/>
    <w:rsid w:val="6F5F4B7F"/>
    <w:rsid w:val="6F7D02DB"/>
    <w:rsid w:val="6FB81EA5"/>
    <w:rsid w:val="6FC7531A"/>
    <w:rsid w:val="6FFC5590"/>
    <w:rsid w:val="6FFE28A3"/>
    <w:rsid w:val="70104BF1"/>
    <w:rsid w:val="70446D77"/>
    <w:rsid w:val="706D1DD0"/>
    <w:rsid w:val="70856B87"/>
    <w:rsid w:val="709A2BA9"/>
    <w:rsid w:val="70C963E8"/>
    <w:rsid w:val="70D527EE"/>
    <w:rsid w:val="711A294B"/>
    <w:rsid w:val="71531B3C"/>
    <w:rsid w:val="715859D7"/>
    <w:rsid w:val="715B5300"/>
    <w:rsid w:val="716D6F1F"/>
    <w:rsid w:val="71D27F8A"/>
    <w:rsid w:val="7202673C"/>
    <w:rsid w:val="72190E55"/>
    <w:rsid w:val="723C0CD9"/>
    <w:rsid w:val="72553024"/>
    <w:rsid w:val="728A578C"/>
    <w:rsid w:val="72EC73E4"/>
    <w:rsid w:val="73122968"/>
    <w:rsid w:val="731F5D5E"/>
    <w:rsid w:val="73633A87"/>
    <w:rsid w:val="736E6F7E"/>
    <w:rsid w:val="737C2005"/>
    <w:rsid w:val="737C34B6"/>
    <w:rsid w:val="73C51AD5"/>
    <w:rsid w:val="73FC4241"/>
    <w:rsid w:val="741E4ACB"/>
    <w:rsid w:val="741E793C"/>
    <w:rsid w:val="745E3944"/>
    <w:rsid w:val="74BF319B"/>
    <w:rsid w:val="75291729"/>
    <w:rsid w:val="754F71E0"/>
    <w:rsid w:val="75691363"/>
    <w:rsid w:val="7581743D"/>
    <w:rsid w:val="759251A6"/>
    <w:rsid w:val="75C177C5"/>
    <w:rsid w:val="7635099D"/>
    <w:rsid w:val="76407334"/>
    <w:rsid w:val="767C76DD"/>
    <w:rsid w:val="77020109"/>
    <w:rsid w:val="77377DED"/>
    <w:rsid w:val="774962D9"/>
    <w:rsid w:val="77762421"/>
    <w:rsid w:val="77AF72C1"/>
    <w:rsid w:val="77B56B1F"/>
    <w:rsid w:val="77B57573"/>
    <w:rsid w:val="77E75CED"/>
    <w:rsid w:val="77FC5FED"/>
    <w:rsid w:val="78015F2F"/>
    <w:rsid w:val="780F09F4"/>
    <w:rsid w:val="783069D2"/>
    <w:rsid w:val="786426FE"/>
    <w:rsid w:val="78702385"/>
    <w:rsid w:val="78984061"/>
    <w:rsid w:val="78A90480"/>
    <w:rsid w:val="78AC64FE"/>
    <w:rsid w:val="79521386"/>
    <w:rsid w:val="795A75B2"/>
    <w:rsid w:val="7960267F"/>
    <w:rsid w:val="798006BC"/>
    <w:rsid w:val="7A1A0240"/>
    <w:rsid w:val="7A364017"/>
    <w:rsid w:val="7A8265E1"/>
    <w:rsid w:val="7AF63F8F"/>
    <w:rsid w:val="7B686D42"/>
    <w:rsid w:val="7B841746"/>
    <w:rsid w:val="7B8849B9"/>
    <w:rsid w:val="7B993318"/>
    <w:rsid w:val="7BB20BED"/>
    <w:rsid w:val="7C1053CB"/>
    <w:rsid w:val="7C21011D"/>
    <w:rsid w:val="7C3D50F3"/>
    <w:rsid w:val="7C5C66CD"/>
    <w:rsid w:val="7C6C5AC7"/>
    <w:rsid w:val="7C8E41ED"/>
    <w:rsid w:val="7CC6544B"/>
    <w:rsid w:val="7CC71710"/>
    <w:rsid w:val="7CF602B8"/>
    <w:rsid w:val="7D0239FF"/>
    <w:rsid w:val="7D052701"/>
    <w:rsid w:val="7D0F6B89"/>
    <w:rsid w:val="7D124CFF"/>
    <w:rsid w:val="7D5E40CD"/>
    <w:rsid w:val="7D9D293A"/>
    <w:rsid w:val="7DCD56F2"/>
    <w:rsid w:val="7DE24FAD"/>
    <w:rsid w:val="7E0345BF"/>
    <w:rsid w:val="7E325589"/>
    <w:rsid w:val="7E885398"/>
    <w:rsid w:val="7EFA7DA9"/>
    <w:rsid w:val="7F001CE7"/>
    <w:rsid w:val="7F860968"/>
    <w:rsid w:val="7FAC0CF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3"/>
    <w:basedOn w:val="1"/>
    <w:next w:val="1"/>
    <w:qFormat/>
    <w:locked/>
    <w:uiPriority w:val="0"/>
    <w:pPr>
      <w:keepNext/>
      <w:keepLines/>
      <w:numPr>
        <w:ilvl w:val="2"/>
        <w:numId w:val="1"/>
      </w:numPr>
      <w:spacing w:before="260" w:after="260" w:line="416" w:lineRule="auto"/>
      <w:outlineLvl w:val="2"/>
    </w:pPr>
    <w:rPr>
      <w:b/>
      <w:bCs/>
      <w:sz w:val="32"/>
      <w:szCs w:val="32"/>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w:basedOn w:val="1"/>
    <w:next w:val="3"/>
    <w:link w:val="32"/>
    <w:qFormat/>
    <w:uiPriority w:val="0"/>
    <w:pPr>
      <w:widowControl/>
      <w:snapToGrid w:val="0"/>
      <w:spacing w:before="60" w:after="160" w:line="259" w:lineRule="auto"/>
      <w:ind w:right="113"/>
    </w:pPr>
    <w:rPr>
      <w:kern w:val="0"/>
      <w:sz w:val="18"/>
      <w:szCs w:val="20"/>
    </w:rPr>
  </w:style>
  <w:style w:type="paragraph" w:styleId="3">
    <w:name w:val="List Bullet 5"/>
    <w:basedOn w:val="1"/>
    <w:qFormat/>
    <w:locked/>
    <w:uiPriority w:val="0"/>
    <w:pPr>
      <w:numPr>
        <w:ilvl w:val="0"/>
        <w:numId w:val="2"/>
      </w:numPr>
    </w:pPr>
  </w:style>
  <w:style w:type="paragraph" w:styleId="6">
    <w:name w:val="Normal Indent"/>
    <w:basedOn w:val="1"/>
    <w:qFormat/>
    <w:locked/>
    <w:uiPriority w:val="0"/>
    <w:pPr>
      <w:ind w:firstLine="420" w:firstLineChars="200"/>
    </w:pPr>
    <w:rPr>
      <w:rFonts w:ascii="Times New Roman" w:hAnsi="Times New Roman" w:eastAsia="仿宋_GB2312"/>
    </w:rPr>
  </w:style>
  <w:style w:type="paragraph" w:styleId="7">
    <w:name w:val="caption"/>
    <w:next w:val="1"/>
    <w:unhideWhenUsed/>
    <w:qFormat/>
    <w:locked/>
    <w:uiPriority w:val="35"/>
    <w:pPr>
      <w:spacing w:before="120" w:after="120"/>
      <w:jc w:val="center"/>
    </w:pPr>
    <w:rPr>
      <w:rFonts w:ascii="Times New Roman" w:hAnsi="Times New Roman" w:eastAsia="仿宋_GB2312" w:cs="Times New Roman"/>
      <w:b/>
      <w:kern w:val="2"/>
      <w:sz w:val="24"/>
      <w:szCs w:val="20"/>
      <w:lang w:val="en-US" w:eastAsia="zh-CN" w:bidi="ar-SA"/>
    </w:rPr>
  </w:style>
  <w:style w:type="paragraph" w:styleId="8">
    <w:name w:val="Document Map"/>
    <w:basedOn w:val="1"/>
    <w:link w:val="33"/>
    <w:qFormat/>
    <w:locked/>
    <w:uiPriority w:val="0"/>
    <w:rPr>
      <w:rFonts w:ascii="宋体"/>
      <w:sz w:val="18"/>
      <w:szCs w:val="18"/>
    </w:rPr>
  </w:style>
  <w:style w:type="paragraph" w:styleId="9">
    <w:name w:val="annotation text"/>
    <w:basedOn w:val="1"/>
    <w:link w:val="34"/>
    <w:semiHidden/>
    <w:qFormat/>
    <w:uiPriority w:val="0"/>
    <w:pPr>
      <w:jc w:val="left"/>
    </w:pPr>
    <w:rPr>
      <w:kern w:val="0"/>
      <w:sz w:val="24"/>
      <w:szCs w:val="20"/>
    </w:rPr>
  </w:style>
  <w:style w:type="paragraph" w:styleId="10">
    <w:name w:val="Body Text Indent"/>
    <w:basedOn w:val="1"/>
    <w:next w:val="11"/>
    <w:link w:val="35"/>
    <w:qFormat/>
    <w:uiPriority w:val="0"/>
    <w:pPr>
      <w:spacing w:after="120"/>
      <w:ind w:left="420" w:leftChars="200"/>
    </w:pPr>
    <w:rPr>
      <w:kern w:val="0"/>
      <w:sz w:val="24"/>
      <w:szCs w:val="20"/>
    </w:rPr>
  </w:style>
  <w:style w:type="paragraph" w:customStyle="1" w:styleId="1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12">
    <w:name w:val="Block Text"/>
    <w:basedOn w:val="1"/>
    <w:qFormat/>
    <w:locked/>
    <w:uiPriority w:val="99"/>
    <w:pPr>
      <w:spacing w:after="120"/>
      <w:ind w:left="1440" w:leftChars="700" w:right="1440" w:rightChars="700"/>
    </w:pPr>
  </w:style>
  <w:style w:type="paragraph" w:styleId="13">
    <w:name w:val="Plain Text"/>
    <w:basedOn w:val="1"/>
    <w:qFormat/>
    <w:locked/>
    <w:uiPriority w:val="0"/>
    <w:pPr>
      <w:widowControl/>
      <w:jc w:val="left"/>
    </w:pPr>
    <w:rPr>
      <w:rFonts w:ascii="宋体" w:hAnsi="Courier New"/>
      <w:kern w:val="0"/>
      <w:szCs w:val="20"/>
    </w:rPr>
  </w:style>
  <w:style w:type="paragraph" w:styleId="14">
    <w:name w:val="Date"/>
    <w:basedOn w:val="1"/>
    <w:next w:val="1"/>
    <w:link w:val="36"/>
    <w:qFormat/>
    <w:uiPriority w:val="0"/>
    <w:pPr>
      <w:ind w:left="100" w:leftChars="2500"/>
    </w:pPr>
    <w:rPr>
      <w:kern w:val="0"/>
      <w:sz w:val="24"/>
      <w:szCs w:val="20"/>
    </w:rPr>
  </w:style>
  <w:style w:type="paragraph" w:styleId="15">
    <w:name w:val="Body Text Indent 2"/>
    <w:basedOn w:val="1"/>
    <w:qFormat/>
    <w:locked/>
    <w:uiPriority w:val="0"/>
    <w:pPr>
      <w:spacing w:after="120" w:line="480" w:lineRule="auto"/>
      <w:ind w:left="420" w:leftChars="200"/>
    </w:pPr>
  </w:style>
  <w:style w:type="paragraph" w:styleId="16">
    <w:name w:val="Balloon Text"/>
    <w:basedOn w:val="1"/>
    <w:link w:val="37"/>
    <w:semiHidden/>
    <w:qFormat/>
    <w:uiPriority w:val="0"/>
    <w:rPr>
      <w:kern w:val="0"/>
      <w:sz w:val="18"/>
      <w:szCs w:val="20"/>
    </w:rPr>
  </w:style>
  <w:style w:type="paragraph" w:styleId="17">
    <w:name w:val="footer"/>
    <w:basedOn w:val="1"/>
    <w:link w:val="38"/>
    <w:qFormat/>
    <w:uiPriority w:val="99"/>
    <w:pPr>
      <w:tabs>
        <w:tab w:val="center" w:pos="4153"/>
        <w:tab w:val="right" w:pos="8306"/>
      </w:tabs>
      <w:snapToGrid w:val="0"/>
      <w:jc w:val="left"/>
    </w:pPr>
    <w:rPr>
      <w:kern w:val="0"/>
      <w:sz w:val="18"/>
      <w:szCs w:val="20"/>
    </w:rPr>
  </w:style>
  <w:style w:type="paragraph" w:styleId="18">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2"/>
    <w:basedOn w:val="1"/>
    <w:next w:val="1"/>
    <w:qFormat/>
    <w:locked/>
    <w:uiPriority w:val="0"/>
    <w:pPr>
      <w:tabs>
        <w:tab w:val="left" w:pos="1260"/>
        <w:tab w:val="right" w:leader="dot" w:pos="8296"/>
      </w:tabs>
      <w:spacing w:line="360" w:lineRule="exact"/>
      <w:ind w:left="420" w:leftChars="200"/>
    </w:pPr>
  </w:style>
  <w:style w:type="paragraph" w:styleId="20">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1">
    <w:name w:val="annotation subject"/>
    <w:basedOn w:val="9"/>
    <w:next w:val="9"/>
    <w:link w:val="41"/>
    <w:semiHidden/>
    <w:qFormat/>
    <w:uiPriority w:val="0"/>
    <w:rPr>
      <w:b/>
      <w:kern w:val="2"/>
    </w:rPr>
  </w:style>
  <w:style w:type="paragraph" w:styleId="22">
    <w:name w:val="Body Text First Indent"/>
    <w:basedOn w:val="2"/>
    <w:next w:val="1"/>
    <w:link w:val="42"/>
    <w:qFormat/>
    <w:locked/>
    <w:uiPriority w:val="0"/>
    <w:pPr>
      <w:snapToGrid/>
      <w:spacing w:after="120" w:afterLines="0" w:line="240" w:lineRule="auto"/>
      <w:ind w:firstLine="420" w:firstLineChars="100"/>
    </w:pPr>
    <w:rPr>
      <w:sz w:val="21"/>
    </w:rPr>
  </w:style>
  <w:style w:type="paragraph" w:styleId="23">
    <w:name w:val="Body Text First Indent 2"/>
    <w:basedOn w:val="10"/>
    <w:next w:val="22"/>
    <w:unhideWhenUsed/>
    <w:qFormat/>
    <w:locked/>
    <w:uiPriority w:val="99"/>
    <w:pPr>
      <w:spacing w:after="120"/>
      <w:ind w:left="420" w:leftChars="200" w:firstLine="420" w:firstLineChars="200"/>
    </w:pPr>
    <w:rPr>
      <w:rFonts w:ascii="Times New Roman" w:eastAsia="宋体"/>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locked/>
    <w:uiPriority w:val="0"/>
    <w:rPr>
      <w:b/>
      <w:bCs/>
    </w:rPr>
  </w:style>
  <w:style w:type="character" w:styleId="28">
    <w:name w:val="page number"/>
    <w:qFormat/>
    <w:locked/>
    <w:uiPriority w:val="0"/>
  </w:style>
  <w:style w:type="character" w:styleId="29">
    <w:name w:val="Emphasis"/>
    <w:qFormat/>
    <w:locked/>
    <w:uiPriority w:val="0"/>
    <w:rPr>
      <w:i/>
    </w:rPr>
  </w:style>
  <w:style w:type="character" w:styleId="30">
    <w:name w:val="Hyperlink"/>
    <w:qFormat/>
    <w:locked/>
    <w:uiPriority w:val="0"/>
    <w:rPr>
      <w:color w:val="0000FF"/>
      <w:u w:val="single"/>
    </w:rPr>
  </w:style>
  <w:style w:type="character" w:styleId="31">
    <w:name w:val="annotation reference"/>
    <w:semiHidden/>
    <w:qFormat/>
    <w:uiPriority w:val="0"/>
    <w:rPr>
      <w:sz w:val="21"/>
    </w:rPr>
  </w:style>
  <w:style w:type="character" w:customStyle="1" w:styleId="32">
    <w:name w:val="正文文本 Char1"/>
    <w:link w:val="2"/>
    <w:qFormat/>
    <w:locked/>
    <w:uiPriority w:val="0"/>
    <w:rPr>
      <w:sz w:val="18"/>
    </w:rPr>
  </w:style>
  <w:style w:type="character" w:customStyle="1" w:styleId="33">
    <w:name w:val="文档结构图 Char"/>
    <w:basedOn w:val="26"/>
    <w:link w:val="8"/>
    <w:qFormat/>
    <w:uiPriority w:val="0"/>
    <w:rPr>
      <w:rFonts w:ascii="宋体"/>
      <w:kern w:val="2"/>
      <w:sz w:val="18"/>
      <w:szCs w:val="18"/>
    </w:rPr>
  </w:style>
  <w:style w:type="character" w:customStyle="1" w:styleId="34">
    <w:name w:val="批注文字 Char2"/>
    <w:link w:val="9"/>
    <w:qFormat/>
    <w:locked/>
    <w:uiPriority w:val="0"/>
    <w:rPr>
      <w:rFonts w:ascii="Times New Roman" w:hAnsi="Times New Roman" w:eastAsia="宋体"/>
      <w:sz w:val="24"/>
    </w:rPr>
  </w:style>
  <w:style w:type="character" w:customStyle="1" w:styleId="35">
    <w:name w:val="正文文本缩进 Char"/>
    <w:link w:val="10"/>
    <w:semiHidden/>
    <w:qFormat/>
    <w:locked/>
    <w:uiPriority w:val="0"/>
    <w:rPr>
      <w:rFonts w:ascii="Times New Roman" w:hAnsi="Times New Roman" w:eastAsia="宋体"/>
      <w:sz w:val="24"/>
    </w:rPr>
  </w:style>
  <w:style w:type="character" w:customStyle="1" w:styleId="36">
    <w:name w:val="日期 Char1"/>
    <w:link w:val="14"/>
    <w:qFormat/>
    <w:locked/>
    <w:uiPriority w:val="0"/>
    <w:rPr>
      <w:rFonts w:ascii="Times New Roman" w:hAnsi="Times New Roman" w:eastAsia="宋体"/>
      <w:sz w:val="24"/>
    </w:rPr>
  </w:style>
  <w:style w:type="character" w:customStyle="1" w:styleId="37">
    <w:name w:val="批注框文本 Char"/>
    <w:link w:val="16"/>
    <w:semiHidden/>
    <w:qFormat/>
    <w:locked/>
    <w:uiPriority w:val="0"/>
    <w:rPr>
      <w:rFonts w:ascii="Times New Roman" w:hAnsi="Times New Roman" w:eastAsia="宋体"/>
      <w:sz w:val="18"/>
    </w:rPr>
  </w:style>
  <w:style w:type="character" w:customStyle="1" w:styleId="38">
    <w:name w:val="页脚 Char1"/>
    <w:link w:val="17"/>
    <w:qFormat/>
    <w:locked/>
    <w:uiPriority w:val="99"/>
    <w:rPr>
      <w:sz w:val="18"/>
    </w:rPr>
  </w:style>
  <w:style w:type="character" w:customStyle="1" w:styleId="39">
    <w:name w:val="页眉 Char1"/>
    <w:link w:val="18"/>
    <w:qFormat/>
    <w:locked/>
    <w:uiPriority w:val="0"/>
    <w:rPr>
      <w:sz w:val="18"/>
    </w:rPr>
  </w:style>
  <w:style w:type="character" w:customStyle="1" w:styleId="40">
    <w:name w:val="普通(网站) Char1"/>
    <w:link w:val="20"/>
    <w:qFormat/>
    <w:locked/>
    <w:uiPriority w:val="0"/>
    <w:rPr>
      <w:rFonts w:ascii="宋体" w:hAnsi="宋体" w:eastAsia="宋体"/>
      <w:sz w:val="24"/>
    </w:rPr>
  </w:style>
  <w:style w:type="character" w:customStyle="1" w:styleId="41">
    <w:name w:val="批注主题 Char"/>
    <w:link w:val="21"/>
    <w:semiHidden/>
    <w:qFormat/>
    <w:locked/>
    <w:uiPriority w:val="0"/>
    <w:rPr>
      <w:rFonts w:ascii="Times New Roman" w:hAnsi="Times New Roman" w:eastAsia="宋体"/>
      <w:b/>
      <w:kern w:val="2"/>
      <w:sz w:val="24"/>
    </w:rPr>
  </w:style>
  <w:style w:type="character" w:customStyle="1" w:styleId="42">
    <w:name w:val="正文首行缩进 Char"/>
    <w:link w:val="22"/>
    <w:qFormat/>
    <w:uiPriority w:val="0"/>
    <w:rPr>
      <w:sz w:val="21"/>
    </w:rPr>
  </w:style>
  <w:style w:type="paragraph" w:customStyle="1" w:styleId="43">
    <w:name w:val="BodyText"/>
    <w:basedOn w:val="1"/>
    <w:qFormat/>
    <w:uiPriority w:val="0"/>
    <w:pPr>
      <w:spacing w:after="120"/>
      <w:jc w:val="both"/>
      <w:textAlignment w:val="baseline"/>
    </w:pPr>
  </w:style>
  <w:style w:type="character" w:customStyle="1" w:styleId="44">
    <w:name w:val="批注文字 字符1"/>
    <w:semiHidden/>
    <w:qFormat/>
    <w:uiPriority w:val="0"/>
    <w:rPr>
      <w:rFonts w:ascii="Times New Roman" w:hAnsi="Times New Roman" w:eastAsia="宋体"/>
      <w:sz w:val="24"/>
    </w:rPr>
  </w:style>
  <w:style w:type="character" w:customStyle="1" w:styleId="45">
    <w:name w:val="日期 字符"/>
    <w:semiHidden/>
    <w:qFormat/>
    <w:uiPriority w:val="0"/>
    <w:rPr>
      <w:rFonts w:ascii="Times New Roman" w:hAnsi="Times New Roman" w:eastAsia="宋体"/>
      <w:sz w:val="24"/>
    </w:rPr>
  </w:style>
  <w:style w:type="character" w:customStyle="1" w:styleId="46">
    <w:name w:val="正文文本 字符1"/>
    <w:semiHidden/>
    <w:qFormat/>
    <w:uiPriority w:val="0"/>
    <w:rPr>
      <w:rFonts w:ascii="Times New Roman" w:hAnsi="Times New Roman" w:eastAsia="宋体"/>
      <w:sz w:val="24"/>
    </w:rPr>
  </w:style>
  <w:style w:type="character" w:customStyle="1" w:styleId="47">
    <w:name w:val="表格 Char"/>
    <w:link w:val="48"/>
    <w:qFormat/>
    <w:locked/>
    <w:uiPriority w:val="0"/>
    <w:rPr>
      <w:rFonts w:ascii="宋体"/>
      <w:sz w:val="21"/>
    </w:rPr>
  </w:style>
  <w:style w:type="paragraph" w:customStyle="1" w:styleId="48">
    <w:name w:val="表格"/>
    <w:basedOn w:val="1"/>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页脚 字符"/>
    <w:qFormat/>
    <w:uiPriority w:val="99"/>
  </w:style>
  <w:style w:type="paragraph" w:customStyle="1" w:styleId="50">
    <w:name w:val="样式 ysl04 + 首行缩进:  2 字符"/>
    <w:basedOn w:val="1"/>
    <w:qFormat/>
    <w:uiPriority w:val="0"/>
    <w:pPr>
      <w:spacing w:line="360" w:lineRule="auto"/>
      <w:ind w:left="210" w:leftChars="100" w:firstLine="562" w:firstLineChars="200"/>
    </w:pPr>
    <w:rPr>
      <w:rFonts w:ascii="宋体" w:hAnsi="宋体" w:cs="宋体"/>
      <w:bCs/>
      <w:sz w:val="28"/>
      <w:szCs w:val="20"/>
    </w:rPr>
  </w:style>
  <w:style w:type="paragraph" w:customStyle="1" w:styleId="51">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paragraph" w:customStyle="1" w:styleId="52">
    <w:name w:val="1111 表格内容"/>
    <w:basedOn w:val="53"/>
    <w:qFormat/>
    <w:uiPriority w:val="0"/>
    <w:pPr>
      <w:widowControl w:val="0"/>
    </w:pPr>
    <w:rPr>
      <w:rFonts w:cs="Times New Roman"/>
    </w:rPr>
  </w:style>
  <w:style w:type="paragraph" w:customStyle="1" w:styleId="53">
    <w:name w:val="01表格正文"/>
    <w:qFormat/>
    <w:uiPriority w:val="0"/>
    <w:pPr>
      <w:adjustRightInd w:val="0"/>
      <w:snapToGrid w:val="0"/>
      <w:spacing w:line="320" w:lineRule="exact"/>
      <w:jc w:val="center"/>
    </w:pPr>
    <w:rPr>
      <w:rFonts w:ascii="Times New Roman" w:hAnsi="Times New Roman" w:eastAsia="宋体" w:cs="Times New Roman"/>
      <w:kern w:val="2"/>
      <w:sz w:val="21"/>
      <w:szCs w:val="21"/>
      <w:lang w:val="en-US" w:eastAsia="zh-CN" w:bidi="ar-SA"/>
    </w:rPr>
  </w:style>
  <w:style w:type="paragraph" w:customStyle="1" w:styleId="5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5">
    <w:name w:val="样式 自动设置"/>
    <w:basedOn w:val="1"/>
    <w:link w:val="56"/>
    <w:qFormat/>
    <w:uiPriority w:val="0"/>
    <w:pPr>
      <w:autoSpaceDE w:val="0"/>
      <w:autoSpaceDN w:val="0"/>
      <w:adjustRightInd w:val="0"/>
      <w:snapToGrid w:val="0"/>
      <w:spacing w:before="50" w:beforeLines="50" w:line="288" w:lineRule="auto"/>
      <w:ind w:firstLine="200" w:firstLineChars="200"/>
    </w:pPr>
    <w:rPr>
      <w:sz w:val="24"/>
    </w:rPr>
  </w:style>
  <w:style w:type="character" w:customStyle="1" w:styleId="56">
    <w:name w:val="样式 自动设置 Char"/>
    <w:link w:val="55"/>
    <w:qFormat/>
    <w:uiPriority w:val="0"/>
    <w:rPr>
      <w:rFonts w:cs="宋体"/>
      <w:kern w:val="2"/>
      <w:sz w:val="24"/>
      <w:szCs w:val="24"/>
    </w:rPr>
  </w:style>
  <w:style w:type="paragraph" w:customStyle="1" w:styleId="57">
    <w:name w:val="样式 首行缩进:  2 字符1"/>
    <w:basedOn w:val="1"/>
    <w:qFormat/>
    <w:uiPriority w:val="0"/>
    <w:pPr>
      <w:spacing w:line="420" w:lineRule="exact"/>
      <w:ind w:firstLine="200" w:firstLineChars="200"/>
    </w:pPr>
    <w:rPr>
      <w:rFonts w:cs="宋体"/>
      <w:sz w:val="24"/>
      <w:szCs w:val="20"/>
    </w:rPr>
  </w:style>
  <w:style w:type="paragraph" w:customStyle="1" w:styleId="58">
    <w:name w:val="02表格标题"/>
    <w:basedOn w:val="1"/>
    <w:qFormat/>
    <w:uiPriority w:val="0"/>
    <w:pPr>
      <w:adjustRightInd w:val="0"/>
      <w:snapToGrid w:val="0"/>
      <w:spacing w:before="50" w:beforeLines="50"/>
      <w:jc w:val="center"/>
    </w:pPr>
    <w:rPr>
      <w:rFonts w:cs="Times New Roman"/>
      <w:b/>
      <w:sz w:val="24"/>
    </w:rPr>
  </w:style>
  <w:style w:type="paragraph" w:customStyle="1" w:styleId="59">
    <w:name w:val="样式 表格 + 黑色"/>
    <w:basedOn w:val="1"/>
    <w:qFormat/>
    <w:uiPriority w:val="0"/>
    <w:pPr>
      <w:adjustRightInd w:val="0"/>
      <w:snapToGrid w:val="0"/>
      <w:jc w:val="center"/>
    </w:pPr>
    <w:rPr>
      <w:snapToGrid w:val="0"/>
      <w:color w:val="000000"/>
      <w:spacing w:val="-4"/>
      <w:kern w:val="0"/>
      <w:szCs w:val="21"/>
    </w:rPr>
  </w:style>
  <w:style w:type="paragraph" w:customStyle="1" w:styleId="60">
    <w:name w:val="1  正文"/>
    <w:basedOn w:val="1"/>
    <w:qFormat/>
    <w:uiPriority w:val="0"/>
    <w:pPr>
      <w:spacing w:line="360" w:lineRule="auto"/>
      <w:ind w:firstLine="480" w:firstLineChars="200"/>
    </w:pPr>
    <w:rPr>
      <w:rFonts w:eastAsia="宋体"/>
      <w:sz w:val="24"/>
    </w:rPr>
  </w:style>
  <w:style w:type="paragraph" w:customStyle="1" w:styleId="61">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62">
    <w:name w:val="图文框"/>
    <w:basedOn w:val="1"/>
    <w:qFormat/>
    <w:uiPriority w:val="0"/>
    <w:pPr>
      <w:jc w:val="center"/>
    </w:pPr>
    <w:rPr>
      <w:szCs w:val="21"/>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表格文字"/>
    <w:basedOn w:val="1"/>
    <w:qFormat/>
    <w:uiPriority w:val="0"/>
    <w:pPr>
      <w:jc w:val="center"/>
    </w:pPr>
    <w:rPr>
      <w:rFonts w:ascii="仿宋_GB2312" w:hAnsi="Arial Black" w:eastAsia="仿宋_GB2312"/>
      <w:kern w:val="44"/>
      <w:sz w:val="24"/>
    </w:rPr>
  </w:style>
  <w:style w:type="paragraph" w:customStyle="1" w:styleId="65">
    <w:name w:val="图表文字"/>
    <w:basedOn w:val="1"/>
    <w:qFormat/>
    <w:uiPriority w:val="0"/>
    <w:pPr>
      <w:jc w:val="center"/>
    </w:pPr>
    <w:rPr>
      <w:rFonts w:ascii="仿宋_GB2312" w:eastAsia="仿宋_GB2312"/>
    </w:rPr>
  </w:style>
  <w:style w:type="paragraph" w:customStyle="1" w:styleId="66">
    <w:name w:val="(文字) (文字)"/>
    <w:basedOn w:val="1"/>
    <w:qFormat/>
    <w:uiPriority w:val="0"/>
  </w:style>
  <w:style w:type="paragraph" w:customStyle="1" w:styleId="67">
    <w:name w:val="列出段落1"/>
    <w:basedOn w:val="1"/>
    <w:qFormat/>
    <w:uiPriority w:val="0"/>
    <w:pPr>
      <w:ind w:firstLine="420" w:firstLineChars="200"/>
    </w:pPr>
    <w:rPr>
      <w:rFonts w:ascii="Calibri" w:hAnsi="Calibri"/>
      <w:szCs w:val="21"/>
    </w:rPr>
  </w:style>
  <w:style w:type="character" w:customStyle="1" w:styleId="68">
    <w:name w:val="表格中文字 Char Char"/>
    <w:link w:val="69"/>
    <w:qFormat/>
    <w:uiPriority w:val="0"/>
    <w:rPr>
      <w:kern w:val="18"/>
      <w:sz w:val="21"/>
      <w:szCs w:val="21"/>
    </w:rPr>
  </w:style>
  <w:style w:type="paragraph" w:customStyle="1" w:styleId="69">
    <w:name w:val="表格中文字"/>
    <w:basedOn w:val="1"/>
    <w:link w:val="68"/>
    <w:qFormat/>
    <w:uiPriority w:val="0"/>
    <w:pPr>
      <w:adjustRightInd w:val="0"/>
      <w:snapToGrid w:val="0"/>
      <w:jc w:val="center"/>
    </w:pPr>
    <w:rPr>
      <w:kern w:val="18"/>
      <w:szCs w:val="21"/>
    </w:rPr>
  </w:style>
  <w:style w:type="paragraph" w:customStyle="1" w:styleId="70">
    <w:name w:val="表头"/>
    <w:basedOn w:val="1"/>
    <w:qFormat/>
    <w:uiPriority w:val="0"/>
    <w:pPr>
      <w:adjustRightInd w:val="0"/>
      <w:snapToGrid w:val="0"/>
      <w:spacing w:line="300" w:lineRule="atLeast"/>
      <w:textAlignment w:val="baseline"/>
    </w:pPr>
    <w:rPr>
      <w:rFonts w:ascii="宋体" w:hAnsi="宋体" w:eastAsia="黑体"/>
      <w:kern w:val="0"/>
    </w:rPr>
  </w:style>
  <w:style w:type="paragraph" w:customStyle="1" w:styleId="71">
    <w:name w:val="Char"/>
    <w:basedOn w:val="1"/>
    <w:qFormat/>
    <w:uiPriority w:val="0"/>
  </w:style>
  <w:style w:type="paragraph" w:customStyle="1" w:styleId="72">
    <w:name w:val=" Char Char6"/>
    <w:basedOn w:val="1"/>
    <w:qFormat/>
    <w:uiPriority w:val="0"/>
    <w:rPr>
      <w:rFonts w:ascii="Tahoma" w:hAnsi="Tahoma"/>
      <w:sz w:val="24"/>
      <w:szCs w:val="20"/>
    </w:rPr>
  </w:style>
  <w:style w:type="character" w:customStyle="1" w:styleId="73">
    <w:name w:val="正文文本 Char"/>
    <w:qFormat/>
    <w:locked/>
    <w:uiPriority w:val="0"/>
    <w:rPr>
      <w:sz w:val="18"/>
    </w:rPr>
  </w:style>
  <w:style w:type="character" w:customStyle="1" w:styleId="74">
    <w:name w:val="批注文字 Char"/>
    <w:qFormat/>
    <w:uiPriority w:val="0"/>
    <w:rPr>
      <w:rFonts w:ascii="Times New Roman" w:hAnsi="Times New Roman"/>
      <w:kern w:val="2"/>
      <w:sz w:val="21"/>
      <w:szCs w:val="24"/>
    </w:rPr>
  </w:style>
  <w:style w:type="paragraph" w:customStyle="1" w:styleId="75">
    <w:name w:val="正文 首行缩进:  2 字符"/>
    <w:basedOn w:val="1"/>
    <w:qFormat/>
    <w:uiPriority w:val="99"/>
    <w:pPr>
      <w:ind w:firstLine="579" w:firstLineChars="200"/>
    </w:pPr>
    <w:rPr>
      <w:rFonts w:cs="宋体"/>
      <w:szCs w:val="20"/>
    </w:rPr>
  </w:style>
  <w:style w:type="paragraph" w:customStyle="1" w:styleId="76">
    <w:name w:val="Table Paragraph"/>
    <w:basedOn w:val="1"/>
    <w:qFormat/>
    <w:uiPriority w:val="1"/>
    <w:pPr>
      <w:jc w:val="left"/>
    </w:pPr>
    <w:rPr>
      <w:rFonts w:ascii="Calibri" w:hAnsi="Calibri"/>
      <w:kern w:val="0"/>
      <w:sz w:val="22"/>
      <w:szCs w:val="22"/>
      <w:lang w:eastAsia="en-US"/>
    </w:rPr>
  </w:style>
  <w:style w:type="character" w:customStyle="1" w:styleId="77">
    <w:name w:val="批注文字 Char1"/>
    <w:qFormat/>
    <w:locked/>
    <w:uiPriority w:val="0"/>
    <w:rPr>
      <w:rFonts w:ascii="Times New Roman" w:hAnsi="Times New Roman" w:eastAsia="宋体"/>
      <w:sz w:val="24"/>
    </w:rPr>
  </w:style>
  <w:style w:type="character" w:customStyle="1" w:styleId="78">
    <w:name w:val="日期 Char"/>
    <w:qFormat/>
    <w:locked/>
    <w:uiPriority w:val="0"/>
    <w:rPr>
      <w:rFonts w:ascii="Times New Roman" w:hAnsi="Times New Roman" w:eastAsia="宋体"/>
      <w:sz w:val="24"/>
    </w:rPr>
  </w:style>
  <w:style w:type="character" w:customStyle="1" w:styleId="79">
    <w:name w:val="页脚 Char"/>
    <w:qFormat/>
    <w:locked/>
    <w:uiPriority w:val="99"/>
    <w:rPr>
      <w:sz w:val="18"/>
    </w:rPr>
  </w:style>
  <w:style w:type="character" w:customStyle="1" w:styleId="80">
    <w:name w:val="页眉 Char"/>
    <w:qFormat/>
    <w:locked/>
    <w:uiPriority w:val="0"/>
    <w:rPr>
      <w:sz w:val="18"/>
    </w:rPr>
  </w:style>
  <w:style w:type="character" w:customStyle="1" w:styleId="81">
    <w:name w:val="普通(网站) Char"/>
    <w:qFormat/>
    <w:locked/>
    <w:uiPriority w:val="0"/>
    <w:rPr>
      <w:rFonts w:ascii="宋体" w:hAnsi="宋体" w:eastAsia="宋体"/>
      <w:sz w:val="24"/>
    </w:rPr>
  </w:style>
  <w:style w:type="paragraph" w:styleId="82">
    <w:name w:val="List Paragraph"/>
    <w:basedOn w:val="1"/>
    <w:qFormat/>
    <w:uiPriority w:val="1"/>
    <w:pPr>
      <w:autoSpaceDE w:val="0"/>
      <w:autoSpaceDN w:val="0"/>
      <w:adjustRightInd w:val="0"/>
      <w:jc w:val="left"/>
    </w:pPr>
    <w:rPr>
      <w:kern w:val="0"/>
      <w:sz w:val="24"/>
    </w:rPr>
  </w:style>
  <w:style w:type="paragraph" w:customStyle="1" w:styleId="83">
    <w:name w:val="p0"/>
    <w:basedOn w:val="1"/>
    <w:qFormat/>
    <w:uiPriority w:val="0"/>
    <w:pPr>
      <w:widowControl/>
      <w:snapToGrid w:val="0"/>
      <w:spacing w:line="300" w:lineRule="auto"/>
    </w:pPr>
    <w:rPr>
      <w:rFonts w:ascii="仿宋_GB2312" w:hAnsi="宋体" w:eastAsia="仿宋_GB2312" w:cs="宋体"/>
      <w:kern w:val="0"/>
      <w:sz w:val="28"/>
      <w:szCs w:val="28"/>
    </w:rPr>
  </w:style>
  <w:style w:type="character" w:customStyle="1" w:styleId="84">
    <w:name w:val="NormalCharacter"/>
    <w:link w:val="85"/>
    <w:semiHidden/>
    <w:qFormat/>
    <w:uiPriority w:val="0"/>
    <w:rPr>
      <w:rFonts w:ascii="Times New Roman" w:hAnsi="Times New Roman"/>
      <w:kern w:val="0"/>
      <w:sz w:val="24"/>
      <w:szCs w:val="20"/>
      <w:lang w:val="en-US" w:eastAsia="zh-CN" w:bidi="ar-SA"/>
    </w:rPr>
  </w:style>
  <w:style w:type="paragraph" w:customStyle="1" w:styleId="85">
    <w:name w:val="UserStyle_75"/>
    <w:basedOn w:val="1"/>
    <w:link w:val="84"/>
    <w:qFormat/>
    <w:uiPriority w:val="0"/>
    <w:pPr>
      <w:spacing w:line="360" w:lineRule="auto"/>
      <w:jc w:val="both"/>
      <w:textAlignment w:val="baseline"/>
    </w:pPr>
    <w:rPr>
      <w:kern w:val="0"/>
      <w:sz w:val="24"/>
      <w:szCs w:val="20"/>
    </w:rPr>
  </w:style>
  <w:style w:type="paragraph" w:customStyle="1" w:styleId="86">
    <w:name w:val="表表文字"/>
    <w:basedOn w:val="1"/>
    <w:qFormat/>
    <w:uiPriority w:val="0"/>
    <w:pPr>
      <w:wordWrap w:val="0"/>
      <w:adjustRightInd w:val="0"/>
      <w:snapToGrid w:val="0"/>
      <w:jc w:val="center"/>
    </w:pPr>
    <w:rPr>
      <w:kern w:val="0"/>
      <w:szCs w:val="21"/>
    </w:rPr>
  </w:style>
  <w:style w:type="paragraph" w:customStyle="1" w:styleId="87">
    <w:name w:val="表1"/>
    <w:basedOn w:val="1"/>
    <w:qFormat/>
    <w:uiPriority w:val="0"/>
    <w:pPr>
      <w:jc w:val="center"/>
    </w:pPr>
    <w:rPr>
      <w:rFonts w:ascii="宋体" w:hAnsi="宋体"/>
      <w:color w:val="000000"/>
    </w:rPr>
  </w:style>
  <w:style w:type="character" w:customStyle="1" w:styleId="88">
    <w:name w:val="text_img"/>
    <w:basedOn w:val="26"/>
    <w:qFormat/>
    <w:uiPriority w:val="0"/>
  </w:style>
  <w:style w:type="character" w:customStyle="1" w:styleId="89">
    <w:name w:val="font31"/>
    <w:basedOn w:val="26"/>
    <w:qFormat/>
    <w:uiPriority w:val="0"/>
    <w:rPr>
      <w:rFonts w:hint="default" w:ascii="Times New Roman" w:hAnsi="Times New Roman" w:cs="Times New Roman"/>
      <w:b/>
      <w:bCs/>
      <w:color w:val="000000"/>
      <w:sz w:val="18"/>
      <w:szCs w:val="18"/>
      <w:u w:val="none"/>
    </w:rPr>
  </w:style>
  <w:style w:type="character" w:customStyle="1" w:styleId="90">
    <w:name w:val="font101"/>
    <w:basedOn w:val="26"/>
    <w:qFormat/>
    <w:uiPriority w:val="0"/>
    <w:rPr>
      <w:rFonts w:hint="eastAsia" w:ascii="仿宋" w:hAnsi="仿宋" w:eastAsia="仿宋" w:cs="仿宋"/>
      <w:b/>
      <w:color w:val="000000"/>
      <w:kern w:val="0"/>
      <w:sz w:val="21"/>
      <w:szCs w:val="21"/>
      <w:u w:val="none"/>
    </w:rPr>
  </w:style>
  <w:style w:type="character" w:customStyle="1" w:styleId="91">
    <w:name w:val="font201"/>
    <w:basedOn w:val="26"/>
    <w:qFormat/>
    <w:uiPriority w:val="0"/>
    <w:rPr>
      <w:rFonts w:hint="eastAsia" w:ascii="仿宋" w:hAnsi="仿宋" w:eastAsia="仿宋" w:cs="仿宋"/>
      <w:color w:val="000000"/>
      <w:sz w:val="24"/>
      <w:szCs w:val="24"/>
      <w:u w:val="none"/>
    </w:rPr>
  </w:style>
  <w:style w:type="character" w:customStyle="1" w:styleId="92">
    <w:name w:val="font21"/>
    <w:basedOn w:val="26"/>
    <w:qFormat/>
    <w:uiPriority w:val="0"/>
    <w:rPr>
      <w:rFonts w:hint="eastAsia" w:ascii="微软雅黑" w:hAnsi="微软雅黑" w:eastAsia="微软雅黑" w:cs="微软雅黑"/>
      <w:color w:val="000000"/>
      <w:sz w:val="18"/>
      <w:szCs w:val="18"/>
      <w:u w:val="none"/>
    </w:rPr>
  </w:style>
  <w:style w:type="character" w:customStyle="1" w:styleId="93">
    <w:name w:val="font41"/>
    <w:basedOn w:val="26"/>
    <w:qFormat/>
    <w:uiPriority w:val="0"/>
    <w:rPr>
      <w:rFonts w:ascii="Arial" w:hAnsi="Arial" w:cs="Arial"/>
      <w:color w:val="000000"/>
      <w:sz w:val="18"/>
      <w:szCs w:val="18"/>
      <w:u w:val="none"/>
    </w:rPr>
  </w:style>
  <w:style w:type="paragraph" w:customStyle="1" w:styleId="94">
    <w:name w:val="表格内容"/>
    <w:basedOn w:val="1"/>
    <w:next w:val="1"/>
    <w:qFormat/>
    <w:uiPriority w:val="99"/>
    <w:pPr>
      <w:spacing w:line="240" w:lineRule="auto"/>
      <w:ind w:firstLine="0" w:firstLineChars="0"/>
      <w:jc w:val="center"/>
    </w:pPr>
    <w:rPr>
      <w:sz w:val="21"/>
      <w:szCs w:val="21"/>
    </w:rPr>
  </w:style>
  <w:style w:type="character" w:customStyle="1" w:styleId="95">
    <w:name w:val="font11"/>
    <w:basedOn w:val="26"/>
    <w:qFormat/>
    <w:uiPriority w:val="0"/>
    <w:rPr>
      <w:rFonts w:hint="eastAsia" w:ascii="宋体" w:hAnsi="宋体" w:eastAsia="宋体" w:cs="宋体"/>
      <w:color w:val="000000"/>
      <w:sz w:val="18"/>
      <w:szCs w:val="18"/>
      <w:u w:val="none"/>
    </w:rPr>
  </w:style>
  <w:style w:type="table" w:customStyle="1" w:styleId="96">
    <w:name w:val="网格型3"/>
    <w:basedOn w:val="24"/>
    <w:qFormat/>
    <w:uiPriority w:val="39"/>
    <w:pPr>
      <w:ind w:left="210"/>
    </w:pPr>
    <w:rPr>
      <w:rFonts w:ascii="Times New Roman" w:hAnsi="Times New Roman" w:eastAsia="方正仿宋_GBK" w:cs="Times New Roman"/>
      <w:kern w:val="0"/>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7.bin"/><Relationship Id="rId27" Type="http://schemas.openxmlformats.org/officeDocument/2006/relationships/image" Target="media/image15.wmf"/><Relationship Id="rId26" Type="http://schemas.openxmlformats.org/officeDocument/2006/relationships/oleObject" Target="embeddings/oleObject6.bin"/><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E0ODY4ODkxMTAwIiwKCSJHcm91cElkIiA6ICI5NzIxODA0Mz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2">
      <extobjdata type="ECB019B1-382A-4266-B25C-5B523AA43C14" data="ewoJIkZpbGVJZCIgOiAiMzA5ODY1MTkzMDgzIiwKCSJHcm91cElkIiA6ICI5NzIxODA0Mz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3">
      <extobjdata type="ECB019B1-382A-4266-B25C-5B523AA43C14" data="ewoJIkZpbGVJZCIgOiAiMzEwNjQxMTAxOTUxIiwKCSJHcm91cElkIiA6ICI5NzIxODA0MzE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 name="ECB019B1-382A-4266-B25C-5B523AA43C14-7">
      <extobjdata type="ECB019B1-382A-4266-B25C-5B523AA43C14" data="ewoJIkZpbGVJZCIgOiAiMzE1NzEwNjEyNjAwIiwKCSJHcm91cElkIiA6ICI5NzIxODA0MzEiLAoJIkltYWdlIiA6ICJpVkJPUncwS0dnb0FBQUFOU1VoRVVnQUFBcG9BQUFDY0NBWUFBQURmeWd2TEFBQUFBWE5TUjBJQXJzNGM2UUFBSUFCSlJFRlVlSnp0M1hsNFUxWDZCL0R2dVVtYkx1eFFRRUJiQVZrS2JYTnZFWmZmSUl5S0k0NkRpQ0F6Z3VJQW91SUNPaUlvc3JrTmJvZ0xJckk0RG80SWpJQTRvb0NDQ3lDQ3pVMWI5bjBwZ29LbEJhRXRUZTc3K3lPTFRadHVRQzNWNytkNWZDVDNublB2U1NESm03TzhCe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3Uvd2ZEU0d1QUpES3NXUUFBQUFCSlJVNUVya0pnZ2c9PSIsCgkiVGhlbWUiIDogIiIsCgkiVHlwZSIgOiAiZmxvdyIsCgkiVmVyc2lvbiIgOiAiMyIKfQo="/>
    </extobj>
    <extobj name="ECB019B1-382A-4266-B25C-5B523AA43C14-5">
      <extobjdata type="ECB019B1-382A-4266-B25C-5B523AA43C14" data="ewoJIkZpbGVJZCIgOiAiMzE1NzEwNjEyNjAwIiwKCSJHcm91cElkIiA6ICI5NzIxODA0MzEiLAoJIkltYWdlIiA6ICJpVkJPUncwS0dnb0FBQUFOU1VoRVVnQUFBcG9BQUFDY0NBWUFBQURmeWd2TEFBQUFBWE5TUjBJQXJzNGM2UUFBSUFCSlJFRlVlSnp0M1hsNFUxWDZCL0R2dVVtYkx1eFFRRUJiQVZrS2JYTnZFWmZmSUl5S0k0NkRpQ0F6Z3VJQW91SUNPaUlvc3JrTmJvZ0xJckk0RG80SWpJQTRvb0NDQ3lDQ3pVMWI5bjBwZ29LbEJhRXRUZTc3K3lPTFRadHVRQzNWNytkNWZDVDNublB2U1NESm03TzhCeUF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GU3Uvd2ZEU0d1QUpES3NXUUFBQUFCSlJVNUVya0pnZ2c9PSIsCgkiVGhlbWUiIDogIiIsCgkiVHlwZSIgOiAiZmxvdyIsCgkiVmVyc2lvbiIgOiAiM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96</Pages>
  <Words>59492</Words>
  <Characters>67900</Characters>
  <Lines>613</Lines>
  <Paragraphs>172</Paragraphs>
  <TotalTime>26</TotalTime>
  <ScaleCrop>false</ScaleCrop>
  <LinksUpToDate>false</LinksUpToDate>
  <CharactersWithSpaces>68362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2023-02-21T07:38:00Z</dcterms:created>
  <dc:creator>lhj</dc:creator>
  <cp:lastModifiedBy>Μτ.βιυε</cp:lastModifiedBy>
  <cp:lastPrinted>2024-03-15T01:43:00Z</cp:lastPrinted>
  <dcterms:modified xsi:type="dcterms:W3CDTF">2024-08-14T07:54:19Z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2DCD86A9FBC5417A8647AD07AA93AE2A_13</vt:lpwstr>
  </property>
</Properties>
</file>